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39CC2F3-ACB7-4C52-81A7-A72EB4F526A4" style="width:450.75pt;height:4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600" w:line="240" w:lineRule="auto"/>
        <w:jc w:val="center"/>
        <w:outlineLvl w:val="0"/>
        <w:rPr>
          <w:rFonts w:ascii="Times New Roman" w:eastAsia="Times New Roman" w:hAnsi="Times New Roman"/>
          <w:b/>
          <w:noProof/>
          <w:sz w:val="28"/>
          <w:szCs w:val="28"/>
          <w:u w:val="single"/>
        </w:rPr>
      </w:pPr>
      <w:bookmarkStart w:id="1" w:name="_GoBack"/>
      <w:bookmarkEnd w:id="1"/>
      <w:r>
        <w:rPr>
          <w:rFonts w:ascii="Times New Roman" w:hAnsi="Times New Roman"/>
          <w:b/>
          <w:noProof/>
          <w:sz w:val="28"/>
          <w:u w:val="single"/>
        </w:rPr>
        <w:lastRenderedPageBreak/>
        <w:t>Anexa V: Lista abrogărilor avute în vedere</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01"/>
        <w:gridCol w:w="1273"/>
        <w:gridCol w:w="5542"/>
        <w:gridCol w:w="7085"/>
      </w:tblGrid>
      <w:tr>
        <w:trPr>
          <w:cantSplit/>
          <w:tblHeader/>
        </w:trPr>
        <w:tc>
          <w:tcPr>
            <w:tcW w:w="174" w:type="pct"/>
            <w:tcBorders>
              <w:bottom w:val="single" w:sz="4" w:space="0" w:color="auto"/>
            </w:tcBorders>
            <w:shd w:val="clear" w:color="auto" w:fill="99CCFF"/>
            <w:vAlign w:val="center"/>
          </w:tcPr>
          <w:p>
            <w:pPr>
              <w:tabs>
                <w:tab w:val="left" w:pos="176"/>
              </w:tabs>
              <w:spacing w:after="0"/>
              <w:ind w:left="142" w:hanging="108"/>
              <w:jc w:val="center"/>
              <w:rPr>
                <w:rFonts w:ascii="Times New Roman" w:hAnsi="Times New Roman"/>
                <w:b/>
                <w:noProof/>
                <w:sz w:val="20"/>
                <w:szCs w:val="20"/>
              </w:rPr>
            </w:pPr>
            <w:r>
              <w:rPr>
                <w:rFonts w:ascii="Times New Roman" w:hAnsi="Times New Roman"/>
                <w:b/>
                <w:noProof/>
                <w:sz w:val="20"/>
              </w:rPr>
              <w:t>Nr.</w:t>
            </w:r>
          </w:p>
        </w:tc>
        <w:tc>
          <w:tcPr>
            <w:tcW w:w="442" w:type="pct"/>
            <w:tcBorders>
              <w:bottom w:val="single" w:sz="4" w:space="0" w:color="auto"/>
            </w:tcBorders>
            <w:shd w:val="clear" w:color="auto" w:fill="99CCFF"/>
          </w:tcPr>
          <w:p>
            <w:pPr>
              <w:spacing w:after="0"/>
              <w:jc w:val="center"/>
              <w:rPr>
                <w:rFonts w:ascii="Times New Roman" w:hAnsi="Times New Roman"/>
                <w:b/>
                <w:noProof/>
                <w:sz w:val="20"/>
                <w:szCs w:val="20"/>
              </w:rPr>
            </w:pPr>
            <w:r>
              <w:rPr>
                <w:rFonts w:ascii="Times New Roman" w:hAnsi="Times New Roman"/>
                <w:b/>
                <w:noProof/>
                <w:sz w:val="20"/>
              </w:rPr>
              <w:t>Domeniu de politică</w:t>
            </w:r>
          </w:p>
        </w:tc>
        <w:tc>
          <w:tcPr>
            <w:tcW w:w="1924"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Titlu</w:t>
            </w:r>
          </w:p>
        </w:tc>
        <w:tc>
          <w:tcPr>
            <w:tcW w:w="2460"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Motivele abrogării</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4"/>
              </w:numPr>
              <w:spacing w:after="0" w:line="240" w:lineRule="auto"/>
              <w:ind w:left="357" w:hanging="357"/>
              <w:rPr>
                <w:rFonts w:ascii="Times New Roman" w:hAnsi="Times New Roman"/>
                <w:noProof/>
                <w:sz w:val="20"/>
                <w:szCs w:val="20"/>
              </w:rPr>
            </w:pPr>
          </w:p>
        </w:tc>
        <w:tc>
          <w:tcPr>
            <w:tcW w:w="442"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noProof/>
                <w:sz w:val="20"/>
                <w:szCs w:val="20"/>
              </w:rPr>
            </w:pPr>
            <w:r>
              <w:rPr>
                <w:rFonts w:ascii="Times New Roman" w:hAnsi="Times New Roman"/>
                <w:noProof/>
                <w:sz w:val="20"/>
              </w:rPr>
              <w:t>Afaceri maritime și pescuit</w:t>
            </w:r>
          </w:p>
        </w:tc>
        <w:tc>
          <w:tcPr>
            <w:tcW w:w="1924"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Regulamentul (CE) nr. 1300/2008 al Consiliului din 18 decembrie 2008 de stabilire a unui plan multianual pentru stocurile de hering prezente în vestul Scoției și pentru unitățile piscicole care exploatează aceste stocuri</w:t>
            </w:r>
          </w:p>
        </w:tc>
        <w:tc>
          <w:tcPr>
            <w:tcW w:w="2460" w:type="pct"/>
            <w:tcBorders>
              <w:top w:val="single" w:sz="4" w:space="0" w:color="auto"/>
              <w:left w:val="single" w:sz="4" w:space="0" w:color="auto"/>
              <w:bottom w:val="single" w:sz="4" w:space="0" w:color="auto"/>
              <w:right w:val="single" w:sz="4" w:space="0" w:color="auto"/>
            </w:tcBorders>
            <w:shd w:val="clear" w:color="auto" w:fill="auto"/>
          </w:tcPr>
          <w:p>
            <w:pPr>
              <w:jc w:val="both"/>
              <w:rPr>
                <w:rFonts w:ascii="Times New Roman" w:hAnsi="Times New Roman"/>
                <w:noProof/>
                <w:sz w:val="20"/>
                <w:szCs w:val="20"/>
              </w:rPr>
            </w:pPr>
            <w:r>
              <w:rPr>
                <w:rFonts w:ascii="Times New Roman" w:hAnsi="Times New Roman"/>
                <w:noProof/>
                <w:sz w:val="20"/>
              </w:rPr>
              <w:t>Punctele de referință ale acestui plan privind stocurile de hering nu mai sunt de actualitate, iar planul nu se mai aplică. Prin urmare, regulamentul poate fi abrogat.</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4"/>
              </w:numPr>
              <w:spacing w:after="0" w:line="240" w:lineRule="auto"/>
              <w:ind w:left="357" w:hanging="357"/>
              <w:rPr>
                <w:rFonts w:ascii="Times New Roman" w:hAnsi="Times New Roman"/>
                <w:noProof/>
                <w:sz w:val="20"/>
                <w:szCs w:val="20"/>
              </w:rPr>
            </w:pPr>
          </w:p>
        </w:tc>
        <w:tc>
          <w:tcPr>
            <w:tcW w:w="442"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noProof/>
                <w:sz w:val="20"/>
                <w:szCs w:val="20"/>
              </w:rPr>
            </w:pPr>
            <w:r>
              <w:rPr>
                <w:rFonts w:ascii="Times New Roman" w:hAnsi="Times New Roman"/>
                <w:noProof/>
                <w:sz w:val="20"/>
              </w:rPr>
              <w:t>Impozitare și vamă</w:t>
            </w:r>
          </w:p>
        </w:tc>
        <w:tc>
          <w:tcPr>
            <w:tcW w:w="1924"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 xml:space="preserve">Directiva Comisiei 79/802/CEE din 6 septembrie 1979 privind mărfurile plasate sub regimul de perfecționare activă și care ar beneficia, în caz de import pentru punerea în liberă circulație, de un regim tarifar favorabil datorită destinației speciale  </w:t>
            </w:r>
          </w:p>
        </w:tc>
        <w:tc>
          <w:tcPr>
            <w:tcW w:w="2460"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Directiva nu mai este necesară deoarece mărfurile din cadrul regimului de destinație finală intră în domeniul de aplicare al Regulamentului nr. 2658/87 privind Tariful vamal comun (anexa I), și, în plus, atât regimul de perfecționare activă, cât și regimul de destinație finală  sunt în prezent reglementate de Codul vamal al Uniunii (CVU).</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4"/>
              </w:numPr>
              <w:spacing w:after="0" w:line="240" w:lineRule="auto"/>
              <w:ind w:left="357" w:hanging="357"/>
              <w:rPr>
                <w:rFonts w:ascii="Times New Roman" w:hAnsi="Times New Roman"/>
                <w:noProof/>
                <w:sz w:val="20"/>
                <w:szCs w:val="20"/>
              </w:rPr>
            </w:pPr>
          </w:p>
        </w:tc>
        <w:tc>
          <w:tcPr>
            <w:tcW w:w="442"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noProof/>
                <w:sz w:val="20"/>
                <w:szCs w:val="20"/>
              </w:rPr>
            </w:pPr>
            <w:r>
              <w:rPr>
                <w:rFonts w:ascii="Times New Roman" w:hAnsi="Times New Roman"/>
                <w:noProof/>
                <w:sz w:val="20"/>
              </w:rPr>
              <w:t>Justiție și afaceri interne</w:t>
            </w:r>
          </w:p>
        </w:tc>
        <w:tc>
          <w:tcPr>
            <w:tcW w:w="1924"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Acțiunea comună 98/699/JAI privind spălarea banilor, identificarea, urmărirea, înghețarea sau sechestrarea și confiscarea instrumentelor și a produselor infracțiunii</w:t>
            </w:r>
          </w:p>
        </w:tc>
        <w:tc>
          <w:tcPr>
            <w:tcW w:w="2460"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Acest instrument a fost înlocuit integral de Directiva 2014/42/UE privind înghețarea și confiscarea instrumentelor și produselor infracțiunilor pentru toate statele membre care participă la directivă (cu excepția Danemarcei și a Regatului Unit). Majoritatea dispozițiilor sale au fost deja înlocuite de Decizia-cadru 2001/500/JAI (privind spălarea banilor, identificarea, urmărirea, înghețarea, sechestrarea și confiscarea instrumentelor și produselor infracțiunii), care se aplică și Danemarcei și Regatului Unit. Dispozițiile rămase constituie recomandări cu caracter general, fără forță juridică obligatorie, care acum se aplică doar Danemarcei și Regatului Unit.</w:t>
            </w: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72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5F6"/>
    <w:multiLevelType w:val="hybridMultilevel"/>
    <w:tmpl w:val="6F92D59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A52FA"/>
    <w:multiLevelType w:val="hybridMultilevel"/>
    <w:tmpl w:val="1532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C208B"/>
    <w:multiLevelType w:val="hybridMultilevel"/>
    <w:tmpl w:val="51DA8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1C4255"/>
    <w:multiLevelType w:val="hybridMultilevel"/>
    <w:tmpl w:val="F73C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108D2"/>
    <w:multiLevelType w:val="hybridMultilevel"/>
    <w:tmpl w:val="1796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57BB5CDC"/>
    <w:multiLevelType w:val="hybridMultilevel"/>
    <w:tmpl w:val="823004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EA110E"/>
    <w:multiLevelType w:val="hybridMultilevel"/>
    <w:tmpl w:val="F964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344EF"/>
    <w:multiLevelType w:val="hybridMultilevel"/>
    <w:tmpl w:val="9042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DB160A"/>
    <w:multiLevelType w:val="hybridMultilevel"/>
    <w:tmpl w:val="5FAE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E712B"/>
    <w:multiLevelType w:val="hybridMultilevel"/>
    <w:tmpl w:val="818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7"/>
  </w:num>
  <w:num w:numId="6">
    <w:abstractNumId w:val="1"/>
  </w:num>
  <w:num w:numId="7">
    <w:abstractNumId w:val="4"/>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
    <w:docVar w:name="LW_ANNEX_NBR_FIRST" w:val="5"/>
    <w:docVar w:name="LW_ANNEX_NBR_LAST" w:val="5"/>
    <w:docVar w:name="LW_ANNEX_UNIQUE" w:val="0"/>
    <w:docVar w:name="LW_CORRIGENDUM" w:val="&lt;UNUSED&gt;"/>
    <w:docVar w:name="LW_COVERPAGE_EXISTS" w:val="True"/>
    <w:docVar w:name="LW_COVERPAGE_GUID" w:val="C39CC2F3-ACB7-4C52-81A7-A72EB4F526A4"/>
    <w:docVar w:name="LW_COVERPAGE_TYPE" w:val="1"/>
    <w:docVar w:name="LW_CROSSREFERENCE" w:val="&lt;UNUSED&gt;"/>
    <w:docVar w:name="LW_DocType" w:val="NORMAL"/>
    <w:docVar w:name="LW_EMISSION" w:val="24.10.2017"/>
    <w:docVar w:name="LW_EMISSION_ISODATE" w:val="2017-10-24"/>
    <w:docVar w:name="LW_EMISSION_LOCATION" w:val="STR"/>
    <w:docVar w:name="LW_EMISSION_PREFIX" w:val="Strasbourg, "/>
    <w:docVar w:name="LW_EMISSION_SUFFIX" w:val="&lt;EMPTY&gt;"/>
    <w:docVar w:name="LW_ID_DOCTYPE_NONLW" w:val="CP-039"/>
    <w:docVar w:name="LW_LANGUE" w:val="RO"/>
    <w:docVar w:name="LW_LEVEL_OF_SENSITIVITY" w:val="Standard treatment"/>
    <w:docVar w:name="LW_NOM.INST" w:val="COMISIA EUROPEAN\u258?"/>
    <w:docVar w:name="LW_NOM.INST_JOINTDOC" w:val="&lt;EMPTY&gt;"/>
    <w:docVar w:name="LW_OBJETACTEPRINCIPAL.CP" w:val="_x000b_Programul de lucru al Comisiei pentru 2018_x000b__x000b_O agend\u259? pentru o Europ\u259? mai unit\u259?, mai puternic\u259? \u537?i mai democratic\u259?"/>
    <w:docVar w:name="LW_PART_NBR" w:val="1"/>
    <w:docVar w:name="LW_PART_NBR_TOTAL" w:val="1"/>
    <w:docVar w:name="LW_REF.INST.NEW" w:val="COM"/>
    <w:docVar w:name="LW_REF.INST.NEW_ADOPTED" w:val="final"/>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COMUNICAREA COMISIEI C\u258?TRE PARLAMENTUL EUROPEAN, CONSILIU, COMITETUL ECONOMIC \u536?I SOCIAL EUROPEAN \u536?I COMITETUL REGIUNILOR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ro-RO"/>
    </w:rPr>
  </w:style>
  <w:style w:type="paragraph" w:styleId="ListParagraph">
    <w:name w:val="List Paragraph"/>
    <w:basedOn w:val="Normal"/>
    <w:uiPriority w:val="34"/>
    <w:qFormat/>
    <w:pPr>
      <w:spacing w:after="0" w:line="240" w:lineRule="auto"/>
      <w:ind w:left="720"/>
    </w:pPr>
    <w:rPr>
      <w:rFonts w:cs="Calibri"/>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otnoteReference">
    <w:name w:val="footnote referen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Revision">
    <w:name w:val="Revision"/>
    <w:hidden/>
    <w:uiPriority w:val="99"/>
    <w:semiHidden/>
    <w:pPr>
      <w:spacing w:after="0" w:line="240" w:lineRule="auto"/>
    </w:pPr>
    <w:rPr>
      <w:rFonts w:ascii="Calibri" w:eastAsia="Calibri" w:hAnsi="Calibri" w:cs="Times New Roman"/>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ro-RO"/>
    </w:rPr>
  </w:style>
  <w:style w:type="paragraph" w:styleId="ListParagraph">
    <w:name w:val="List Paragraph"/>
    <w:basedOn w:val="Normal"/>
    <w:uiPriority w:val="34"/>
    <w:qFormat/>
    <w:pPr>
      <w:spacing w:after="0" w:line="240" w:lineRule="auto"/>
      <w:ind w:left="720"/>
    </w:pPr>
    <w:rPr>
      <w:rFonts w:cs="Calibri"/>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otnoteReference">
    <w:name w:val="footnote referen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Revision">
    <w:name w:val="Revision"/>
    <w:hidden/>
    <w:uiPriority w:val="99"/>
    <w:semiHidden/>
    <w:pPr>
      <w:spacing w:after="0" w:line="240" w:lineRule="auto"/>
    </w:pPr>
    <w:rPr>
      <w:rFonts w:ascii="Calibri" w:eastAsia="Calibri" w:hAnsi="Calibri" w:cs="Times New Roman"/>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3645">
      <w:bodyDiv w:val="1"/>
      <w:marLeft w:val="0"/>
      <w:marRight w:val="0"/>
      <w:marTop w:val="0"/>
      <w:marBottom w:val="0"/>
      <w:divBdr>
        <w:top w:val="none" w:sz="0" w:space="0" w:color="auto"/>
        <w:left w:val="none" w:sz="0" w:space="0" w:color="auto"/>
        <w:bottom w:val="none" w:sz="0" w:space="0" w:color="auto"/>
        <w:right w:val="none" w:sz="0" w:space="0" w:color="auto"/>
      </w:divBdr>
    </w:div>
    <w:div w:id="1424298659">
      <w:bodyDiv w:val="1"/>
      <w:marLeft w:val="0"/>
      <w:marRight w:val="0"/>
      <w:marTop w:val="0"/>
      <w:marBottom w:val="0"/>
      <w:divBdr>
        <w:top w:val="none" w:sz="0" w:space="0" w:color="auto"/>
        <w:left w:val="none" w:sz="0" w:space="0" w:color="auto"/>
        <w:bottom w:val="none" w:sz="0" w:space="0" w:color="auto"/>
        <w:right w:val="none" w:sz="0" w:space="0" w:color="auto"/>
      </w:divBdr>
    </w:div>
    <w:div w:id="1486773933">
      <w:bodyDiv w:val="1"/>
      <w:marLeft w:val="0"/>
      <w:marRight w:val="0"/>
      <w:marTop w:val="0"/>
      <w:marBottom w:val="0"/>
      <w:divBdr>
        <w:top w:val="none" w:sz="0" w:space="0" w:color="auto"/>
        <w:left w:val="none" w:sz="0" w:space="0" w:color="auto"/>
        <w:bottom w:val="none" w:sz="0" w:space="0" w:color="auto"/>
        <w:right w:val="none" w:sz="0" w:space="0" w:color="auto"/>
      </w:divBdr>
    </w:div>
    <w:div w:id="1590656876">
      <w:bodyDiv w:val="1"/>
      <w:marLeft w:val="0"/>
      <w:marRight w:val="0"/>
      <w:marTop w:val="0"/>
      <w:marBottom w:val="0"/>
      <w:divBdr>
        <w:top w:val="none" w:sz="0" w:space="0" w:color="auto"/>
        <w:left w:val="none" w:sz="0" w:space="0" w:color="auto"/>
        <w:bottom w:val="none" w:sz="0" w:space="0" w:color="auto"/>
        <w:right w:val="none" w:sz="0" w:space="0" w:color="auto"/>
      </w:divBdr>
    </w:div>
    <w:div w:id="17962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9360-1B2E-4CD5-B03E-364D4386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1717</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HELLMANN Katharina (SG)</dc:creator>
  <cp:lastModifiedBy>DIGIT/A3</cp:lastModifiedBy>
  <cp:revision>9</cp:revision>
  <cp:lastPrinted>2017-10-13T07:44:00Z</cp:lastPrinted>
  <dcterms:created xsi:type="dcterms:W3CDTF">2017-10-24T08:12:00Z</dcterms:created>
  <dcterms:modified xsi:type="dcterms:W3CDTF">2017-11-06T14:05:00Z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5</vt:lpwstr>
  </property>
  <property fmtid="{D5CDD505-2E9C-101B-9397-08002B2CF9AE}" pid="3" name="Last annex">
    <vt:lpwstr>5</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