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16" w:rsidRDefault="006F2C8A" w:rsidP="006F2C8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43E5BB9-D523-42BF-ADA7-BA0ED600CF75" style="width:450.8pt;height:515.8pt">
            <v:imagedata r:id="rId9" o:title=""/>
          </v:shape>
        </w:pict>
      </w:r>
    </w:p>
    <w:bookmarkEnd w:id="0"/>
    <w:p w:rsidR="000E0916" w:rsidRDefault="000E0916">
      <w:pPr>
        <w:rPr>
          <w:noProof/>
        </w:rPr>
        <w:sectPr w:rsidR="000E0916" w:rsidSect="006F2C8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0E0916" w:rsidRDefault="00B2276E">
      <w:pPr>
        <w:spacing w:after="600"/>
        <w:jc w:val="center"/>
        <w:outlineLvl w:val="0"/>
        <w:rPr>
          <w:rFonts w:ascii="Times New Roman" w:eastAsia="Calibri" w:hAnsi="Times New Roman" w:cs="Times New Roman"/>
          <w:b/>
          <w:noProof/>
          <w:sz w:val="28"/>
          <w:szCs w:val="28"/>
          <w:u w:val="single"/>
        </w:rPr>
      </w:pPr>
      <w:bookmarkStart w:id="1" w:name="_GoBack"/>
      <w:bookmarkEnd w:id="1"/>
      <w:r>
        <w:rPr>
          <w:rFonts w:ascii="Times New Roman" w:hAnsi="Times New Roman"/>
          <w:b/>
          <w:noProof/>
          <w:sz w:val="28"/>
          <w:u w:val="single"/>
        </w:rPr>
        <w:lastRenderedPageBreak/>
        <w:t>Bilag IV: Tilbagetrækning</w:t>
      </w:r>
      <w:r>
        <w:rPr>
          <w:rStyle w:val="FootnoteReference"/>
          <w:rFonts w:ascii="Times New Roman" w:hAnsi="Times New Roman"/>
          <w:b/>
          <w:noProof/>
          <w:sz w:val="28"/>
          <w:u w:val="single"/>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96"/>
        <w:gridCol w:w="2450"/>
        <w:gridCol w:w="5055"/>
        <w:gridCol w:w="6073"/>
      </w:tblGrid>
      <w:tr w:rsidR="000E0916">
        <w:trPr>
          <w:cantSplit/>
          <w:tblHeader/>
        </w:trPr>
        <w:tc>
          <w:tcPr>
            <w:tcW w:w="184" w:type="pct"/>
            <w:shd w:val="clear" w:color="auto" w:fill="99CCFF"/>
          </w:tcPr>
          <w:p w:rsidR="000E0916" w:rsidRDefault="00B2276E">
            <w:pPr>
              <w:spacing w:after="0" w:line="240" w:lineRule="auto"/>
              <w:ind w:left="142"/>
              <w:rPr>
                <w:rFonts w:ascii="Times New Roman" w:eastAsia="Times New Roman" w:hAnsi="Times New Roman" w:cs="Times New Roman"/>
                <w:b/>
                <w:noProof/>
                <w:sz w:val="20"/>
                <w:szCs w:val="20"/>
              </w:rPr>
            </w:pPr>
            <w:r>
              <w:rPr>
                <w:rFonts w:ascii="Times New Roman" w:hAnsi="Times New Roman"/>
                <w:b/>
                <w:noProof/>
                <w:sz w:val="20"/>
              </w:rPr>
              <w:t>Nr.</w:t>
            </w:r>
          </w:p>
        </w:tc>
        <w:tc>
          <w:tcPr>
            <w:tcW w:w="873" w:type="pct"/>
            <w:shd w:val="clear" w:color="auto" w:fill="99CCFF"/>
          </w:tcPr>
          <w:p w:rsidR="000E0916" w:rsidRDefault="00B2276E">
            <w:pPr>
              <w:spacing w:after="0" w:line="240" w:lineRule="auto"/>
              <w:rPr>
                <w:rFonts w:ascii="Times New Roman" w:eastAsia="Times New Roman" w:hAnsi="Times New Roman" w:cs="Times New Roman"/>
                <w:b/>
                <w:noProof/>
                <w:sz w:val="20"/>
                <w:szCs w:val="20"/>
              </w:rPr>
            </w:pPr>
            <w:r>
              <w:rPr>
                <w:rFonts w:ascii="Times New Roman" w:hAnsi="Times New Roman"/>
                <w:b/>
                <w:noProof/>
                <w:sz w:val="20"/>
              </w:rPr>
              <w:t>KOM eller COM/interinstitutionel reference</w:t>
            </w:r>
          </w:p>
        </w:tc>
        <w:tc>
          <w:tcPr>
            <w:tcW w:w="1792" w:type="pct"/>
            <w:shd w:val="clear" w:color="auto" w:fill="99CCFF"/>
            <w:vAlign w:val="center"/>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b/>
                <w:noProof/>
                <w:sz w:val="20"/>
              </w:rPr>
              <w:t>Titel</w:t>
            </w:r>
          </w:p>
        </w:tc>
        <w:tc>
          <w:tcPr>
            <w:tcW w:w="2151" w:type="pct"/>
            <w:shd w:val="clear" w:color="auto" w:fill="99CCFF"/>
            <w:vAlign w:val="center"/>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b/>
                <w:noProof/>
                <w:sz w:val="20"/>
              </w:rPr>
              <w:t>Begrundelse for tilbagetrækningen</w:t>
            </w:r>
          </w:p>
        </w:tc>
      </w:tr>
      <w:tr w:rsidR="000E0916">
        <w:trPr>
          <w:cantSplit/>
        </w:trPr>
        <w:tc>
          <w:tcPr>
            <w:tcW w:w="5000" w:type="pct"/>
            <w:gridSpan w:val="4"/>
            <w:shd w:val="clear" w:color="auto" w:fill="92D050"/>
          </w:tcPr>
          <w:p w:rsidR="000E0916" w:rsidRDefault="00B2276E">
            <w:pPr>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Landbrug og udvikling af landdistrikter</w:t>
            </w: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noProof/>
                <w:sz w:val="20"/>
                <w:szCs w:val="20"/>
              </w:rPr>
            </w:pPr>
          </w:p>
        </w:tc>
        <w:tc>
          <w:tcPr>
            <w:tcW w:w="873" w:type="pct"/>
          </w:tcPr>
          <w:p w:rsidR="000E0916" w:rsidRDefault="00B2276E">
            <w:pPr>
              <w:spacing w:after="0" w:line="240" w:lineRule="auto"/>
              <w:rPr>
                <w:rFonts w:ascii="Times New Roman" w:eastAsia="Times New Roman" w:hAnsi="Times New Roman" w:cs="Times New Roman"/>
                <w:noProof/>
                <w:sz w:val="20"/>
                <w:szCs w:val="20"/>
              </w:rPr>
            </w:pPr>
            <w:r>
              <w:rPr>
                <w:rFonts w:ascii="Times New Roman" w:hAnsi="Times New Roman"/>
                <w:noProof/>
                <w:color w:val="000000"/>
                <w:sz w:val="20"/>
              </w:rPr>
              <w:t>COM(2017) 0150 final</w:t>
            </w:r>
            <w:r>
              <w:rPr>
                <w:rFonts w:ascii="Times New Roman" w:hAnsi="Times New Roman" w:cs="Times New Roman"/>
                <w:iCs/>
                <w:noProof/>
                <w:color w:val="000000"/>
                <w:sz w:val="20"/>
                <w:szCs w:val="20"/>
              </w:rPr>
              <w:br/>
            </w:r>
            <w:r>
              <w:rPr>
                <w:rFonts w:ascii="Times New Roman" w:hAnsi="Times New Roman"/>
                <w:noProof/>
                <w:color w:val="000000"/>
                <w:sz w:val="20"/>
              </w:rPr>
              <w:t>2017/068/COD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FORORDNING om fastsættelse i henhold til forordning (EU) nr. 1306/2013 af tilpasningssatsen for direkte betalinger for kalenderåret 2017</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noProof/>
                <w:sz w:val="20"/>
              </w:rPr>
              <w:t>Forældet: Spørgsmålet er behandlet i Kommissionens gennemførelsesforordning (EU) 2017/1236 af 7. juli 2017.</w:t>
            </w:r>
          </w:p>
          <w:p w:rsidR="000E0916" w:rsidRDefault="000E0916">
            <w:pPr>
              <w:spacing w:after="0" w:line="240" w:lineRule="auto"/>
              <w:jc w:val="both"/>
              <w:rPr>
                <w:rFonts w:ascii="Times New Roman" w:eastAsia="Times New Roman" w:hAnsi="Times New Roman" w:cs="Times New Roman"/>
                <w:noProof/>
                <w:sz w:val="20"/>
                <w:szCs w:val="20"/>
              </w:rPr>
            </w:pPr>
          </w:p>
          <w:p w:rsidR="000E0916" w:rsidRDefault="000E0916">
            <w:pPr>
              <w:spacing w:after="0" w:line="240" w:lineRule="auto"/>
              <w:jc w:val="both"/>
              <w:rPr>
                <w:rFonts w:ascii="Times New Roman" w:eastAsia="Times New Roman" w:hAnsi="Times New Roman" w:cs="Times New Roman"/>
                <w:noProof/>
                <w:sz w:val="20"/>
                <w:szCs w:val="20"/>
              </w:rPr>
            </w:pPr>
          </w:p>
        </w:tc>
      </w:tr>
      <w:tr w:rsidR="000E0916">
        <w:trPr>
          <w:cantSplit/>
        </w:trPr>
        <w:tc>
          <w:tcPr>
            <w:tcW w:w="5000" w:type="pct"/>
            <w:gridSpan w:val="4"/>
            <w:shd w:val="clear" w:color="auto" w:fill="92D050"/>
          </w:tcPr>
          <w:p w:rsidR="000E0916" w:rsidRDefault="00B2276E">
            <w:pPr>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Økonomiske og finansielle anliggender samt beskatning og told</w:t>
            </w: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bCs/>
                <w:noProof/>
                <w:sz w:val="20"/>
                <w:szCs w:val="20"/>
              </w:rPr>
            </w:pPr>
          </w:p>
        </w:tc>
        <w:tc>
          <w:tcPr>
            <w:tcW w:w="873" w:type="pct"/>
          </w:tcPr>
          <w:p w:rsidR="000E0916" w:rsidRDefault="00B2276E">
            <w:pPr>
              <w:rPr>
                <w:rFonts w:ascii="Times New Roman" w:eastAsia="Times New Roman" w:hAnsi="Times New Roman" w:cs="Times New Roman"/>
                <w:bCs/>
                <w:noProof/>
                <w:sz w:val="20"/>
                <w:szCs w:val="20"/>
              </w:rPr>
            </w:pPr>
            <w:r>
              <w:rPr>
                <w:rFonts w:ascii="Times New Roman" w:hAnsi="Times New Roman"/>
                <w:noProof/>
                <w:sz w:val="20"/>
              </w:rPr>
              <w:t>KOM(2011) 737 final</w:t>
            </w:r>
            <w:r>
              <w:rPr>
                <w:rFonts w:ascii="Times New Roman" w:eastAsia="Times New Roman" w:hAnsi="Times New Roman" w:cs="Times New Roman"/>
                <w:bCs/>
                <w:noProof/>
                <w:sz w:val="20"/>
                <w:szCs w:val="20"/>
              </w:rPr>
              <w:br/>
            </w:r>
            <w:r>
              <w:rPr>
                <w:rFonts w:ascii="Times New Roman" w:hAnsi="Times New Roman"/>
                <w:noProof/>
                <w:sz w:val="20"/>
              </w:rPr>
              <w:t>2011/333/CNS</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RÅDETS FORORDNING om metoderne og proceduren for overdragelse af den egne indtægt fra moms</w:t>
            </w:r>
          </w:p>
          <w:p w:rsidR="000E0916" w:rsidRDefault="000E0916">
            <w:pPr>
              <w:spacing w:after="0" w:line="240" w:lineRule="auto"/>
              <w:jc w:val="both"/>
              <w:rPr>
                <w:rFonts w:ascii="Times New Roman" w:eastAsia="Times New Roman" w:hAnsi="Times New Roman" w:cs="Times New Roman"/>
                <w:bCs/>
                <w:i/>
                <w:noProof/>
                <w:sz w:val="20"/>
                <w:szCs w:val="20"/>
              </w:rPr>
            </w:pP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noProof/>
                <w:sz w:val="20"/>
              </w:rPr>
              <w:t>Kommissionen vil fremlægge nye forslag om egne indtægter i det omfattende forslag til den kommende flerårige finansielle programmering efter 2020. Forslaget vil blive erstattet af nye forslag i den forbindelse og bliver derfor forældet.</w:t>
            </w: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bCs/>
                <w:noProof/>
                <w:sz w:val="20"/>
                <w:szCs w:val="20"/>
              </w:rPr>
            </w:pPr>
          </w:p>
        </w:tc>
        <w:tc>
          <w:tcPr>
            <w:tcW w:w="873" w:type="pct"/>
          </w:tcPr>
          <w:p w:rsidR="000E0916" w:rsidRDefault="00B2276E">
            <w:pPr>
              <w:rPr>
                <w:rFonts w:ascii="Times New Roman" w:eastAsia="Times New Roman" w:hAnsi="Times New Roman" w:cs="Times New Roman"/>
                <w:bCs/>
                <w:noProof/>
                <w:sz w:val="20"/>
                <w:szCs w:val="20"/>
              </w:rPr>
            </w:pPr>
            <w:r>
              <w:rPr>
                <w:rFonts w:ascii="Times New Roman" w:hAnsi="Times New Roman"/>
                <w:noProof/>
                <w:sz w:val="20"/>
              </w:rPr>
              <w:t>COM(2014) 43 final</w:t>
            </w:r>
            <w:r>
              <w:rPr>
                <w:rFonts w:ascii="Times New Roman" w:eastAsia="Times New Roman" w:hAnsi="Times New Roman" w:cs="Times New Roman"/>
                <w:bCs/>
                <w:noProof/>
                <w:sz w:val="20"/>
                <w:szCs w:val="20"/>
              </w:rPr>
              <w:br/>
            </w:r>
            <w:r>
              <w:rPr>
                <w:rFonts w:ascii="Times New Roman" w:hAnsi="Times New Roman"/>
                <w:noProof/>
                <w:sz w:val="20"/>
              </w:rPr>
              <w:t>2014/0020/COD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FORORDNING om strukturelle foranstaltninger til forbedring af modstandsdygtigheden i kreditinstitutter i EU</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highlight w:val="yellow"/>
              </w:rPr>
            </w:pPr>
            <w:r>
              <w:rPr>
                <w:rFonts w:ascii="Times New Roman" w:hAnsi="Times New Roman"/>
                <w:noProof/>
                <w:sz w:val="20"/>
              </w:rPr>
              <w:t xml:space="preserve">Der er ikke udsigt til, at der kan opnås enighed om forslaget. Der er ikke sket fremskridt siden 2015. Derudover er forslagets hovedformålet om finansiel stabilitet i mellemtiden blevet sikret ved hjælp af andre reguleringsmæssige foranstaltninger i banksektoren og navnlig ved ikrafttrædelsen af Bankunionens tilsyns- og afviklingsmekanismer. </w:t>
            </w:r>
          </w:p>
          <w:p w:rsidR="000E0916" w:rsidRDefault="000E0916">
            <w:pPr>
              <w:spacing w:after="0" w:line="240" w:lineRule="auto"/>
              <w:jc w:val="both"/>
              <w:rPr>
                <w:rFonts w:ascii="Times New Roman" w:eastAsia="Times New Roman" w:hAnsi="Times New Roman" w:cs="Times New Roman"/>
                <w:noProof/>
                <w:sz w:val="20"/>
                <w:szCs w:val="20"/>
              </w:rPr>
            </w:pPr>
          </w:p>
        </w:tc>
      </w:tr>
      <w:tr w:rsidR="000E0916">
        <w:trPr>
          <w:cantSplit/>
        </w:trPr>
        <w:tc>
          <w:tcPr>
            <w:tcW w:w="5000" w:type="pct"/>
            <w:gridSpan w:val="4"/>
            <w:shd w:val="clear" w:color="auto" w:fill="92D050"/>
          </w:tcPr>
          <w:p w:rsidR="000E0916" w:rsidRDefault="00B2276E">
            <w:pPr>
              <w:keepNext/>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lastRenderedPageBreak/>
              <w:t>Udenrigsanliggender og sikkerhedspolitik</w:t>
            </w: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noProof/>
                <w:sz w:val="20"/>
                <w:szCs w:val="20"/>
              </w:rPr>
            </w:pPr>
          </w:p>
        </w:tc>
        <w:tc>
          <w:tcPr>
            <w:tcW w:w="873" w:type="pct"/>
          </w:tcPr>
          <w:p w:rsidR="000E0916" w:rsidRDefault="00B2276E">
            <w:pPr>
              <w:rPr>
                <w:rFonts w:ascii="Times New Roman" w:hAnsi="Times New Roman" w:cs="Times New Roman"/>
                <w:noProof/>
                <w:color w:val="000000"/>
                <w:sz w:val="20"/>
                <w:szCs w:val="20"/>
              </w:rPr>
            </w:pPr>
            <w:r>
              <w:rPr>
                <w:rFonts w:ascii="Times New Roman" w:hAnsi="Times New Roman"/>
                <w:noProof/>
                <w:sz w:val="20"/>
              </w:rPr>
              <w:t>KOM(2003) 695 final</w:t>
            </w:r>
            <w:r>
              <w:rPr>
                <w:rFonts w:ascii="Times New Roman" w:eastAsia="Times New Roman" w:hAnsi="Times New Roman" w:cs="Times New Roman"/>
                <w:bCs/>
                <w:noProof/>
                <w:sz w:val="20"/>
                <w:szCs w:val="20"/>
              </w:rPr>
              <w:br/>
            </w:r>
            <w:r>
              <w:rPr>
                <w:rFonts w:ascii="Times New Roman" w:hAnsi="Times New Roman"/>
                <w:noProof/>
                <w:color w:val="000000"/>
                <w:sz w:val="20"/>
              </w:rPr>
              <w:t>CNS 2003/0268</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 xml:space="preserve">Forslag til RÅDETS AFGØRELSE om indgåelse af en aftale om politisk dialog og samarbejde mellem Det Europæiske Fællesskab og dets medlemsstater på den ene side og Det Andinske Fællesskab og dets medlemslande Republikken Bolivia, Republikken Colombia, Republikken Ecuador, Republikken Peru og Den Bolivariske Republik Venezuela på den anden side </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 xml:space="preserve">Forældet: Det er ikke længere i kraft, da det er erstattet af fælles forslag JOIN/2016/04 final af 3. februar 2016. </w:t>
            </w:r>
          </w:p>
          <w:p w:rsidR="000E0916" w:rsidRDefault="000E0916">
            <w:pPr>
              <w:spacing w:after="0" w:line="240" w:lineRule="auto"/>
              <w:jc w:val="both"/>
              <w:rPr>
                <w:rFonts w:ascii="Times New Roman" w:eastAsia="Times New Roman" w:hAnsi="Times New Roman" w:cs="Times New Roman"/>
                <w:noProof/>
                <w:sz w:val="20"/>
                <w:szCs w:val="20"/>
              </w:rPr>
            </w:pP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noProof/>
                <w:sz w:val="20"/>
                <w:szCs w:val="20"/>
              </w:rPr>
            </w:pPr>
          </w:p>
        </w:tc>
        <w:tc>
          <w:tcPr>
            <w:tcW w:w="873" w:type="pct"/>
          </w:tcPr>
          <w:p w:rsidR="000E0916" w:rsidRDefault="00B2276E">
            <w:pPr>
              <w:rPr>
                <w:rFonts w:ascii="Times New Roman" w:eastAsia="Times New Roman" w:hAnsi="Times New Roman" w:cs="Times New Roman"/>
                <w:bCs/>
                <w:noProof/>
                <w:sz w:val="20"/>
                <w:szCs w:val="20"/>
              </w:rPr>
            </w:pPr>
            <w:r>
              <w:rPr>
                <w:rFonts w:ascii="Times New Roman" w:hAnsi="Times New Roman"/>
                <w:noProof/>
                <w:sz w:val="20"/>
              </w:rPr>
              <w:t>COM(2014) 360 final</w:t>
            </w:r>
            <w:r>
              <w:rPr>
                <w:rFonts w:ascii="Times New Roman" w:eastAsia="Times New Roman" w:hAnsi="Times New Roman" w:cs="Times New Roman"/>
                <w:bCs/>
                <w:noProof/>
                <w:sz w:val="20"/>
                <w:szCs w:val="20"/>
              </w:rPr>
              <w:br/>
            </w:r>
            <w:r>
              <w:rPr>
                <w:rFonts w:ascii="Times New Roman" w:hAnsi="Times New Roman"/>
                <w:noProof/>
                <w:sz w:val="20"/>
              </w:rPr>
              <w:t>2014/0182/NLE</w:t>
            </w:r>
          </w:p>
        </w:tc>
        <w:tc>
          <w:tcPr>
            <w:tcW w:w="1792" w:type="pct"/>
            <w:shd w:val="clear" w:color="auto" w:fill="auto"/>
          </w:tcPr>
          <w:p w:rsidR="000E0916" w:rsidRDefault="00B2276E">
            <w:pPr>
              <w:spacing w:after="0"/>
              <w:jc w:val="both"/>
              <w:rPr>
                <w:rFonts w:ascii="Times New Roman" w:hAnsi="Times New Roman" w:cs="Times New Roman"/>
                <w:noProof/>
                <w:color w:val="000000"/>
                <w:sz w:val="20"/>
                <w:szCs w:val="20"/>
              </w:rPr>
            </w:pPr>
            <w:r>
              <w:rPr>
                <w:rFonts w:ascii="Times New Roman" w:hAnsi="Times New Roman"/>
                <w:noProof/>
                <w:color w:val="000000"/>
                <w:sz w:val="20"/>
              </w:rPr>
              <w:t>Forslag til RÅDETS AFGØRELSE om Unionens holdning i Samarbejdsrådet nedsat ved partnerskabs- og samarbejdsaftalen mellem De Europæiske Fællesskaber og deres medlemsstater på den ene side og Georgien på den anden side for så vidt angår vedtagelse af en henstilling om gennemførelse af associeringsdagsordenen mellem EU og Georgien</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Forældet: Associeringsdagsordenen blev vedtaget af Rådet for Udenrigsanliggender den 23. juni 2014 (Georgia ST 10978/14) og EUT L 261 af 30.8.2014.</w:t>
            </w: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noProof/>
                <w:sz w:val="20"/>
                <w:szCs w:val="20"/>
              </w:rPr>
            </w:pPr>
          </w:p>
        </w:tc>
        <w:tc>
          <w:tcPr>
            <w:tcW w:w="873" w:type="pct"/>
          </w:tcPr>
          <w:p w:rsidR="000E0916" w:rsidRDefault="00B2276E">
            <w:pPr>
              <w:rPr>
                <w:rFonts w:ascii="Times New Roman" w:eastAsia="Times New Roman" w:hAnsi="Times New Roman" w:cs="Times New Roman"/>
                <w:bCs/>
                <w:noProof/>
                <w:sz w:val="20"/>
                <w:szCs w:val="20"/>
              </w:rPr>
            </w:pPr>
            <w:r>
              <w:rPr>
                <w:rFonts w:ascii="Times New Roman" w:hAnsi="Times New Roman"/>
                <w:noProof/>
                <w:sz w:val="20"/>
              </w:rPr>
              <w:t>COM(2014) 359 final</w:t>
            </w:r>
            <w:r>
              <w:rPr>
                <w:rFonts w:ascii="Times New Roman" w:eastAsia="Times New Roman" w:hAnsi="Times New Roman" w:cs="Times New Roman"/>
                <w:bCs/>
                <w:noProof/>
                <w:sz w:val="20"/>
                <w:szCs w:val="20"/>
              </w:rPr>
              <w:br/>
            </w:r>
            <w:r>
              <w:rPr>
                <w:rFonts w:ascii="Times New Roman" w:hAnsi="Times New Roman"/>
                <w:noProof/>
                <w:sz w:val="20"/>
              </w:rPr>
              <w:t>2014/0181/NLE</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RÅDETS AFGØRELSE om Unionens holdning i Samarbejdsrådet nedsat ved partnerskabs- og samarbejdsaftalen mellem De Europæiske Fællesskaber og deres medlemsstater på den ene side og Republikken Moldova på den anden side for så vidt angår vedtagelse af en henstilling om gennemførelse af associeringsdagsordenen mellem EU og Moldova</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Forældet: Associeringsdagsordenen blev vedtaget af Rådet for Udenrigsanliggender den 23. juni 2014 (Moldova ST 9621/14 (I/A item note)).</w:t>
            </w:r>
          </w:p>
          <w:p w:rsidR="000E0916" w:rsidRDefault="000E0916">
            <w:pPr>
              <w:spacing w:after="0" w:line="240" w:lineRule="auto"/>
              <w:jc w:val="both"/>
              <w:rPr>
                <w:rFonts w:ascii="Times New Roman" w:eastAsia="Times New Roman" w:hAnsi="Times New Roman" w:cs="Times New Roman"/>
                <w:bCs/>
                <w:noProof/>
                <w:sz w:val="20"/>
                <w:szCs w:val="20"/>
              </w:rPr>
            </w:pPr>
          </w:p>
          <w:p w:rsidR="000E0916" w:rsidRDefault="000E0916">
            <w:pPr>
              <w:spacing w:after="0" w:line="240" w:lineRule="auto"/>
              <w:jc w:val="both"/>
              <w:rPr>
                <w:rFonts w:ascii="Times New Roman" w:eastAsia="Times New Roman" w:hAnsi="Times New Roman" w:cs="Times New Roman"/>
                <w:bCs/>
                <w:noProof/>
                <w:sz w:val="20"/>
                <w:szCs w:val="20"/>
              </w:rPr>
            </w:pPr>
          </w:p>
        </w:tc>
      </w:tr>
      <w:tr w:rsidR="000E0916">
        <w:trPr>
          <w:cantSplit/>
        </w:trPr>
        <w:tc>
          <w:tcPr>
            <w:tcW w:w="184" w:type="pct"/>
          </w:tcPr>
          <w:p w:rsidR="000E0916" w:rsidRDefault="000E0916">
            <w:pPr>
              <w:pStyle w:val="ListParagraph"/>
              <w:numPr>
                <w:ilvl w:val="0"/>
                <w:numId w:val="1"/>
              </w:numPr>
              <w:spacing w:after="0" w:line="240" w:lineRule="auto"/>
              <w:ind w:left="426"/>
              <w:rPr>
                <w:rFonts w:ascii="Times New Roman" w:eastAsia="Times New Roman" w:hAnsi="Times New Roman" w:cs="Times New Roman"/>
                <w:noProof/>
                <w:sz w:val="20"/>
                <w:szCs w:val="20"/>
              </w:rPr>
            </w:pPr>
          </w:p>
        </w:tc>
        <w:tc>
          <w:tcPr>
            <w:tcW w:w="873" w:type="pct"/>
          </w:tcPr>
          <w:p w:rsidR="000E0916" w:rsidRDefault="00B2276E">
            <w:pPr>
              <w:rPr>
                <w:rFonts w:ascii="Times New Roman" w:eastAsia="Times New Roman" w:hAnsi="Times New Roman" w:cs="Times New Roman"/>
                <w:bCs/>
                <w:noProof/>
                <w:sz w:val="20"/>
                <w:szCs w:val="20"/>
              </w:rPr>
            </w:pPr>
            <w:r>
              <w:rPr>
                <w:rFonts w:ascii="Times New Roman" w:hAnsi="Times New Roman"/>
                <w:noProof/>
                <w:sz w:val="20"/>
              </w:rPr>
              <w:t>COM(2013) 014 final</w:t>
            </w:r>
            <w:r>
              <w:rPr>
                <w:rFonts w:ascii="Times New Roman" w:eastAsia="Times New Roman" w:hAnsi="Times New Roman" w:cs="Times New Roman"/>
                <w:bCs/>
                <w:noProof/>
                <w:sz w:val="20"/>
                <w:szCs w:val="20"/>
              </w:rPr>
              <w:br/>
            </w:r>
            <w:r>
              <w:rPr>
                <w:rFonts w:ascii="Times New Roman" w:hAnsi="Times New Roman"/>
                <w:noProof/>
                <w:sz w:val="20"/>
              </w:rPr>
              <w:t>2013/0149/NLE</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Fælles forslag til RÅDETS AFGØRELSE om Unionens holdning i det associeringsråd, der er oprettet ved Euro-Middelhavsaftalen om oprettelse af en associering mellem Det Europæisk Fællesskab og dets medlemsstater på den ene side og Den Libanesiske Republik på den anden side, til vedtagelsen af en henstilling om gennemførelsen af anden ENP-handlingsplan EU-Libanon</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highlight w:val="yellow"/>
              </w:rPr>
            </w:pPr>
            <w:r>
              <w:rPr>
                <w:rFonts w:ascii="Times New Roman" w:hAnsi="Times New Roman"/>
                <w:noProof/>
                <w:sz w:val="20"/>
              </w:rPr>
              <w:t>Det fremgår af Associeringsrådet EU-Libanons afgørelse nr. 1/2016 af 11. november 2016 om fastlæggelse af prioriteterne for partnerskabet mellem EU og Libanon, at parterne frem for at forny ENP-handlingsplanen snarere bør vedtage partnerskabsprioriteterne og den tilhørende pagt. Det fælles forslag COM(2013) 014 er derfor forældet.</w:t>
            </w:r>
          </w:p>
        </w:tc>
      </w:tr>
      <w:tr w:rsidR="000E0916">
        <w:trPr>
          <w:cantSplit/>
        </w:trPr>
        <w:tc>
          <w:tcPr>
            <w:tcW w:w="5000" w:type="pct"/>
            <w:gridSpan w:val="4"/>
            <w:shd w:val="clear" w:color="auto" w:fill="92D050"/>
          </w:tcPr>
          <w:p w:rsidR="000E0916" w:rsidRDefault="00B2276E">
            <w:pPr>
              <w:keepNext/>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Det indre marked, industri, iværksætteri og SMV'er</w:t>
            </w: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rPr>
                <w:rFonts w:ascii="Times New Roman" w:hAnsi="Times New Roman" w:cs="Times New Roman"/>
                <w:noProof/>
                <w:color w:val="000000"/>
                <w:sz w:val="20"/>
                <w:szCs w:val="20"/>
              </w:rPr>
            </w:pPr>
            <w:r>
              <w:rPr>
                <w:rFonts w:ascii="Times New Roman" w:hAnsi="Times New Roman"/>
                <w:noProof/>
                <w:color w:val="000000"/>
                <w:sz w:val="20"/>
              </w:rPr>
              <w:t>COM(2012) 164</w:t>
            </w:r>
            <w:r>
              <w:rPr>
                <w:noProof/>
              </w:rPr>
              <w:t xml:space="preserve"> </w:t>
            </w:r>
            <w:r>
              <w:rPr>
                <w:rFonts w:ascii="Times New Roman" w:hAnsi="Times New Roman"/>
                <w:noProof/>
                <w:sz w:val="20"/>
              </w:rPr>
              <w:t>final</w:t>
            </w:r>
            <w:r>
              <w:rPr>
                <w:rFonts w:ascii="Times New Roman" w:hAnsi="Times New Roman" w:cs="Times New Roman"/>
                <w:noProof/>
                <w:color w:val="000000"/>
                <w:sz w:val="20"/>
                <w:szCs w:val="20"/>
              </w:rPr>
              <w:br/>
            </w:r>
            <w:r>
              <w:rPr>
                <w:rFonts w:ascii="Times New Roman" w:hAnsi="Times New Roman"/>
                <w:noProof/>
                <w:color w:val="000000"/>
                <w:sz w:val="20"/>
              </w:rPr>
              <w:t>2012/82/COD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FORORDNING om forenklede regler for overførsel i det indre marked af motorkøretøjer, der er indregistreret i en anden medlemsstat</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highlight w:val="yellow"/>
              </w:rPr>
            </w:pPr>
            <w:r>
              <w:rPr>
                <w:rFonts w:ascii="Times New Roman" w:hAnsi="Times New Roman"/>
                <w:noProof/>
                <w:sz w:val="20"/>
              </w:rPr>
              <w:t>Der er ikke udsigt til, at der kan opnås enighed om forslaget. Der er ikke sket fremskridt siden 2012. Kommissionen vil tage spørgsmålet op til fornyet overvejelse, bl.a. ved at iværksætte en ajourføring af konsekvensanalysen.</w:t>
            </w:r>
          </w:p>
          <w:p w:rsidR="000E0916" w:rsidRDefault="000E0916">
            <w:pPr>
              <w:spacing w:after="0" w:line="240" w:lineRule="auto"/>
              <w:jc w:val="both"/>
              <w:rPr>
                <w:rFonts w:ascii="Times New Roman" w:eastAsia="Times New Roman" w:hAnsi="Times New Roman" w:cs="Times New Roman"/>
                <w:noProof/>
                <w:sz w:val="20"/>
                <w:szCs w:val="20"/>
              </w:rPr>
            </w:pPr>
          </w:p>
        </w:tc>
      </w:tr>
      <w:tr w:rsidR="000E0916">
        <w:trPr>
          <w:cantSplit/>
        </w:trPr>
        <w:tc>
          <w:tcPr>
            <w:tcW w:w="5000" w:type="pct"/>
            <w:gridSpan w:val="4"/>
            <w:shd w:val="clear" w:color="auto" w:fill="92D050"/>
          </w:tcPr>
          <w:p w:rsidR="000E0916" w:rsidRDefault="00B2276E">
            <w:pPr>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Internationalt samarbejde og udvikling</w:t>
            </w:r>
          </w:p>
        </w:tc>
      </w:tr>
      <w:tr w:rsidR="000E0916">
        <w:trPr>
          <w:cantSplit/>
        </w:trPr>
        <w:tc>
          <w:tcPr>
            <w:tcW w:w="184" w:type="pct"/>
            <w:tcBorders>
              <w:bottom w:val="single" w:sz="4" w:space="0" w:color="auto"/>
            </w:tcBorders>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Borders>
              <w:bottom w:val="single" w:sz="4" w:space="0" w:color="auto"/>
            </w:tcBorders>
          </w:tcPr>
          <w:p w:rsidR="000E0916" w:rsidRDefault="00B2276E">
            <w:pPr>
              <w:rPr>
                <w:rFonts w:ascii="Times New Roman" w:hAnsi="Times New Roman" w:cs="Times New Roman"/>
                <w:noProof/>
                <w:color w:val="000000"/>
                <w:sz w:val="20"/>
                <w:szCs w:val="20"/>
              </w:rPr>
            </w:pPr>
            <w:r>
              <w:rPr>
                <w:rFonts w:ascii="Times New Roman" w:hAnsi="Times New Roman"/>
                <w:noProof/>
                <w:color w:val="000000"/>
                <w:sz w:val="20"/>
              </w:rPr>
              <w:t>KOM(2011) 0861 final</w:t>
            </w:r>
            <w:r>
              <w:rPr>
                <w:rFonts w:ascii="Times New Roman" w:hAnsi="Times New Roman" w:cs="Times New Roman"/>
                <w:noProof/>
                <w:color w:val="000000"/>
                <w:sz w:val="20"/>
                <w:szCs w:val="20"/>
              </w:rPr>
              <w:br/>
            </w:r>
            <w:r>
              <w:rPr>
                <w:rFonts w:ascii="Times New Roman" w:hAnsi="Times New Roman"/>
                <w:noProof/>
                <w:color w:val="000000"/>
                <w:sz w:val="20"/>
              </w:rPr>
              <w:t>2011/0420/NLE</w:t>
            </w:r>
          </w:p>
        </w:tc>
        <w:tc>
          <w:tcPr>
            <w:tcW w:w="1792" w:type="pct"/>
            <w:tcBorders>
              <w:bottom w:val="single" w:sz="4" w:space="0" w:color="auto"/>
            </w:tcBorders>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RÅDETS AFGØRELSE om EU's tiltrædelse af Den Internationale Rådgivende Bomuldskomité (ICAC)</w:t>
            </w:r>
          </w:p>
        </w:tc>
        <w:tc>
          <w:tcPr>
            <w:tcW w:w="2151" w:type="pct"/>
            <w:tcBorders>
              <w:bottom w:val="single" w:sz="4" w:space="0" w:color="auto"/>
            </w:tcBorders>
            <w:shd w:val="clear" w:color="auto" w:fill="auto"/>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noProof/>
                <w:sz w:val="20"/>
              </w:rPr>
              <w:t>Forældet: Der blev vedtaget en rådsafgørelse den 18. maj 2017 på grundlag af et ajourført forslag fra Kommissionen (COM(2016) 0712 final - 2016/0349 (NLE)).</w:t>
            </w:r>
          </w:p>
        </w:tc>
      </w:tr>
      <w:tr w:rsidR="000E0916">
        <w:trPr>
          <w:cantSplit/>
        </w:trPr>
        <w:tc>
          <w:tcPr>
            <w:tcW w:w="5000" w:type="pct"/>
            <w:gridSpan w:val="4"/>
            <w:shd w:val="clear" w:color="auto" w:fill="92D050"/>
          </w:tcPr>
          <w:p w:rsidR="000E0916" w:rsidRDefault="00B2276E">
            <w:pPr>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Retlige anliggender, forbrugere og ligestilling mellem mænd og kvinder</w:t>
            </w: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rPr>
                <w:rFonts w:ascii="Times New Roman" w:hAnsi="Times New Roman" w:cs="Times New Roman"/>
                <w:noProof/>
                <w:color w:val="000000"/>
                <w:sz w:val="20"/>
                <w:szCs w:val="20"/>
              </w:rPr>
            </w:pPr>
            <w:r>
              <w:rPr>
                <w:rFonts w:ascii="Times New Roman" w:hAnsi="Times New Roman"/>
                <w:noProof/>
                <w:color w:val="000000"/>
                <w:sz w:val="20"/>
              </w:rPr>
              <w:t>COM(2014) 0212 final</w:t>
            </w:r>
            <w:r>
              <w:rPr>
                <w:rFonts w:ascii="Times New Roman" w:hAnsi="Times New Roman" w:cs="Times New Roman"/>
                <w:noProof/>
                <w:color w:val="000000"/>
                <w:sz w:val="20"/>
                <w:szCs w:val="20"/>
              </w:rPr>
              <w:br/>
            </w:r>
            <w:r>
              <w:rPr>
                <w:rFonts w:ascii="Times New Roman" w:hAnsi="Times New Roman"/>
                <w:noProof/>
                <w:color w:val="000000"/>
                <w:sz w:val="20"/>
              </w:rPr>
              <w:t>2014/0120/COD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DIREKTIV om enkeltmandsselskaber med begrænset ansvar</w:t>
            </w:r>
          </w:p>
        </w:tc>
        <w:tc>
          <w:tcPr>
            <w:tcW w:w="2151" w:type="pct"/>
            <w:shd w:val="clear" w:color="auto" w:fill="auto"/>
          </w:tcPr>
          <w:p w:rsidR="000E0916" w:rsidRDefault="00B2276E">
            <w:pPr>
              <w:spacing w:after="0" w:line="240" w:lineRule="auto"/>
              <w:jc w:val="both"/>
              <w:rPr>
                <w:rFonts w:ascii="Times New Roman" w:hAnsi="Times New Roman" w:cs="Times New Roman"/>
                <w:noProof/>
                <w:sz w:val="20"/>
                <w:szCs w:val="20"/>
              </w:rPr>
            </w:pPr>
            <w:r>
              <w:rPr>
                <w:rFonts w:ascii="Times New Roman" w:hAnsi="Times New Roman"/>
                <w:noProof/>
                <w:sz w:val="20"/>
              </w:rPr>
              <w:t>Muligheden for tilbagetrækning blev nævnt i et skriftlig svar på spørgsmål fra PANA-Udvalget. Kommissionen vil fremlægge nye forslag om selskabsret i 4. kvartal af 2017, og det aktuelle forslag vil dernæst blive trukket tilbage.</w:t>
            </w:r>
          </w:p>
        </w:tc>
      </w:tr>
      <w:tr w:rsidR="000E0916">
        <w:trPr>
          <w:cantSplit/>
        </w:trPr>
        <w:tc>
          <w:tcPr>
            <w:tcW w:w="5000" w:type="pct"/>
            <w:gridSpan w:val="4"/>
            <w:shd w:val="clear" w:color="auto" w:fill="92D050"/>
          </w:tcPr>
          <w:p w:rsidR="000E0916" w:rsidRDefault="00B2276E">
            <w:pPr>
              <w:keepNext/>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Maritime Anliggender og Fiskeri</w:t>
            </w: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spacing w:after="0" w:line="240" w:lineRule="auto"/>
              <w:rPr>
                <w:rFonts w:ascii="Times New Roman" w:hAnsi="Times New Roman" w:cs="Times New Roman"/>
                <w:iCs/>
                <w:noProof/>
                <w:color w:val="000000"/>
                <w:sz w:val="20"/>
                <w:szCs w:val="20"/>
              </w:rPr>
            </w:pPr>
            <w:r>
              <w:rPr>
                <w:rFonts w:ascii="Times New Roman" w:hAnsi="Times New Roman"/>
                <w:noProof/>
                <w:sz w:val="20"/>
              </w:rPr>
              <w:t>KOM(2011) 0760 final</w:t>
            </w:r>
            <w:r>
              <w:rPr>
                <w:rFonts w:ascii="Times New Roman" w:eastAsia="Times New Roman" w:hAnsi="Times New Roman" w:cs="Times New Roman"/>
                <w:bCs/>
                <w:noProof/>
                <w:sz w:val="20"/>
                <w:szCs w:val="20"/>
              </w:rPr>
              <w:br/>
            </w:r>
            <w:r>
              <w:rPr>
                <w:rFonts w:ascii="Times New Roman" w:hAnsi="Times New Roman"/>
                <w:noProof/>
                <w:sz w:val="20"/>
              </w:rPr>
              <w:t>2011/0345/COD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FORORDNING om ændring af Rådets forordning (EF) nr. 1300/2008 af 18. december 2008 om fastlæggelse af en flerårig plan for sildebestanden i området vest for Skotland og fiskeriets udnyttelse af denne bestand</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noProof/>
                <w:sz w:val="20"/>
              </w:rPr>
              <w:t>Forslaget bliver forældet med den foreslåede ophævelse (se bilag V) til Rådets forordning (EF) nr. 1300/2008 af 18. december 2008 om fastlæggelse af en flerårig plan for sildebestanden i området vest for Skotland.</w:t>
            </w: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spacing w:after="0" w:line="240" w:lineRule="auto"/>
              <w:rPr>
                <w:rFonts w:ascii="Times New Roman" w:eastAsia="Times New Roman" w:hAnsi="Times New Roman" w:cs="Times New Roman"/>
                <w:bCs/>
                <w:noProof/>
                <w:sz w:val="20"/>
                <w:szCs w:val="20"/>
              </w:rPr>
            </w:pPr>
            <w:r>
              <w:rPr>
                <w:rFonts w:ascii="Times New Roman" w:hAnsi="Times New Roman"/>
                <w:noProof/>
                <w:sz w:val="20"/>
              </w:rPr>
              <w:t>COM(2013) 09 final</w:t>
            </w:r>
            <w:r>
              <w:rPr>
                <w:rFonts w:ascii="Times New Roman" w:eastAsia="Times New Roman" w:hAnsi="Times New Roman" w:cs="Times New Roman"/>
                <w:bCs/>
                <w:noProof/>
                <w:sz w:val="20"/>
                <w:szCs w:val="20"/>
              </w:rPr>
              <w:br/>
            </w:r>
            <w:r>
              <w:rPr>
                <w:rFonts w:ascii="Times New Roman" w:hAnsi="Times New Roman"/>
                <w:noProof/>
                <w:sz w:val="20"/>
              </w:rPr>
              <w:t>2013/0007/COD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FORORDNING om ændring af Rådets forordning (EF) nr. 1224/2009 om oprettelse af en EF-kontrolordning med henblik på at sikre overholdelse af reglerne i den fælles fiskeripolitik</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noProof/>
                <w:sz w:val="20"/>
              </w:rPr>
              <w:t>Kommissionen har til hensigt at fremlægge et nyt forslag om en omfattende revision af fiskerikontrolordningen i 2. kvartal 2018.</w:t>
            </w:r>
          </w:p>
        </w:tc>
      </w:tr>
      <w:tr w:rsidR="000E0916">
        <w:trPr>
          <w:cantSplit/>
        </w:trPr>
        <w:tc>
          <w:tcPr>
            <w:tcW w:w="5000" w:type="pct"/>
            <w:gridSpan w:val="4"/>
            <w:shd w:val="clear" w:color="auto" w:fill="92D050"/>
          </w:tcPr>
          <w:p w:rsidR="000E0916" w:rsidRDefault="00B2276E">
            <w:pPr>
              <w:keepNext/>
              <w:spacing w:before="60" w:after="60" w:line="240" w:lineRule="auto"/>
              <w:jc w:val="both"/>
              <w:rPr>
                <w:rFonts w:ascii="Times New Roman" w:hAnsi="Times New Roman" w:cs="Times New Roman"/>
                <w:noProof/>
                <w:sz w:val="20"/>
                <w:szCs w:val="20"/>
              </w:rPr>
            </w:pPr>
            <w:r>
              <w:rPr>
                <w:rFonts w:ascii="Times New Roman" w:hAnsi="Times New Roman"/>
                <w:b/>
                <w:noProof/>
                <w:sz w:val="20"/>
              </w:rPr>
              <w:t>Migration, indre anliggender og medborgerskab</w:t>
            </w: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spacing w:after="0" w:line="240" w:lineRule="auto"/>
              <w:rPr>
                <w:rFonts w:ascii="Times New Roman" w:eastAsia="Times New Roman" w:hAnsi="Times New Roman" w:cs="Times New Roman"/>
                <w:noProof/>
                <w:sz w:val="20"/>
                <w:szCs w:val="20"/>
              </w:rPr>
            </w:pPr>
            <w:r>
              <w:rPr>
                <w:rFonts w:ascii="Times New Roman" w:hAnsi="Times New Roman"/>
                <w:noProof/>
                <w:color w:val="000000"/>
                <w:sz w:val="20"/>
              </w:rPr>
              <w:t>COM(2014) 163</w:t>
            </w:r>
            <w:r>
              <w:rPr>
                <w:noProof/>
              </w:rPr>
              <w:t xml:space="preserve"> </w:t>
            </w:r>
            <w:r>
              <w:rPr>
                <w:rFonts w:ascii="Times New Roman" w:hAnsi="Times New Roman"/>
                <w:noProof/>
                <w:sz w:val="20"/>
              </w:rPr>
              <w:t>final</w:t>
            </w:r>
            <w:r>
              <w:rPr>
                <w:rFonts w:ascii="Times New Roman" w:hAnsi="Times New Roman" w:cs="Times New Roman"/>
                <w:noProof/>
                <w:color w:val="000000"/>
                <w:sz w:val="20"/>
                <w:szCs w:val="20"/>
              </w:rPr>
              <w:br/>
            </w:r>
            <w:r>
              <w:rPr>
                <w:rFonts w:ascii="Times New Roman" w:hAnsi="Times New Roman"/>
                <w:noProof/>
                <w:color w:val="000000"/>
                <w:sz w:val="20"/>
              </w:rPr>
              <w:t>2014/0095/COD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color w:val="000000"/>
                <w:sz w:val="20"/>
              </w:rPr>
              <w:t>Forslag til EUROPA-PARLAMENTETS OG RÅDETS FORORDNING om indførelse af et rundrejsevisum og om ændring af konventionen om gennemførelse af Schengenaftalen og forordning (EF) nr. 562/2006 og (EF) nr. 767/2008</w:t>
            </w:r>
          </w:p>
        </w:tc>
        <w:tc>
          <w:tcPr>
            <w:tcW w:w="2151" w:type="pct"/>
            <w:shd w:val="clear" w:color="auto" w:fill="auto"/>
          </w:tcPr>
          <w:p w:rsidR="000E0916" w:rsidRDefault="00B2276E">
            <w:pPr>
              <w:spacing w:after="0" w:line="240" w:lineRule="auto"/>
              <w:jc w:val="both"/>
              <w:rPr>
                <w:rFonts w:ascii="Times New Roman" w:hAnsi="Times New Roman" w:cs="Times New Roman"/>
                <w:noProof/>
                <w:sz w:val="20"/>
                <w:szCs w:val="20"/>
              </w:rPr>
            </w:pPr>
            <w:r>
              <w:rPr>
                <w:rFonts w:ascii="Times New Roman" w:hAnsi="Times New Roman"/>
                <w:noProof/>
                <w:sz w:val="20"/>
              </w:rPr>
              <w:t>Forslaget skal trækkes tilbage i forbindelse med forslaget til en revideret visumkodeks, der vil blive fremlagt i 1. kvartal 2018.</w:t>
            </w:r>
          </w:p>
          <w:p w:rsidR="000E0916" w:rsidRDefault="000E0916">
            <w:pPr>
              <w:spacing w:after="0" w:line="240" w:lineRule="auto"/>
              <w:jc w:val="both"/>
              <w:rPr>
                <w:rFonts w:ascii="Times New Roman" w:hAnsi="Times New Roman" w:cs="Times New Roman"/>
                <w:noProof/>
                <w:sz w:val="20"/>
                <w:szCs w:val="20"/>
              </w:rPr>
            </w:pPr>
          </w:p>
          <w:p w:rsidR="000E0916" w:rsidRDefault="000E0916">
            <w:pPr>
              <w:spacing w:after="0" w:line="240" w:lineRule="auto"/>
              <w:jc w:val="both"/>
              <w:rPr>
                <w:rFonts w:ascii="Times New Roman" w:hAnsi="Times New Roman" w:cs="Times New Roman"/>
                <w:noProof/>
                <w:sz w:val="20"/>
                <w:szCs w:val="20"/>
                <w:highlight w:val="yellow"/>
              </w:rPr>
            </w:pP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spacing w:after="0" w:line="240" w:lineRule="auto"/>
              <w:rPr>
                <w:rFonts w:ascii="Times New Roman" w:eastAsia="Times New Roman" w:hAnsi="Times New Roman" w:cs="Times New Roman"/>
                <w:noProof/>
                <w:sz w:val="20"/>
                <w:szCs w:val="20"/>
              </w:rPr>
            </w:pPr>
            <w:r>
              <w:rPr>
                <w:rFonts w:ascii="Times New Roman" w:hAnsi="Times New Roman"/>
                <w:noProof/>
                <w:color w:val="000000"/>
                <w:sz w:val="20"/>
              </w:rPr>
              <w:t>COM(2014) 164</w:t>
            </w:r>
            <w:r>
              <w:rPr>
                <w:noProof/>
              </w:rPr>
              <w:t xml:space="preserve"> </w:t>
            </w:r>
            <w:r>
              <w:rPr>
                <w:rFonts w:ascii="Times New Roman" w:hAnsi="Times New Roman"/>
                <w:noProof/>
                <w:sz w:val="20"/>
              </w:rPr>
              <w:t>final</w:t>
            </w:r>
            <w:r>
              <w:rPr>
                <w:rFonts w:ascii="Times New Roman" w:hAnsi="Times New Roman" w:cs="Times New Roman"/>
                <w:noProof/>
                <w:color w:val="000000"/>
                <w:sz w:val="20"/>
                <w:szCs w:val="20"/>
              </w:rPr>
              <w:br/>
            </w:r>
            <w:r>
              <w:rPr>
                <w:rFonts w:ascii="Times New Roman" w:hAnsi="Times New Roman"/>
                <w:noProof/>
                <w:color w:val="000000"/>
                <w:sz w:val="20"/>
              </w:rPr>
              <w:t>2014/0094/COD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color w:val="000000"/>
                <w:sz w:val="20"/>
              </w:rPr>
              <w:t>Forslag til EUROPA-PARLAMENTETS OG RÅDETS FORORDNING om en EU- kodeks for visa</w:t>
            </w:r>
            <w:r>
              <w:rPr>
                <w:noProof/>
              </w:rPr>
              <w:t xml:space="preserve"> </w:t>
            </w:r>
            <w:hyperlink r:id="rId16">
              <w:r>
                <w:rPr>
                  <w:rStyle w:val="Hyperlink"/>
                  <w:rFonts w:ascii="Times New Roman" w:hAnsi="Times New Roman"/>
                  <w:noProof/>
                  <w:color w:val="auto"/>
                  <w:sz w:val="20"/>
                </w:rPr>
                <w:t>(visumkodeks)</w:t>
              </w:r>
            </w:hyperlink>
            <w:r>
              <w:rPr>
                <w:rFonts w:ascii="Times New Roman" w:hAnsi="Times New Roman"/>
                <w:noProof/>
                <w:color w:val="000000"/>
                <w:sz w:val="20"/>
              </w:rPr>
              <w:t xml:space="preserve"> </w:t>
            </w:r>
          </w:p>
        </w:tc>
        <w:tc>
          <w:tcPr>
            <w:tcW w:w="2151" w:type="pct"/>
            <w:shd w:val="clear" w:color="auto" w:fill="auto"/>
          </w:tcPr>
          <w:p w:rsidR="000E0916" w:rsidRDefault="00B2276E">
            <w:pPr>
              <w:spacing w:after="0" w:line="240" w:lineRule="auto"/>
              <w:jc w:val="both"/>
              <w:rPr>
                <w:rFonts w:ascii="Times New Roman" w:hAnsi="Times New Roman" w:cs="Times New Roman"/>
                <w:noProof/>
                <w:sz w:val="20"/>
                <w:szCs w:val="20"/>
              </w:rPr>
            </w:pPr>
            <w:r>
              <w:rPr>
                <w:rFonts w:ascii="Times New Roman" w:hAnsi="Times New Roman"/>
                <w:noProof/>
                <w:sz w:val="20"/>
              </w:rPr>
              <w:t>Forslaget skal trækkes tilbage i forbindelse med forslaget til en revideret visumkodeks, der vil blive fremlagt i 1. kvartal 2018.</w:t>
            </w:r>
          </w:p>
        </w:tc>
      </w:tr>
      <w:tr w:rsidR="000E0916">
        <w:trPr>
          <w:cantSplit/>
        </w:trPr>
        <w:tc>
          <w:tcPr>
            <w:tcW w:w="5000" w:type="pct"/>
            <w:gridSpan w:val="4"/>
            <w:shd w:val="clear" w:color="auto" w:fill="92D050"/>
          </w:tcPr>
          <w:p w:rsidR="000E0916" w:rsidRDefault="00B2276E">
            <w:pPr>
              <w:spacing w:before="60" w:after="60" w:line="240" w:lineRule="auto"/>
              <w:jc w:val="both"/>
              <w:rPr>
                <w:rFonts w:ascii="Times New Roman" w:eastAsia="Times New Roman" w:hAnsi="Times New Roman" w:cs="Times New Roman"/>
                <w:b/>
                <w:noProof/>
                <w:sz w:val="20"/>
                <w:szCs w:val="20"/>
              </w:rPr>
            </w:pPr>
            <w:r>
              <w:rPr>
                <w:rFonts w:ascii="Times New Roman" w:hAnsi="Times New Roman"/>
                <w:b/>
                <w:noProof/>
                <w:sz w:val="20"/>
              </w:rPr>
              <w:t>Transport</w:t>
            </w:r>
          </w:p>
        </w:tc>
      </w:tr>
      <w:tr w:rsidR="000E0916">
        <w:trPr>
          <w:cantSplit/>
        </w:trPr>
        <w:tc>
          <w:tcPr>
            <w:tcW w:w="184" w:type="pct"/>
          </w:tcPr>
          <w:p w:rsidR="000E0916" w:rsidRDefault="000E0916">
            <w:pPr>
              <w:pStyle w:val="ListParagraph"/>
              <w:numPr>
                <w:ilvl w:val="0"/>
                <w:numId w:val="1"/>
              </w:numPr>
              <w:ind w:left="426"/>
              <w:rPr>
                <w:rFonts w:ascii="Times New Roman" w:hAnsi="Times New Roman" w:cs="Times New Roman"/>
                <w:noProof/>
                <w:color w:val="000000"/>
                <w:sz w:val="20"/>
                <w:szCs w:val="20"/>
              </w:rPr>
            </w:pPr>
          </w:p>
        </w:tc>
        <w:tc>
          <w:tcPr>
            <w:tcW w:w="873" w:type="pct"/>
          </w:tcPr>
          <w:p w:rsidR="000E0916" w:rsidRDefault="00B2276E">
            <w:pPr>
              <w:tabs>
                <w:tab w:val="center" w:pos="911"/>
              </w:tabs>
              <w:rPr>
                <w:rFonts w:ascii="Times New Roman" w:hAnsi="Times New Roman" w:cs="Times New Roman"/>
                <w:noProof/>
                <w:color w:val="000000"/>
                <w:sz w:val="20"/>
                <w:szCs w:val="20"/>
              </w:rPr>
            </w:pPr>
            <w:r>
              <w:rPr>
                <w:rFonts w:ascii="Times New Roman" w:hAnsi="Times New Roman"/>
                <w:noProof/>
                <w:color w:val="000000"/>
                <w:sz w:val="20"/>
              </w:rPr>
              <w:t>COM(2013) 409</w:t>
            </w:r>
            <w:r>
              <w:rPr>
                <w:noProof/>
              </w:rPr>
              <w:t xml:space="preserve"> </w:t>
            </w:r>
            <w:r>
              <w:rPr>
                <w:rFonts w:ascii="Times New Roman" w:hAnsi="Times New Roman"/>
                <w:noProof/>
                <w:sz w:val="20"/>
              </w:rPr>
              <w:t>final</w:t>
            </w:r>
            <w:r>
              <w:rPr>
                <w:rFonts w:ascii="Times New Roman" w:hAnsi="Times New Roman" w:cs="Times New Roman"/>
                <w:noProof/>
                <w:color w:val="000000"/>
                <w:sz w:val="20"/>
                <w:szCs w:val="20"/>
              </w:rPr>
              <w:br/>
            </w:r>
            <w:r>
              <w:rPr>
                <w:rFonts w:ascii="Times New Roman" w:hAnsi="Times New Roman"/>
                <w:noProof/>
                <w:color w:val="000000"/>
                <w:sz w:val="20"/>
              </w:rPr>
              <w:t>2013/0187/COD</w:t>
            </w:r>
          </w:p>
        </w:tc>
        <w:tc>
          <w:tcPr>
            <w:tcW w:w="1792" w:type="pct"/>
            <w:shd w:val="clear" w:color="auto" w:fill="auto"/>
          </w:tcPr>
          <w:p w:rsidR="000E0916" w:rsidRDefault="00B2276E">
            <w:pPr>
              <w:spacing w:after="0" w:line="240" w:lineRule="auto"/>
              <w:jc w:val="both"/>
              <w:rPr>
                <w:rFonts w:ascii="Times New Roman" w:eastAsia="Times New Roman" w:hAnsi="Times New Roman" w:cs="Times New Roman"/>
                <w:bCs/>
                <w:noProof/>
                <w:sz w:val="20"/>
                <w:szCs w:val="20"/>
              </w:rPr>
            </w:pPr>
            <w:r>
              <w:rPr>
                <w:rFonts w:ascii="Times New Roman" w:hAnsi="Times New Roman"/>
                <w:noProof/>
                <w:sz w:val="20"/>
              </w:rPr>
              <w:t>Forslag til EUROPA-PARLAMENTETS OG RÅDETS FORORDNING om ændring af forordning (EF) nr. 216/2008 for så vidt angår flyvepladser, lufttrafikstyring og luftfartstjenester</w:t>
            </w:r>
          </w:p>
        </w:tc>
        <w:tc>
          <w:tcPr>
            <w:tcW w:w="2151" w:type="pct"/>
            <w:shd w:val="clear" w:color="auto" w:fill="auto"/>
          </w:tcPr>
          <w:p w:rsidR="000E0916" w:rsidRDefault="00B2276E">
            <w:pPr>
              <w:spacing w:after="0" w:line="240" w:lineRule="auto"/>
              <w:jc w:val="both"/>
              <w:rPr>
                <w:rFonts w:ascii="Times New Roman" w:eastAsia="Times New Roman" w:hAnsi="Times New Roman" w:cs="Times New Roman"/>
                <w:noProof/>
                <w:sz w:val="20"/>
                <w:szCs w:val="20"/>
              </w:rPr>
            </w:pPr>
            <w:r>
              <w:rPr>
                <w:rFonts w:ascii="Times New Roman" w:hAnsi="Times New Roman"/>
                <w:noProof/>
                <w:sz w:val="20"/>
              </w:rPr>
              <w:t>Indholdet blev integreret i det nye forslag om oprettelsen af EASA (COM(2015) 613 final), som nu behandles efter den interinstitutionelle procedure. Forslaget bliver derfor forældet.</w:t>
            </w:r>
          </w:p>
        </w:tc>
      </w:tr>
    </w:tbl>
    <w:p w:rsidR="000E0916" w:rsidRDefault="000E0916">
      <w:pPr>
        <w:rPr>
          <w:noProof/>
        </w:rPr>
      </w:pPr>
    </w:p>
    <w:sectPr w:rsidR="000E0916">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16" w:rsidRDefault="00B2276E">
      <w:pPr>
        <w:spacing w:after="0" w:line="240" w:lineRule="auto"/>
      </w:pPr>
      <w:r>
        <w:separator/>
      </w:r>
    </w:p>
  </w:endnote>
  <w:endnote w:type="continuationSeparator" w:id="0">
    <w:p w:rsidR="000E0916" w:rsidRDefault="00B2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A" w:rsidRPr="006F2C8A" w:rsidRDefault="006F2C8A" w:rsidP="006F2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A" w:rsidRPr="006F2C8A" w:rsidRDefault="006F2C8A" w:rsidP="006F2C8A">
    <w:pPr>
      <w:pStyle w:val="FooterCoverPage"/>
      <w:rPr>
        <w:rFonts w:ascii="Arial" w:hAnsi="Arial" w:cs="Arial"/>
        <w:b/>
        <w:sz w:val="48"/>
      </w:rPr>
    </w:pPr>
    <w:r w:rsidRPr="006F2C8A">
      <w:rPr>
        <w:rFonts w:ascii="Arial" w:hAnsi="Arial" w:cs="Arial"/>
        <w:b/>
        <w:sz w:val="48"/>
      </w:rPr>
      <w:t>DA</w:t>
    </w:r>
    <w:r w:rsidRPr="006F2C8A">
      <w:rPr>
        <w:rFonts w:ascii="Arial" w:hAnsi="Arial" w:cs="Arial"/>
        <w:b/>
        <w:sz w:val="48"/>
      </w:rPr>
      <w:tab/>
    </w:r>
    <w:r w:rsidRPr="006F2C8A">
      <w:rPr>
        <w:rFonts w:ascii="Arial" w:hAnsi="Arial" w:cs="Arial"/>
        <w:b/>
        <w:sz w:val="48"/>
      </w:rPr>
      <w:tab/>
    </w:r>
    <w:r w:rsidRPr="006F2C8A">
      <w:tab/>
    </w:r>
    <w:r w:rsidRPr="006F2C8A">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A" w:rsidRPr="006F2C8A" w:rsidRDefault="006F2C8A" w:rsidP="006F2C8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6" w:rsidRDefault="000E09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41036"/>
      <w:docPartObj>
        <w:docPartGallery w:val="Page Numbers (Bottom of Page)"/>
        <w:docPartUnique/>
      </w:docPartObj>
    </w:sdtPr>
    <w:sdtEndPr>
      <w:rPr>
        <w:noProof/>
      </w:rPr>
    </w:sdtEndPr>
    <w:sdtContent>
      <w:p w:rsidR="000E0916" w:rsidRDefault="00B2276E">
        <w:pPr>
          <w:pStyle w:val="Footer"/>
          <w:jc w:val="center"/>
        </w:pPr>
        <w:r>
          <w:fldChar w:fldCharType="begin"/>
        </w:r>
        <w:r>
          <w:instrText xml:space="preserve"> PAGE   \* MERGEFORMAT </w:instrText>
        </w:r>
        <w:r>
          <w:fldChar w:fldCharType="separate"/>
        </w:r>
        <w:r w:rsidR="006F2C8A">
          <w:rPr>
            <w:noProof/>
          </w:rPr>
          <w:t>3</w:t>
        </w:r>
        <w:r>
          <w:rPr>
            <w:noProof/>
          </w:rPr>
          <w:fldChar w:fldCharType="end"/>
        </w:r>
      </w:p>
    </w:sdtContent>
  </w:sdt>
  <w:p w:rsidR="000E0916" w:rsidRDefault="000E09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6" w:rsidRDefault="000E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16" w:rsidRDefault="00B2276E">
      <w:pPr>
        <w:spacing w:after="0" w:line="240" w:lineRule="auto"/>
      </w:pPr>
      <w:r>
        <w:separator/>
      </w:r>
    </w:p>
  </w:footnote>
  <w:footnote w:type="continuationSeparator" w:id="0">
    <w:p w:rsidR="000E0916" w:rsidRDefault="00B2276E">
      <w:pPr>
        <w:spacing w:after="0" w:line="240" w:lineRule="auto"/>
      </w:pPr>
      <w:r>
        <w:continuationSeparator/>
      </w:r>
    </w:p>
  </w:footnote>
  <w:footnote w:id="1">
    <w:p w:rsidR="000E0916" w:rsidRDefault="00B2276E">
      <w:pPr>
        <w:pStyle w:val="FootnoteText"/>
        <w:rPr>
          <w:rFonts w:ascii="Times New Roman" w:eastAsia="Times New Roman" w:hAnsi="Times New Roman" w:cs="Times New Roman"/>
          <w:bCs/>
          <w:lang w:eastAsia="en-GB"/>
        </w:rPr>
      </w:pPr>
      <w:r>
        <w:rPr>
          <w:rStyle w:val="FootnoteReference"/>
        </w:rPr>
        <w:footnoteRef/>
      </w:r>
      <w:r>
        <w:t xml:space="preserve"> </w:t>
      </w:r>
      <w:r>
        <w:rPr>
          <w:rFonts w:ascii="Times New Roman" w:hAnsi="Times New Roman"/>
        </w:rPr>
        <w:t>Fortegnelsen indeholder de lovgivningsforslag, der er under behandling, og som Kommissionen agter at trække tilbage inden for seks måneder (senest i april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A" w:rsidRPr="006F2C8A" w:rsidRDefault="006F2C8A" w:rsidP="006F2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A" w:rsidRPr="006F2C8A" w:rsidRDefault="006F2C8A" w:rsidP="006F2C8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A" w:rsidRPr="006F2C8A" w:rsidRDefault="006F2C8A" w:rsidP="006F2C8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6" w:rsidRDefault="000E0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6" w:rsidRDefault="000E09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16" w:rsidRDefault="000E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82F"/>
    <w:multiLevelType w:val="hybridMultilevel"/>
    <w:tmpl w:val="5A9C81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3EF74B90"/>
    <w:multiLevelType w:val="hybridMultilevel"/>
    <w:tmpl w:val="B9768E9E"/>
    <w:lvl w:ilvl="0" w:tplc="BCD0181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094D17"/>
    <w:multiLevelType w:val="hybridMultilevel"/>
    <w:tmpl w:val="B9768E9E"/>
    <w:lvl w:ilvl="0" w:tplc="BCD0181C">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4"/>
    <w:docVar w:name="LW_ANNEX_NBR_LAST" w:val="4"/>
    <w:docVar w:name="LW_ANNEX_UNIQUE" w:val="0"/>
    <w:docVar w:name="LW_CORRIGENDUM" w:val="&lt;UNUSED&gt;"/>
    <w:docVar w:name="LW_COVERPAGE_EXISTS" w:val="True"/>
    <w:docVar w:name="LW_COVERPAGE_GUID" w:val="443E5BB9-D523-42BF-ADA7-BA0ED600CF75"/>
    <w:docVar w:name="LW_COVERPAGE_TYPE" w:val="1"/>
    <w:docVar w:name="LW_CROSSREFERENCE" w:val="&lt;UNUSED&gt;"/>
    <w:docVar w:name="LW_DocType" w:val="NORMAL"/>
    <w:docVar w:name="LW_EMISSION" w:val="24.10.2017"/>
    <w:docVar w:name="LW_EMISSION_ISODATE" w:val="2017-10-24"/>
    <w:docVar w:name="LW_EMISSION_LOCATION" w:val="BRX"/>
    <w:docVar w:name="LW_EMISSION_PREFIX" w:val="Bruxelles, den"/>
    <w:docVar w:name="LW_EMISSION_SUFFIX" w:val="&lt;EMPTY&gt;"/>
    <w:docVar w:name="LW_ID_DOCTYPE_NONLW" w:val="CP-039"/>
    <w:docVar w:name="LW_LANGUE" w:val="DA"/>
    <w:docVar w:name="LW_LEVEL_OF_SENSITIVITY" w:val="Standard treatment"/>
    <w:docVar w:name="LW_NOM.INST" w:val="EUROPA-KOMMISSIONEN"/>
    <w:docVar w:name="LW_NOM.INST_JOINTDOC" w:val="&lt;EMPTY&gt;"/>
    <w:docVar w:name="LW_OBJETACTEPRINCIPAL.CP" w:val="_x000b__x000b_Kommissionens arbejdsprogram for 2018_x000b__x000b__x000b__x000b_En dagsorden for en mere forenet, stærkere og mere demokratisk Union_x000b_"/>
    <w:docVar w:name="LW_PART_NBR" w:val="1"/>
    <w:docVar w:name="LW_PART_NBR_TOTAL" w:val="1"/>
    <w:docVar w:name="LW_REF.INST.NEW" w:val="COM"/>
    <w:docVar w:name="LW_REF.INST.NEW_ADOPTED" w:val="final/2"/>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BILAG_x000b_"/>
    <w:docVar w:name="LW_TYPEACTEPRINCIPAL.CP" w:val="MEDDELELSE FRA KOMMISSIONEN TIL EUROPA-PARLAMENTET, RÅDET, DET EUROPÆISKE ØKONOMISKE OG SOCIALE UDVALG OG REGIONSUDVALGET_x000b__x000b_"/>
  </w:docVars>
  <w:rsids>
    <w:rsidRoot w:val="000E0916"/>
    <w:rsid w:val="000E0916"/>
    <w:rsid w:val="006F2C8A"/>
    <w:rsid w:val="00B227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semiHidden/>
    <w:unhideWhenUsed/>
    <w:rPr>
      <w:strike w:val="0"/>
      <w:dstrike w:val="0"/>
      <w:color w:val="0065A2"/>
      <w:u w:val="none"/>
      <w:effect w:val="none"/>
      <w:shd w:val="clear" w:color="auto" w:fill="auto"/>
    </w:rPr>
  </w:style>
  <w:style w:type="character" w:customStyle="1" w:styleId="offscreen">
    <w:name w:val="offscreen"/>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semiHidden/>
    <w:unhideWhenUsed/>
    <w:rPr>
      <w:strike w:val="0"/>
      <w:dstrike w:val="0"/>
      <w:color w:val="0065A2"/>
      <w:u w:val="none"/>
      <w:effect w:val="none"/>
      <w:shd w:val="clear" w:color="auto" w:fill="auto"/>
    </w:rPr>
  </w:style>
  <w:style w:type="character" w:customStyle="1" w:styleId="offscreen">
    <w:name w:val="offscreen"/>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lang w:eastAsia="en-US" w:bidi="ar-SA"/>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997">
      <w:bodyDiv w:val="1"/>
      <w:marLeft w:val="0"/>
      <w:marRight w:val="0"/>
      <w:marTop w:val="0"/>
      <w:marBottom w:val="0"/>
      <w:divBdr>
        <w:top w:val="none" w:sz="0" w:space="0" w:color="auto"/>
        <w:left w:val="none" w:sz="0" w:space="0" w:color="auto"/>
        <w:bottom w:val="none" w:sz="0" w:space="0" w:color="auto"/>
        <w:right w:val="none" w:sz="0" w:space="0" w:color="auto"/>
      </w:divBdr>
    </w:div>
    <w:div w:id="1668433468">
      <w:bodyDiv w:val="1"/>
      <w:marLeft w:val="0"/>
      <w:marRight w:val="0"/>
      <w:marTop w:val="0"/>
      <w:marBottom w:val="0"/>
      <w:divBdr>
        <w:top w:val="none" w:sz="0" w:space="0" w:color="auto"/>
        <w:left w:val="none" w:sz="0" w:space="0" w:color="auto"/>
        <w:bottom w:val="none" w:sz="0" w:space="0" w:color="auto"/>
        <w:right w:val="none" w:sz="0" w:space="0" w:color="auto"/>
      </w:divBdr>
    </w:div>
    <w:div w:id="1921713621">
      <w:bodyDiv w:val="1"/>
      <w:marLeft w:val="0"/>
      <w:marRight w:val="0"/>
      <w:marTop w:val="0"/>
      <w:marBottom w:val="0"/>
      <w:divBdr>
        <w:top w:val="none" w:sz="0" w:space="0" w:color="auto"/>
        <w:left w:val="none" w:sz="0" w:space="0" w:color="auto"/>
        <w:bottom w:val="none" w:sz="0" w:space="0" w:color="auto"/>
        <w:right w:val="none" w:sz="0" w:space="0" w:color="auto"/>
      </w:divBdr>
    </w:div>
    <w:div w:id="2029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home-affairs/sites/homeaffairs/files/e-library/documents/policies/borders-and-visas/visa-policy/docs/proposal_regulation_union_code_on_visas_e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18D3-87CB-4118-916C-E81CB58A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6033</Characters>
  <Application>Microsoft Office Word</Application>
  <DocSecurity>0</DocSecurity>
  <Lines>187</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2017-11-08T09:53:00Z</dcterms:created>
  <dcterms:modified xsi:type="dcterms:W3CDTF">2017-11-08T11:16:00Z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4</vt:lpwstr>
  </property>
  <property fmtid="{D5CDD505-2E9C-101B-9397-08002B2CF9AE}" pid="3" name="Last annex">
    <vt:lpwstr>4</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