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1AB" w:rsidRDefault="004A5E4B" w:rsidP="004A5E4B">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E63527E-5EAE-4CDE-AF22-A649B1FE1C83" style="width:450.2pt;height:408.85pt">
            <v:imagedata r:id="rId12" o:title=""/>
          </v:shape>
        </w:pict>
      </w:r>
    </w:p>
    <w:bookmarkEnd w:id="0"/>
    <w:p w:rsidR="002241AB" w:rsidRDefault="002241AB">
      <w:pPr>
        <w:pStyle w:val="Pagedecouverture"/>
        <w:rPr>
          <w:noProof/>
        </w:rPr>
        <w:sectPr w:rsidR="002241AB" w:rsidSect="004A5E4B">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0"/>
          <w:cols w:space="720"/>
          <w:docGrid w:linePitch="360"/>
        </w:sectPr>
      </w:pPr>
    </w:p>
    <w:p w:rsidR="002241AB" w:rsidRDefault="002241AB">
      <w:pPr>
        <w:rPr>
          <w:noProof/>
        </w:rPr>
      </w:pPr>
      <w:bookmarkStart w:id="1" w:name="_GoBack"/>
      <w:bookmarkEnd w:id="1"/>
    </w:p>
    <w:tbl>
      <w:tblPr>
        <w:tblStyle w:val="TableGrid"/>
        <w:tblW w:w="9828" w:type="dxa"/>
        <w:tblLook w:val="01E0" w:firstRow="1" w:lastRow="1" w:firstColumn="1" w:lastColumn="1" w:noHBand="0" w:noVBand="0"/>
      </w:tblPr>
      <w:tblGrid>
        <w:gridCol w:w="9828"/>
      </w:tblGrid>
      <w:tr w:rsidR="002241AB">
        <w:tc>
          <w:tcPr>
            <w:tcW w:w="9828" w:type="dxa"/>
            <w:tcBorders>
              <w:bottom w:val="single" w:sz="4" w:space="0" w:color="auto"/>
            </w:tcBorders>
            <w:shd w:val="clear" w:color="auto" w:fill="CCCCCC"/>
          </w:tcPr>
          <w:p w:rsidR="002241AB" w:rsidRDefault="004A5E4B">
            <w:pPr>
              <w:spacing w:before="60" w:after="60"/>
              <w:jc w:val="center"/>
              <w:rPr>
                <w:rFonts w:ascii="Tahoma" w:hAnsi="Tahoma" w:cs="Tahoma"/>
                <w:b/>
                <w:noProof/>
                <w:sz w:val="20"/>
                <w:szCs w:val="20"/>
              </w:rPr>
            </w:pPr>
            <w:r>
              <w:rPr>
                <w:rFonts w:ascii="Tahoma" w:hAnsi="Tahoma"/>
                <w:b/>
                <w:noProof/>
                <w:sz w:val="20"/>
              </w:rPr>
              <w:t>Fișă rezumat</w:t>
            </w:r>
          </w:p>
        </w:tc>
      </w:tr>
      <w:tr w:rsidR="002241AB">
        <w:tc>
          <w:tcPr>
            <w:tcW w:w="9828" w:type="dxa"/>
            <w:tcBorders>
              <w:top w:val="single" w:sz="4" w:space="0" w:color="auto"/>
              <w:left w:val="single" w:sz="4" w:space="0" w:color="auto"/>
              <w:bottom w:val="single" w:sz="4" w:space="0" w:color="auto"/>
              <w:right w:val="single" w:sz="4" w:space="0" w:color="auto"/>
            </w:tcBorders>
            <w:shd w:val="clear" w:color="auto" w:fill="4F81BD" w:themeFill="accent1"/>
          </w:tcPr>
          <w:p w:rsidR="002241AB" w:rsidRDefault="004A5E4B">
            <w:pPr>
              <w:spacing w:before="120" w:after="120"/>
              <w:jc w:val="center"/>
              <w:rPr>
                <w:rFonts w:ascii="Tahoma" w:hAnsi="Tahoma" w:cs="Tahoma"/>
                <w:noProof/>
                <w:sz w:val="20"/>
                <w:szCs w:val="20"/>
              </w:rPr>
            </w:pPr>
            <w:r>
              <w:rPr>
                <w:rFonts w:ascii="Tahoma" w:hAnsi="Tahoma"/>
                <w:noProof/>
                <w:color w:val="FFFFFF" w:themeColor="background1"/>
                <w:sz w:val="20"/>
              </w:rPr>
              <w:t xml:space="preserve">Evaluarea impactului privind revizuirea Regulamentului (CE) nr. 1073/2009 privind accesul la piața internațională a serviciilor de </w:t>
            </w:r>
            <w:r>
              <w:rPr>
                <w:rFonts w:ascii="Tahoma" w:hAnsi="Tahoma"/>
                <w:noProof/>
                <w:color w:val="FFFFFF" w:themeColor="background1"/>
                <w:sz w:val="20"/>
              </w:rPr>
              <w:t>transport cu autocarul și autobuzul</w:t>
            </w:r>
          </w:p>
        </w:tc>
      </w:tr>
      <w:tr w:rsidR="002241AB">
        <w:tc>
          <w:tcPr>
            <w:tcW w:w="9828" w:type="dxa"/>
            <w:tcBorders>
              <w:bottom w:val="single" w:sz="4" w:space="0" w:color="auto"/>
            </w:tcBorders>
            <w:shd w:val="clear" w:color="auto" w:fill="CCCCCC"/>
          </w:tcPr>
          <w:p w:rsidR="002241AB" w:rsidRDefault="004A5E4B">
            <w:pPr>
              <w:spacing w:before="60" w:after="60"/>
              <w:rPr>
                <w:rFonts w:ascii="Tahoma" w:hAnsi="Tahoma" w:cs="Tahoma"/>
                <w:b/>
                <w:noProof/>
                <w:sz w:val="20"/>
                <w:szCs w:val="20"/>
              </w:rPr>
            </w:pPr>
            <w:r>
              <w:rPr>
                <w:rFonts w:ascii="Tahoma" w:hAnsi="Tahoma"/>
                <w:b/>
                <w:noProof/>
                <w:sz w:val="20"/>
              </w:rPr>
              <w:t>A. Necesitatea de a acționa</w:t>
            </w:r>
          </w:p>
        </w:tc>
      </w:tr>
      <w:tr w:rsidR="002241AB">
        <w:tc>
          <w:tcPr>
            <w:tcW w:w="9828" w:type="dxa"/>
            <w:tcBorders>
              <w:bottom w:val="single" w:sz="4" w:space="0" w:color="auto"/>
            </w:tcBorders>
            <w:shd w:val="clear" w:color="auto" w:fill="E0E0E0"/>
          </w:tcPr>
          <w:p w:rsidR="002241AB" w:rsidRDefault="004A5E4B">
            <w:pPr>
              <w:pStyle w:val="Default"/>
              <w:jc w:val="both"/>
              <w:rPr>
                <w:rFonts w:ascii="Tahoma" w:hAnsi="Tahoma" w:cs="Tahoma"/>
                <w:noProof/>
                <w:sz w:val="20"/>
                <w:szCs w:val="20"/>
              </w:rPr>
            </w:pPr>
            <w:r>
              <w:rPr>
                <w:rFonts w:ascii="Tahoma" w:hAnsi="Tahoma"/>
                <w:b/>
                <w:noProof/>
                <w:sz w:val="20"/>
              </w:rPr>
              <w:t xml:space="preserve">Care este problema și de ce este o problemă la nivelul UE? </w:t>
            </w:r>
          </w:p>
        </w:tc>
      </w:tr>
      <w:tr w:rsidR="002241AB">
        <w:tc>
          <w:tcPr>
            <w:tcW w:w="9828" w:type="dxa"/>
            <w:tcBorders>
              <w:bottom w:val="single" w:sz="4" w:space="0" w:color="auto"/>
            </w:tcBorders>
            <w:shd w:val="clear" w:color="auto" w:fill="auto"/>
          </w:tcPr>
          <w:p w:rsidR="002241AB" w:rsidRDefault="004A5E4B">
            <w:pPr>
              <w:jc w:val="both"/>
              <w:rPr>
                <w:rFonts w:ascii="Tahoma" w:hAnsi="Tahoma" w:cs="Tahoma"/>
                <w:noProof/>
                <w:sz w:val="20"/>
                <w:szCs w:val="20"/>
              </w:rPr>
            </w:pPr>
            <w:r>
              <w:rPr>
                <w:rFonts w:ascii="Tahoma" w:hAnsi="Tahoma"/>
                <w:noProof/>
                <w:sz w:val="20"/>
              </w:rPr>
              <w:t>Principalele probleme sunt: 1) obstacolele de pe piețele naționale cu care se confruntă operatorii în ceea ce privește dezvoltare</w:t>
            </w:r>
            <w:r>
              <w:rPr>
                <w:rFonts w:ascii="Tahoma" w:hAnsi="Tahoma"/>
                <w:noProof/>
                <w:sz w:val="20"/>
              </w:rPr>
              <w:t>a de servicii interurbane de transport cu autocarul și 2) ponderea scăzută a modurilor durabile de transport de persoane. Cetățenii se confruntă cu o lipsă de conectivitate și suportă consecințele creșterii numărului de accidente rutiere și de decese rezul</w:t>
            </w:r>
            <w:r>
              <w:rPr>
                <w:rFonts w:ascii="Tahoma" w:hAnsi="Tahoma"/>
                <w:noProof/>
                <w:sz w:val="20"/>
              </w:rPr>
              <w:t xml:space="preserve">tate în urma acestora, precum și a emisiilor și a congestionării traficului rutier cauzate de utilizarea mai frecventă a automobilului. </w:t>
            </w:r>
          </w:p>
        </w:tc>
      </w:tr>
      <w:tr w:rsidR="002241AB">
        <w:tc>
          <w:tcPr>
            <w:tcW w:w="9828" w:type="dxa"/>
            <w:tcBorders>
              <w:bottom w:val="single" w:sz="4" w:space="0" w:color="auto"/>
            </w:tcBorders>
            <w:shd w:val="clear" w:color="auto" w:fill="E6E6E6"/>
          </w:tcPr>
          <w:p w:rsidR="002241AB" w:rsidRDefault="004A5E4B">
            <w:pPr>
              <w:pStyle w:val="Default"/>
              <w:jc w:val="both"/>
              <w:rPr>
                <w:rFonts w:ascii="Tahoma" w:hAnsi="Tahoma" w:cs="Tahoma"/>
                <w:noProof/>
                <w:sz w:val="20"/>
                <w:szCs w:val="20"/>
              </w:rPr>
            </w:pPr>
            <w:r>
              <w:rPr>
                <w:rFonts w:ascii="Tahoma" w:hAnsi="Tahoma"/>
                <w:b/>
                <w:noProof/>
                <w:sz w:val="20"/>
              </w:rPr>
              <w:t xml:space="preserve">Care sunt obiectivele urmărite? </w:t>
            </w:r>
          </w:p>
        </w:tc>
      </w:tr>
      <w:tr w:rsidR="002241AB">
        <w:tc>
          <w:tcPr>
            <w:tcW w:w="9828" w:type="dxa"/>
            <w:tcBorders>
              <w:bottom w:val="single" w:sz="4" w:space="0" w:color="auto"/>
            </w:tcBorders>
            <w:shd w:val="clear" w:color="auto" w:fill="auto"/>
          </w:tcPr>
          <w:p w:rsidR="002241AB" w:rsidRDefault="004A5E4B">
            <w:pPr>
              <w:jc w:val="both"/>
              <w:rPr>
                <w:rFonts w:ascii="Tahoma" w:hAnsi="Tahoma" w:cs="Tahoma"/>
                <w:noProof/>
                <w:sz w:val="20"/>
                <w:szCs w:val="20"/>
              </w:rPr>
            </w:pPr>
            <w:r>
              <w:rPr>
                <w:rFonts w:ascii="Tahoma" w:hAnsi="Tahoma"/>
                <w:noProof/>
                <w:sz w:val="20"/>
              </w:rPr>
              <w:t xml:space="preserve">Obiectivele generale sunt facilitarea mobilității și a conectivității interurbane pentru toți europenii și creșterea ponderii modurilor de transport durabile. </w:t>
            </w:r>
          </w:p>
        </w:tc>
      </w:tr>
      <w:tr w:rsidR="002241AB">
        <w:tc>
          <w:tcPr>
            <w:tcW w:w="9828" w:type="dxa"/>
            <w:tcBorders>
              <w:bottom w:val="single" w:sz="4" w:space="0" w:color="auto"/>
            </w:tcBorders>
            <w:shd w:val="clear" w:color="auto" w:fill="E6E6E6"/>
          </w:tcPr>
          <w:p w:rsidR="002241AB" w:rsidRDefault="004A5E4B">
            <w:pPr>
              <w:pStyle w:val="Default"/>
              <w:jc w:val="both"/>
              <w:rPr>
                <w:rFonts w:ascii="Tahoma" w:hAnsi="Tahoma" w:cs="Tahoma"/>
                <w:noProof/>
                <w:sz w:val="20"/>
                <w:szCs w:val="20"/>
              </w:rPr>
            </w:pPr>
            <w:r>
              <w:rPr>
                <w:rFonts w:ascii="Tahoma" w:hAnsi="Tahoma"/>
                <w:b/>
                <w:noProof/>
                <w:sz w:val="20"/>
              </w:rPr>
              <w:t xml:space="preserve">Care este valoarea adăugată a acțiunii la nivelul UE (subsidiaritate)? </w:t>
            </w:r>
          </w:p>
        </w:tc>
      </w:tr>
      <w:tr w:rsidR="002241AB">
        <w:tc>
          <w:tcPr>
            <w:tcW w:w="9828" w:type="dxa"/>
            <w:tcBorders>
              <w:bottom w:val="single" w:sz="4" w:space="0" w:color="auto"/>
            </w:tcBorders>
            <w:shd w:val="clear" w:color="auto" w:fill="auto"/>
          </w:tcPr>
          <w:p w:rsidR="002241AB" w:rsidRDefault="004A5E4B">
            <w:pPr>
              <w:jc w:val="both"/>
              <w:rPr>
                <w:rFonts w:ascii="Tahoma" w:hAnsi="Tahoma" w:cs="Tahoma"/>
                <w:noProof/>
                <w:sz w:val="20"/>
                <w:szCs w:val="20"/>
              </w:rPr>
            </w:pPr>
            <w:r>
              <w:rPr>
                <w:rFonts w:ascii="Tahoma" w:hAnsi="Tahoma"/>
                <w:noProof/>
                <w:sz w:val="20"/>
              </w:rPr>
              <w:t>În UE, există un mozai</w:t>
            </w:r>
            <w:r>
              <w:rPr>
                <w:rFonts w:ascii="Tahoma" w:hAnsi="Tahoma"/>
                <w:noProof/>
                <w:sz w:val="20"/>
              </w:rPr>
              <w:t>c de norme privind accesul la piețele naționale ale serviciilor de transport cu autocarul și autobuzul, care limitează capacitatea transportatorilor de a transforma serviciile în rețele paneuropene de transport cu autocarul. Statele membre, acționând în mo</w:t>
            </w:r>
            <w:r>
              <w:rPr>
                <w:rFonts w:ascii="Tahoma" w:hAnsi="Tahoma"/>
                <w:noProof/>
                <w:sz w:val="20"/>
              </w:rPr>
              <w:t xml:space="preserve">d individual, nu pot introduce norme uniforme privind accesul la piață sau nu pot asigura coerența și coordonarea acestora. </w:t>
            </w:r>
          </w:p>
        </w:tc>
      </w:tr>
      <w:tr w:rsidR="002241AB">
        <w:tc>
          <w:tcPr>
            <w:tcW w:w="9828" w:type="dxa"/>
            <w:tcBorders>
              <w:bottom w:val="single" w:sz="4" w:space="0" w:color="auto"/>
            </w:tcBorders>
            <w:shd w:val="clear" w:color="auto" w:fill="CCCCCC"/>
          </w:tcPr>
          <w:p w:rsidR="002241AB" w:rsidRDefault="004A5E4B">
            <w:pPr>
              <w:spacing w:before="60" w:after="60"/>
              <w:rPr>
                <w:rFonts w:ascii="Tahoma" w:hAnsi="Tahoma" w:cs="Tahoma"/>
                <w:b/>
                <w:noProof/>
                <w:sz w:val="20"/>
                <w:szCs w:val="20"/>
              </w:rPr>
            </w:pPr>
            <w:r>
              <w:rPr>
                <w:rFonts w:ascii="Tahoma" w:hAnsi="Tahoma"/>
                <w:b/>
                <w:noProof/>
                <w:sz w:val="20"/>
              </w:rPr>
              <w:t>B. Soluții</w:t>
            </w:r>
          </w:p>
        </w:tc>
      </w:tr>
      <w:tr w:rsidR="002241AB">
        <w:tc>
          <w:tcPr>
            <w:tcW w:w="9828" w:type="dxa"/>
            <w:tcBorders>
              <w:bottom w:val="single" w:sz="4" w:space="0" w:color="auto"/>
            </w:tcBorders>
            <w:shd w:val="clear" w:color="auto" w:fill="E6E6E6"/>
          </w:tcPr>
          <w:p w:rsidR="002241AB" w:rsidRDefault="004A5E4B">
            <w:pPr>
              <w:pStyle w:val="Default"/>
              <w:jc w:val="both"/>
              <w:rPr>
                <w:rFonts w:ascii="Tahoma" w:hAnsi="Tahoma" w:cs="Tahoma"/>
                <w:noProof/>
                <w:sz w:val="20"/>
                <w:szCs w:val="20"/>
              </w:rPr>
            </w:pPr>
            <w:r>
              <w:rPr>
                <w:rFonts w:ascii="Tahoma" w:hAnsi="Tahoma"/>
                <w:b/>
                <w:noProof/>
                <w:sz w:val="20"/>
              </w:rPr>
              <w:t xml:space="preserve">Care sunt opțiunile disponibile pentru atingerea acestor obiective? Există o opțiune preferată? Dacă nu, de ce? </w:t>
            </w:r>
          </w:p>
        </w:tc>
      </w:tr>
      <w:tr w:rsidR="002241AB">
        <w:trPr>
          <w:trHeight w:val="553"/>
        </w:trPr>
        <w:tc>
          <w:tcPr>
            <w:tcW w:w="9828" w:type="dxa"/>
            <w:tcBorders>
              <w:bottom w:val="single" w:sz="4" w:space="0" w:color="auto"/>
            </w:tcBorders>
            <w:shd w:val="clear" w:color="auto" w:fill="auto"/>
          </w:tcPr>
          <w:p w:rsidR="002241AB" w:rsidRDefault="004A5E4B">
            <w:pPr>
              <w:jc w:val="both"/>
              <w:rPr>
                <w:rFonts w:ascii="Tahoma" w:hAnsi="Tahoma" w:cs="Tahoma"/>
                <w:noProof/>
                <w:sz w:val="20"/>
                <w:szCs w:val="20"/>
              </w:rPr>
            </w:pPr>
            <w:r>
              <w:rPr>
                <w:rFonts w:ascii="Tahoma" w:hAnsi="Tahoma"/>
                <w:b/>
                <w:noProof/>
                <w:sz w:val="20"/>
              </w:rPr>
              <w:t>Opțiunea 1</w:t>
            </w:r>
            <w:r>
              <w:rPr>
                <w:rFonts w:ascii="Tahoma" w:hAnsi="Tahoma"/>
                <w:noProof/>
                <w:sz w:val="20"/>
              </w:rPr>
              <w:t>: accesul liber la piață pentru serviciile regulate, cu posibilitatea de a refuza autorizarea în cazul în care viabilitatea unui contract de servicii publice este compromisă.</w:t>
            </w:r>
          </w:p>
          <w:p w:rsidR="002241AB" w:rsidRDefault="004A5E4B">
            <w:pPr>
              <w:jc w:val="both"/>
              <w:rPr>
                <w:rFonts w:ascii="Tahoma" w:hAnsi="Tahoma" w:cs="Tahoma"/>
                <w:noProof/>
                <w:sz w:val="20"/>
                <w:szCs w:val="20"/>
              </w:rPr>
            </w:pPr>
            <w:r>
              <w:rPr>
                <w:rFonts w:ascii="Tahoma" w:hAnsi="Tahoma"/>
                <w:b/>
                <w:noProof/>
                <w:sz w:val="20"/>
              </w:rPr>
              <w:t>Opțiunea 2</w:t>
            </w:r>
            <w:r>
              <w:rPr>
                <w:rFonts w:ascii="Tahoma" w:hAnsi="Tahoma"/>
                <w:noProof/>
                <w:sz w:val="20"/>
              </w:rPr>
              <w:t>:</w:t>
            </w:r>
            <w:r>
              <w:rPr>
                <w:noProof/>
              </w:rPr>
              <w:t xml:space="preserve"> </w:t>
            </w:r>
            <w:r>
              <w:rPr>
                <w:rFonts w:ascii="Tahoma" w:hAnsi="Tahoma"/>
                <w:noProof/>
                <w:sz w:val="20"/>
              </w:rPr>
              <w:t xml:space="preserve">accesul liber la piața interurbană pentru servicii regulate pe distanțe de 100 km sau mai mult. Autorizarea poate fi refuzată dacă viabilitatea unui contract de servicii publice pentru mediul urban este compromisă. </w:t>
            </w:r>
          </w:p>
          <w:p w:rsidR="002241AB" w:rsidRDefault="004A5E4B">
            <w:pPr>
              <w:jc w:val="both"/>
              <w:rPr>
                <w:rFonts w:ascii="Tahoma" w:hAnsi="Tahoma" w:cs="Tahoma"/>
                <w:noProof/>
                <w:sz w:val="20"/>
                <w:szCs w:val="20"/>
              </w:rPr>
            </w:pPr>
            <w:r>
              <w:rPr>
                <w:rFonts w:ascii="Tahoma" w:hAnsi="Tahoma"/>
                <w:b/>
                <w:noProof/>
                <w:sz w:val="20"/>
              </w:rPr>
              <w:t>Opțiunea 3</w:t>
            </w:r>
            <w:r>
              <w:rPr>
                <w:rFonts w:ascii="Tahoma" w:hAnsi="Tahoma"/>
                <w:noProof/>
                <w:sz w:val="20"/>
              </w:rPr>
              <w:t>:</w:t>
            </w:r>
            <w:r>
              <w:rPr>
                <w:noProof/>
              </w:rPr>
              <w:t xml:space="preserve"> </w:t>
            </w:r>
            <w:r>
              <w:rPr>
                <w:rFonts w:ascii="Tahoma" w:hAnsi="Tahoma"/>
                <w:noProof/>
                <w:sz w:val="20"/>
              </w:rPr>
              <w:t>accesul liber la piața inter</w:t>
            </w:r>
            <w:r>
              <w:rPr>
                <w:rFonts w:ascii="Tahoma" w:hAnsi="Tahoma"/>
                <w:noProof/>
                <w:sz w:val="20"/>
              </w:rPr>
              <w:t>urbană pentru servicii regulate fără un proces de autorizare pentru serviciile pe distanțe lungi</w:t>
            </w:r>
            <w:r>
              <w:rPr>
                <w:noProof/>
              </w:rPr>
              <w:t>.</w:t>
            </w:r>
          </w:p>
          <w:p w:rsidR="002241AB" w:rsidRDefault="004A5E4B">
            <w:pPr>
              <w:jc w:val="both"/>
              <w:rPr>
                <w:rFonts w:ascii="Tahoma" w:hAnsi="Tahoma" w:cs="Tahoma"/>
                <w:noProof/>
                <w:sz w:val="20"/>
                <w:szCs w:val="20"/>
              </w:rPr>
            </w:pPr>
            <w:r>
              <w:rPr>
                <w:rFonts w:ascii="Tahoma" w:hAnsi="Tahoma"/>
                <w:b/>
                <w:noProof/>
                <w:sz w:val="20"/>
              </w:rPr>
              <w:t>Opțiunea 4</w:t>
            </w:r>
            <w:r>
              <w:rPr>
                <w:rFonts w:ascii="Tahoma" w:hAnsi="Tahoma"/>
                <w:noProof/>
                <w:sz w:val="20"/>
              </w:rPr>
              <w:t>:</w:t>
            </w:r>
            <w:r>
              <w:rPr>
                <w:noProof/>
              </w:rPr>
              <w:t xml:space="preserve"> </w:t>
            </w:r>
            <w:r>
              <w:rPr>
                <w:rFonts w:ascii="Tahoma" w:hAnsi="Tahoma"/>
                <w:noProof/>
                <w:sz w:val="20"/>
              </w:rPr>
              <w:t>dispoziții fără caracter obligatoriu, care să încurajeze accesul echitabil și nediscriminatoriu la terminale.</w:t>
            </w:r>
          </w:p>
          <w:p w:rsidR="002241AB" w:rsidRDefault="004A5E4B">
            <w:pPr>
              <w:jc w:val="both"/>
              <w:rPr>
                <w:rFonts w:ascii="Tahoma" w:hAnsi="Tahoma" w:cs="Tahoma"/>
                <w:noProof/>
                <w:sz w:val="20"/>
                <w:szCs w:val="20"/>
              </w:rPr>
            </w:pPr>
            <w:r>
              <w:rPr>
                <w:rFonts w:ascii="Tahoma" w:hAnsi="Tahoma"/>
                <w:b/>
                <w:noProof/>
                <w:sz w:val="20"/>
              </w:rPr>
              <w:t>Opțiunea 5</w:t>
            </w:r>
            <w:r>
              <w:rPr>
                <w:rFonts w:ascii="Tahoma" w:hAnsi="Tahoma"/>
                <w:noProof/>
                <w:sz w:val="20"/>
              </w:rPr>
              <w:t>:</w:t>
            </w:r>
            <w:r>
              <w:rPr>
                <w:noProof/>
              </w:rPr>
              <w:t xml:space="preserve"> </w:t>
            </w:r>
            <w:r>
              <w:rPr>
                <w:rFonts w:ascii="Tahoma" w:hAnsi="Tahoma"/>
                <w:noProof/>
                <w:sz w:val="20"/>
              </w:rPr>
              <w:t>norme privind egalitatea</w:t>
            </w:r>
            <w:r>
              <w:rPr>
                <w:rFonts w:ascii="Tahoma" w:hAnsi="Tahoma"/>
                <w:noProof/>
                <w:sz w:val="20"/>
              </w:rPr>
              <w:t xml:space="preserve"> de acces, care să necesite accesul echitabil și nediscriminatoriu la terminale.</w:t>
            </w:r>
          </w:p>
          <w:p w:rsidR="002241AB" w:rsidRDefault="004A5E4B">
            <w:pPr>
              <w:jc w:val="both"/>
              <w:rPr>
                <w:rFonts w:ascii="Tahoma" w:hAnsi="Tahoma" w:cs="Tahoma"/>
                <w:noProof/>
                <w:sz w:val="20"/>
                <w:szCs w:val="20"/>
              </w:rPr>
            </w:pPr>
            <w:r>
              <w:rPr>
                <w:rFonts w:ascii="Tahoma" w:hAnsi="Tahoma"/>
                <w:noProof/>
                <w:sz w:val="20"/>
              </w:rPr>
              <w:t>Opțiunea preferată este o combinație între opțiunile 2 și 5.</w:t>
            </w:r>
          </w:p>
        </w:tc>
      </w:tr>
      <w:tr w:rsidR="002241AB">
        <w:tc>
          <w:tcPr>
            <w:tcW w:w="9828" w:type="dxa"/>
            <w:shd w:val="clear" w:color="auto" w:fill="E6E6E6"/>
          </w:tcPr>
          <w:p w:rsidR="002241AB" w:rsidRDefault="004A5E4B">
            <w:pPr>
              <w:pStyle w:val="Default"/>
              <w:jc w:val="both"/>
              <w:rPr>
                <w:rFonts w:ascii="Tahoma" w:hAnsi="Tahoma" w:cs="Tahoma"/>
                <w:b/>
                <w:bCs/>
                <w:noProof/>
                <w:sz w:val="20"/>
                <w:szCs w:val="20"/>
              </w:rPr>
            </w:pPr>
            <w:r>
              <w:rPr>
                <w:rFonts w:ascii="Tahoma" w:hAnsi="Tahoma"/>
                <w:b/>
                <w:noProof/>
                <w:sz w:val="20"/>
              </w:rPr>
              <w:t xml:space="preserve">Care sunt punctele de vedere ale diferitelor părți interesate? Care sunt susținătorii fiecărei opțiuni? </w:t>
            </w:r>
          </w:p>
        </w:tc>
      </w:tr>
      <w:tr w:rsidR="002241AB">
        <w:tc>
          <w:tcPr>
            <w:tcW w:w="9828" w:type="dxa"/>
            <w:shd w:val="clear" w:color="auto" w:fill="auto"/>
          </w:tcPr>
          <w:p w:rsidR="002241AB" w:rsidRDefault="004A5E4B">
            <w:pPr>
              <w:jc w:val="both"/>
              <w:rPr>
                <w:rFonts w:ascii="Tahoma" w:hAnsi="Tahoma" w:cs="Tahoma"/>
                <w:noProof/>
                <w:sz w:val="20"/>
                <w:szCs w:val="20"/>
              </w:rPr>
            </w:pPr>
            <w:r>
              <w:rPr>
                <w:rFonts w:ascii="Tahoma" w:hAnsi="Tahoma"/>
                <w:noProof/>
                <w:sz w:val="20"/>
              </w:rPr>
              <w:t>Părțile</w:t>
            </w:r>
            <w:r>
              <w:rPr>
                <w:rFonts w:ascii="Tahoma" w:hAnsi="Tahoma"/>
                <w:noProof/>
                <w:sz w:val="20"/>
              </w:rPr>
              <w:t xml:space="preserve"> interesate susțin, în general, stabilirea unui cadru UE comun, dar punctele de vedere ale autorităților naționale sunt divergente. Au fost exprimate, de asemenea, opinii divergente cu privire la chestiunea garantării, fără discriminare, a accesului la pie</w:t>
            </w:r>
            <w:r>
              <w:rPr>
                <w:rFonts w:ascii="Tahoma" w:hAnsi="Tahoma"/>
                <w:noProof/>
                <w:sz w:val="20"/>
              </w:rPr>
              <w:t>țele serviciilor naționale regulate, precum și cu privire la eliminarea cerinței ca serviciile ocazionale să se desfășoare conform foii de parcurs (în principal PO1, PO2 și PO3). A existat un consens general conform căruia ar trebui să se mențină procedura</w:t>
            </w:r>
            <w:r>
              <w:rPr>
                <w:rFonts w:ascii="Tahoma" w:hAnsi="Tahoma"/>
                <w:noProof/>
                <w:sz w:val="20"/>
              </w:rPr>
              <w:t xml:space="preserve"> de autorizare (în principal PO1 și PO2) și ar trebui să se conceapă o definiție a terminalelor de autocare (în principal PO4 și PO5). Majoritatea părților interesate au susținut, de asemenea, elaborarea de cerințe pentru a asigura un acces echitabil la te</w:t>
            </w:r>
            <w:r>
              <w:rPr>
                <w:rFonts w:ascii="Tahoma" w:hAnsi="Tahoma"/>
                <w:noProof/>
                <w:sz w:val="20"/>
              </w:rPr>
              <w:t>rminalele de autocare.</w:t>
            </w:r>
          </w:p>
        </w:tc>
      </w:tr>
      <w:tr w:rsidR="002241AB">
        <w:tc>
          <w:tcPr>
            <w:tcW w:w="9828" w:type="dxa"/>
            <w:tcBorders>
              <w:bottom w:val="single" w:sz="4" w:space="0" w:color="auto"/>
            </w:tcBorders>
            <w:shd w:val="clear" w:color="auto" w:fill="CCCCCC"/>
          </w:tcPr>
          <w:p w:rsidR="002241AB" w:rsidRDefault="004A5E4B">
            <w:pPr>
              <w:spacing w:before="60" w:after="60"/>
              <w:rPr>
                <w:rFonts w:ascii="Tahoma" w:hAnsi="Tahoma" w:cs="Tahoma"/>
                <w:b/>
                <w:noProof/>
                <w:sz w:val="20"/>
                <w:szCs w:val="20"/>
              </w:rPr>
            </w:pPr>
            <w:r>
              <w:rPr>
                <w:rFonts w:ascii="Tahoma" w:hAnsi="Tahoma"/>
                <w:b/>
                <w:noProof/>
                <w:sz w:val="20"/>
              </w:rPr>
              <w:t>C. Impacturile opțiunii preferate</w:t>
            </w:r>
          </w:p>
        </w:tc>
      </w:tr>
      <w:tr w:rsidR="002241AB">
        <w:tc>
          <w:tcPr>
            <w:tcW w:w="9828" w:type="dxa"/>
            <w:tcBorders>
              <w:bottom w:val="single" w:sz="4" w:space="0" w:color="auto"/>
            </w:tcBorders>
            <w:shd w:val="clear" w:color="auto" w:fill="E6E6E6"/>
          </w:tcPr>
          <w:p w:rsidR="002241AB" w:rsidRDefault="004A5E4B">
            <w:pPr>
              <w:pStyle w:val="Default"/>
              <w:jc w:val="both"/>
              <w:rPr>
                <w:rFonts w:ascii="Tahoma" w:hAnsi="Tahoma" w:cs="Tahoma"/>
                <w:noProof/>
                <w:sz w:val="20"/>
                <w:szCs w:val="20"/>
              </w:rPr>
            </w:pPr>
            <w:r>
              <w:rPr>
                <w:rFonts w:ascii="Tahoma" w:hAnsi="Tahoma"/>
                <w:b/>
                <w:noProof/>
                <w:sz w:val="20"/>
              </w:rPr>
              <w:t xml:space="preserve">Care sunt avantajele opțiunii preferate (dacă există; în caz contrar, ale opțiunilor principale)? </w:t>
            </w:r>
          </w:p>
        </w:tc>
      </w:tr>
      <w:tr w:rsidR="002241AB">
        <w:trPr>
          <w:trHeight w:val="470"/>
        </w:trPr>
        <w:tc>
          <w:tcPr>
            <w:tcW w:w="9828" w:type="dxa"/>
            <w:tcBorders>
              <w:bottom w:val="single" w:sz="4" w:space="0" w:color="auto"/>
            </w:tcBorders>
            <w:shd w:val="clear" w:color="auto" w:fill="auto"/>
          </w:tcPr>
          <w:p w:rsidR="002241AB" w:rsidRDefault="004A5E4B">
            <w:pPr>
              <w:jc w:val="both"/>
              <w:rPr>
                <w:rFonts w:ascii="Tahoma" w:hAnsi="Tahoma" w:cs="Tahoma"/>
                <w:noProof/>
                <w:sz w:val="20"/>
                <w:szCs w:val="20"/>
              </w:rPr>
            </w:pPr>
            <w:r>
              <w:rPr>
                <w:rFonts w:ascii="Tahoma" w:hAnsi="Tahoma"/>
                <w:noProof/>
                <w:sz w:val="20"/>
              </w:rPr>
              <w:t>183 milioane EUR de economii nete cumulate în ceea ce privește costurile cu emisiile de CO</w:t>
            </w:r>
            <w:r>
              <w:rPr>
                <w:rFonts w:ascii="Tahoma" w:hAnsi="Tahoma"/>
                <w:noProof/>
                <w:sz w:val="20"/>
                <w:vertAlign w:val="subscript"/>
              </w:rPr>
              <w:t>2</w:t>
            </w:r>
            <w:r>
              <w:rPr>
                <w:rFonts w:ascii="Tahoma" w:hAnsi="Tahoma"/>
                <w:noProof/>
                <w:sz w:val="20"/>
              </w:rPr>
              <w:t xml:space="preserve"> și 590 milioane EUR de economii nete cumulate în ceea ce privește costurile cu poluarea aerului; crearea a 85 000 de noi locuri de muncă în 2030; reducerea tarifelor, frecvența sporită și o mai mare disponibilitate a serviciilor; economii pentru întreprin</w:t>
            </w:r>
            <w:r>
              <w:rPr>
                <w:rFonts w:ascii="Tahoma" w:hAnsi="Tahoma"/>
                <w:noProof/>
                <w:sz w:val="20"/>
              </w:rPr>
              <w:t>deri și administrații de aproximativ 1 560 milioane EUR; creșterea cu aproximativ 11 % în 2030 a activității de transport cu autocarul față de scenariul de referință și cu aproximativ 1 punct procentual a ponderii modale; îmbunătățirea conectivității dintr</w:t>
            </w:r>
            <w:r>
              <w:rPr>
                <w:rFonts w:ascii="Tahoma" w:hAnsi="Tahoma"/>
                <w:noProof/>
                <w:sz w:val="20"/>
              </w:rPr>
              <w:t xml:space="preserve">e grupurile sociale </w:t>
            </w:r>
            <w:r>
              <w:rPr>
                <w:rFonts w:ascii="Tahoma" w:hAnsi="Tahoma"/>
                <w:noProof/>
                <w:sz w:val="20"/>
              </w:rPr>
              <w:lastRenderedPageBreak/>
              <w:t>dezavantajate cu 62 miliarde de călători-kilometri în 2030 față de scenariul de referință; și o contribuție de 2,8 miliarde EUR la reducerea costurilor accidentelor.</w:t>
            </w:r>
          </w:p>
        </w:tc>
      </w:tr>
      <w:tr w:rsidR="002241AB">
        <w:tc>
          <w:tcPr>
            <w:tcW w:w="9828" w:type="dxa"/>
            <w:tcBorders>
              <w:bottom w:val="single" w:sz="4" w:space="0" w:color="auto"/>
            </w:tcBorders>
            <w:shd w:val="clear" w:color="auto" w:fill="E6E6E6"/>
          </w:tcPr>
          <w:p w:rsidR="002241AB" w:rsidRDefault="004A5E4B">
            <w:pPr>
              <w:pStyle w:val="Default"/>
              <w:jc w:val="both"/>
              <w:rPr>
                <w:rFonts w:ascii="Tahoma" w:hAnsi="Tahoma" w:cs="Tahoma"/>
                <w:noProof/>
                <w:sz w:val="20"/>
                <w:szCs w:val="20"/>
              </w:rPr>
            </w:pPr>
            <w:r>
              <w:rPr>
                <w:rFonts w:ascii="Tahoma" w:hAnsi="Tahoma"/>
                <w:b/>
                <w:noProof/>
                <w:sz w:val="20"/>
              </w:rPr>
              <w:lastRenderedPageBreak/>
              <w:t xml:space="preserve">Care sunt costurile opțiunii preferate (dacă există; în caz contrar, </w:t>
            </w:r>
            <w:r>
              <w:rPr>
                <w:rFonts w:ascii="Tahoma" w:hAnsi="Tahoma"/>
                <w:b/>
                <w:noProof/>
                <w:sz w:val="20"/>
              </w:rPr>
              <w:t xml:space="preserve">ale opțiunilor principale)? </w:t>
            </w:r>
          </w:p>
        </w:tc>
      </w:tr>
      <w:tr w:rsidR="002241AB">
        <w:tc>
          <w:tcPr>
            <w:tcW w:w="9828" w:type="dxa"/>
            <w:tcBorders>
              <w:bottom w:val="single" w:sz="4" w:space="0" w:color="auto"/>
            </w:tcBorders>
            <w:shd w:val="clear" w:color="auto" w:fill="auto"/>
          </w:tcPr>
          <w:p w:rsidR="002241AB" w:rsidRDefault="004A5E4B">
            <w:pPr>
              <w:jc w:val="both"/>
              <w:rPr>
                <w:rFonts w:ascii="Tahoma" w:hAnsi="Tahoma" w:cs="Tahoma"/>
                <w:noProof/>
                <w:sz w:val="20"/>
                <w:szCs w:val="20"/>
              </w:rPr>
            </w:pPr>
            <w:r>
              <w:rPr>
                <w:rFonts w:ascii="Tahoma" w:hAnsi="Tahoma"/>
                <w:noProof/>
                <w:sz w:val="20"/>
              </w:rPr>
              <w:t>- Impact negativ dar limitat asupra altor moduri de transport, cu o reducere estimată de 4,8 % a activităților de transport feroviar în 2030 față de scenariul de referință, ca urmare a îmbunătățirii performanței serviciilor de</w:t>
            </w:r>
            <w:r>
              <w:rPr>
                <w:rFonts w:ascii="Tahoma" w:hAnsi="Tahoma"/>
                <w:noProof/>
                <w:sz w:val="20"/>
              </w:rPr>
              <w:t xml:space="preserve"> transport cu autocarul.</w:t>
            </w:r>
          </w:p>
          <w:p w:rsidR="002241AB" w:rsidRDefault="004A5E4B">
            <w:pPr>
              <w:jc w:val="both"/>
              <w:rPr>
                <w:rFonts w:ascii="Tahoma" w:hAnsi="Tahoma" w:cs="Tahoma"/>
                <w:i/>
                <w:noProof/>
                <w:sz w:val="20"/>
                <w:szCs w:val="20"/>
              </w:rPr>
            </w:pPr>
            <w:r>
              <w:rPr>
                <w:rFonts w:ascii="Tahoma" w:hAnsi="Tahoma"/>
                <w:noProof/>
                <w:sz w:val="20"/>
              </w:rPr>
              <w:t>- Impact negativ asupra anumitor contracte de servicii publice, cu o pierdere de venituri de aproximativ 1,4 % pentru transportul feroviar.</w:t>
            </w:r>
          </w:p>
        </w:tc>
      </w:tr>
      <w:tr w:rsidR="002241AB">
        <w:tc>
          <w:tcPr>
            <w:tcW w:w="9828" w:type="dxa"/>
            <w:tcBorders>
              <w:bottom w:val="single" w:sz="4" w:space="0" w:color="auto"/>
            </w:tcBorders>
            <w:shd w:val="clear" w:color="auto" w:fill="E6E6E6"/>
          </w:tcPr>
          <w:p w:rsidR="002241AB" w:rsidRDefault="004A5E4B">
            <w:pPr>
              <w:pStyle w:val="Default"/>
              <w:jc w:val="both"/>
              <w:rPr>
                <w:rFonts w:ascii="Tahoma" w:hAnsi="Tahoma" w:cs="Tahoma"/>
                <w:noProof/>
                <w:sz w:val="20"/>
                <w:szCs w:val="20"/>
              </w:rPr>
            </w:pPr>
            <w:r>
              <w:rPr>
                <w:rFonts w:ascii="Tahoma" w:hAnsi="Tahoma"/>
                <w:b/>
                <w:noProof/>
                <w:sz w:val="20"/>
              </w:rPr>
              <w:t xml:space="preserve">Care sunt efectele asupra IMM-urilor și a competitivității? </w:t>
            </w:r>
          </w:p>
        </w:tc>
      </w:tr>
      <w:tr w:rsidR="002241AB">
        <w:tc>
          <w:tcPr>
            <w:tcW w:w="9828" w:type="dxa"/>
            <w:tcBorders>
              <w:bottom w:val="single" w:sz="4" w:space="0" w:color="auto"/>
            </w:tcBorders>
            <w:shd w:val="clear" w:color="auto" w:fill="auto"/>
          </w:tcPr>
          <w:p w:rsidR="002241AB" w:rsidRDefault="004A5E4B">
            <w:pPr>
              <w:jc w:val="both"/>
              <w:rPr>
                <w:rFonts w:ascii="Tahoma" w:hAnsi="Tahoma" w:cs="Tahoma"/>
                <w:i/>
                <w:noProof/>
                <w:sz w:val="20"/>
                <w:szCs w:val="20"/>
              </w:rPr>
            </w:pPr>
            <w:r>
              <w:rPr>
                <w:rFonts w:ascii="Tahoma" w:hAnsi="Tahoma"/>
                <w:noProof/>
                <w:sz w:val="20"/>
              </w:rPr>
              <w:t xml:space="preserve">Majoritatea măsurilor nu ar </w:t>
            </w:r>
            <w:r>
              <w:rPr>
                <w:rFonts w:ascii="Tahoma" w:hAnsi="Tahoma"/>
                <w:noProof/>
                <w:sz w:val="20"/>
              </w:rPr>
              <w:t>trebui să aibă efecte deosebite asupra IMM-urilor, însă se așteaptă ca o mai mare stimulare a pieței să rezulte în mai multe oportunități.</w:t>
            </w:r>
          </w:p>
        </w:tc>
      </w:tr>
      <w:tr w:rsidR="002241AB">
        <w:tc>
          <w:tcPr>
            <w:tcW w:w="9828" w:type="dxa"/>
            <w:tcBorders>
              <w:bottom w:val="single" w:sz="4" w:space="0" w:color="auto"/>
            </w:tcBorders>
            <w:shd w:val="clear" w:color="auto" w:fill="E6E6E6"/>
          </w:tcPr>
          <w:p w:rsidR="002241AB" w:rsidRDefault="004A5E4B">
            <w:pPr>
              <w:pStyle w:val="Default"/>
              <w:jc w:val="both"/>
              <w:rPr>
                <w:rFonts w:ascii="Tahoma" w:hAnsi="Tahoma" w:cs="Tahoma"/>
                <w:noProof/>
                <w:sz w:val="20"/>
                <w:szCs w:val="20"/>
              </w:rPr>
            </w:pPr>
            <w:r>
              <w:rPr>
                <w:rFonts w:ascii="Tahoma" w:hAnsi="Tahoma"/>
                <w:b/>
                <w:noProof/>
                <w:sz w:val="20"/>
              </w:rPr>
              <w:t xml:space="preserve">Vor exista efecte semnificative asupra bugetelor și asupra administrațiilor naționale? </w:t>
            </w:r>
          </w:p>
        </w:tc>
      </w:tr>
      <w:tr w:rsidR="002241AB">
        <w:tc>
          <w:tcPr>
            <w:tcW w:w="9828" w:type="dxa"/>
            <w:shd w:val="clear" w:color="auto" w:fill="auto"/>
          </w:tcPr>
          <w:p w:rsidR="002241AB" w:rsidRDefault="004A5E4B">
            <w:pPr>
              <w:jc w:val="both"/>
              <w:rPr>
                <w:rFonts w:ascii="Tahoma" w:hAnsi="Tahoma" w:cs="Tahoma"/>
                <w:noProof/>
                <w:sz w:val="20"/>
                <w:szCs w:val="20"/>
              </w:rPr>
            </w:pPr>
            <w:r>
              <w:rPr>
                <w:rFonts w:ascii="Tahoma" w:hAnsi="Tahoma"/>
                <w:noProof/>
                <w:sz w:val="20"/>
              </w:rPr>
              <w:t xml:space="preserve">Opțiunile preferate ar </w:t>
            </w:r>
            <w:r>
              <w:rPr>
                <w:rFonts w:ascii="Tahoma" w:hAnsi="Tahoma"/>
                <w:noProof/>
                <w:sz w:val="20"/>
              </w:rPr>
              <w:t>genera costuri suplimentare pentru autoritățile naționale, necesare pentru executarea normelor privind terminalele (însă mult mai puțin semnificative decât realizarea de economii pentru întreprinderi).</w:t>
            </w:r>
          </w:p>
        </w:tc>
      </w:tr>
      <w:tr w:rsidR="002241AB">
        <w:tc>
          <w:tcPr>
            <w:tcW w:w="9828" w:type="dxa"/>
            <w:tcBorders>
              <w:bottom w:val="single" w:sz="4" w:space="0" w:color="auto"/>
            </w:tcBorders>
            <w:shd w:val="clear" w:color="auto" w:fill="E6E6E6"/>
          </w:tcPr>
          <w:p w:rsidR="002241AB" w:rsidRDefault="004A5E4B">
            <w:pPr>
              <w:pStyle w:val="Default"/>
              <w:jc w:val="both"/>
              <w:rPr>
                <w:rFonts w:ascii="Tahoma" w:hAnsi="Tahoma" w:cs="Tahoma"/>
                <w:noProof/>
                <w:sz w:val="20"/>
                <w:szCs w:val="20"/>
              </w:rPr>
            </w:pPr>
            <w:r>
              <w:rPr>
                <w:rFonts w:ascii="Tahoma" w:hAnsi="Tahoma"/>
                <w:b/>
                <w:noProof/>
                <w:sz w:val="20"/>
              </w:rPr>
              <w:t xml:space="preserve">Vor exista și alte efecte semnificative? </w:t>
            </w:r>
          </w:p>
        </w:tc>
      </w:tr>
      <w:tr w:rsidR="002241AB">
        <w:tc>
          <w:tcPr>
            <w:tcW w:w="9828" w:type="dxa"/>
            <w:tcBorders>
              <w:bottom w:val="single" w:sz="4" w:space="0" w:color="auto"/>
            </w:tcBorders>
            <w:shd w:val="clear" w:color="auto" w:fill="auto"/>
          </w:tcPr>
          <w:p w:rsidR="002241AB" w:rsidRDefault="004A5E4B">
            <w:pPr>
              <w:jc w:val="both"/>
              <w:rPr>
                <w:rFonts w:ascii="Tahoma" w:hAnsi="Tahoma" w:cs="Tahoma"/>
                <w:noProof/>
                <w:sz w:val="20"/>
                <w:szCs w:val="20"/>
              </w:rPr>
            </w:pPr>
            <w:r>
              <w:rPr>
                <w:rFonts w:ascii="Tahoma" w:hAnsi="Tahoma"/>
                <w:noProof/>
                <w:sz w:val="20"/>
              </w:rPr>
              <w:t>Intensific</w:t>
            </w:r>
            <w:r>
              <w:rPr>
                <w:rFonts w:ascii="Tahoma" w:hAnsi="Tahoma"/>
                <w:noProof/>
                <w:sz w:val="20"/>
              </w:rPr>
              <w:t>area transportului interurban. Îmbunătățirea mobilității pentru persoanele care altfel nu și-ar permite să călătorească. Reducerea impacturilor negative ale transportului interurban de persoane, cum ar fi emisiile, accidentele rutiere și decesele rezultate</w:t>
            </w:r>
            <w:r>
              <w:rPr>
                <w:rFonts w:ascii="Tahoma" w:hAnsi="Tahoma"/>
                <w:noProof/>
                <w:sz w:val="20"/>
              </w:rPr>
              <w:t xml:space="preserve"> în urma acestora, congestionarea traficului rutier, precum și îmbunătățirea eficienței de utilizare a resurselor de transport.</w:t>
            </w:r>
          </w:p>
        </w:tc>
      </w:tr>
      <w:tr w:rsidR="002241AB">
        <w:tc>
          <w:tcPr>
            <w:tcW w:w="9828" w:type="dxa"/>
            <w:tcBorders>
              <w:bottom w:val="single" w:sz="4" w:space="0" w:color="auto"/>
            </w:tcBorders>
            <w:shd w:val="clear" w:color="auto" w:fill="E6E6E6"/>
          </w:tcPr>
          <w:p w:rsidR="002241AB" w:rsidRDefault="004A5E4B">
            <w:pPr>
              <w:pStyle w:val="Default"/>
              <w:jc w:val="both"/>
              <w:rPr>
                <w:rFonts w:ascii="Tahoma" w:hAnsi="Tahoma" w:cs="Tahoma"/>
                <w:noProof/>
                <w:sz w:val="20"/>
                <w:szCs w:val="20"/>
              </w:rPr>
            </w:pPr>
            <w:r>
              <w:rPr>
                <w:rFonts w:ascii="Tahoma" w:hAnsi="Tahoma"/>
                <w:b/>
                <w:noProof/>
                <w:sz w:val="20"/>
              </w:rPr>
              <w:t xml:space="preserve">Proporționalitate? </w:t>
            </w:r>
          </w:p>
        </w:tc>
      </w:tr>
      <w:tr w:rsidR="002241AB">
        <w:tc>
          <w:tcPr>
            <w:tcW w:w="9828" w:type="dxa"/>
            <w:shd w:val="clear" w:color="auto" w:fill="auto"/>
          </w:tcPr>
          <w:p w:rsidR="002241AB" w:rsidRDefault="004A5E4B">
            <w:pPr>
              <w:jc w:val="both"/>
              <w:rPr>
                <w:rFonts w:ascii="Tahoma" w:hAnsi="Tahoma" w:cs="Tahoma"/>
                <w:i/>
                <w:noProof/>
                <w:sz w:val="20"/>
                <w:szCs w:val="20"/>
              </w:rPr>
            </w:pPr>
            <w:r>
              <w:rPr>
                <w:rFonts w:ascii="Tahoma" w:hAnsi="Tahoma"/>
                <w:noProof/>
                <w:sz w:val="20"/>
              </w:rPr>
              <w:t xml:space="preserve">Opțiunile preferate nu depășesc ceea ce este necesar pentru a soluționa problema inițială și pentru a </w:t>
            </w:r>
            <w:r>
              <w:rPr>
                <w:rFonts w:ascii="Tahoma" w:hAnsi="Tahoma"/>
                <w:noProof/>
                <w:sz w:val="20"/>
              </w:rPr>
              <w:t>îndeplini obiectivele propunerii.</w:t>
            </w:r>
          </w:p>
        </w:tc>
      </w:tr>
      <w:tr w:rsidR="002241AB">
        <w:tc>
          <w:tcPr>
            <w:tcW w:w="9828" w:type="dxa"/>
            <w:tcBorders>
              <w:bottom w:val="single" w:sz="4" w:space="0" w:color="auto"/>
            </w:tcBorders>
            <w:shd w:val="clear" w:color="auto" w:fill="C0C0C0"/>
          </w:tcPr>
          <w:p w:rsidR="002241AB" w:rsidRDefault="004A5E4B">
            <w:pPr>
              <w:spacing w:before="60" w:after="60"/>
              <w:rPr>
                <w:rFonts w:ascii="Tahoma" w:hAnsi="Tahoma" w:cs="Tahoma"/>
                <w:b/>
                <w:noProof/>
                <w:sz w:val="20"/>
                <w:szCs w:val="20"/>
              </w:rPr>
            </w:pPr>
            <w:r>
              <w:rPr>
                <w:rFonts w:ascii="Tahoma" w:hAnsi="Tahoma"/>
                <w:b/>
                <w:noProof/>
                <w:sz w:val="20"/>
              </w:rPr>
              <w:t>D. Acțiuni ulterioare</w:t>
            </w:r>
          </w:p>
        </w:tc>
      </w:tr>
      <w:tr w:rsidR="002241AB">
        <w:tc>
          <w:tcPr>
            <w:tcW w:w="9828" w:type="dxa"/>
            <w:tcBorders>
              <w:bottom w:val="single" w:sz="4" w:space="0" w:color="auto"/>
            </w:tcBorders>
            <w:shd w:val="clear" w:color="auto" w:fill="E6E6E6"/>
          </w:tcPr>
          <w:p w:rsidR="002241AB" w:rsidRDefault="004A5E4B">
            <w:pPr>
              <w:pStyle w:val="Default"/>
              <w:jc w:val="both"/>
              <w:rPr>
                <w:rFonts w:ascii="Tahoma" w:hAnsi="Tahoma" w:cs="Tahoma"/>
                <w:noProof/>
                <w:sz w:val="20"/>
                <w:szCs w:val="20"/>
              </w:rPr>
            </w:pPr>
            <w:r>
              <w:rPr>
                <w:rFonts w:ascii="Tahoma" w:hAnsi="Tahoma"/>
                <w:b/>
                <w:noProof/>
                <w:sz w:val="20"/>
              </w:rPr>
              <w:t xml:space="preserve">Când va fi revizuită politica? </w:t>
            </w:r>
          </w:p>
        </w:tc>
      </w:tr>
      <w:tr w:rsidR="002241AB">
        <w:tc>
          <w:tcPr>
            <w:tcW w:w="9828" w:type="dxa"/>
            <w:tcBorders>
              <w:bottom w:val="single" w:sz="4" w:space="0" w:color="auto"/>
            </w:tcBorders>
            <w:shd w:val="clear" w:color="auto" w:fill="auto"/>
          </w:tcPr>
          <w:p w:rsidR="002241AB" w:rsidRDefault="004A5E4B">
            <w:pPr>
              <w:jc w:val="both"/>
              <w:rPr>
                <w:rFonts w:ascii="Tahoma" w:hAnsi="Tahoma" w:cs="Tahoma"/>
                <w:b/>
                <w:noProof/>
                <w:sz w:val="20"/>
                <w:szCs w:val="20"/>
              </w:rPr>
            </w:pPr>
            <w:r>
              <w:rPr>
                <w:rFonts w:ascii="Tahoma" w:hAnsi="Tahoma"/>
                <w:noProof/>
                <w:sz w:val="20"/>
              </w:rPr>
              <w:t>După cinci ani de la începerea aplicării normelor.</w:t>
            </w:r>
          </w:p>
        </w:tc>
      </w:tr>
    </w:tbl>
    <w:p w:rsidR="002241AB" w:rsidRDefault="002241AB">
      <w:pPr>
        <w:rPr>
          <w:rFonts w:ascii="Tahoma" w:hAnsi="Tahoma" w:cs="Tahoma"/>
          <w:noProof/>
          <w:sz w:val="20"/>
          <w:szCs w:val="20"/>
        </w:rPr>
      </w:pPr>
    </w:p>
    <w:sectPr w:rsidR="002241AB">
      <w:headerReference w:type="even" r:id="rId19"/>
      <w:headerReference w:type="default" r:id="rId20"/>
      <w:footerReference w:type="even" r:id="rId21"/>
      <w:footerReference w:type="default" r:id="rId22"/>
      <w:headerReference w:type="first" r:id="rId23"/>
      <w:footerReference w:type="first" r:id="rId24"/>
      <w:pgSz w:w="11906" w:h="16838" w:code="9"/>
      <w:pgMar w:top="1134" w:right="1417" w:bottom="1134" w:left="1417" w:header="709" w:footer="709" w:gutter="0"/>
      <w:pgNumType w:start="2"/>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EFEC13" w15:done="0"/>
  <w15:commentEx w15:paraId="6D01A7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EFEC13" w16cid:durableId="1D893154"/>
  <w16cid:commentId w16cid:paraId="6D01A7CD" w16cid:durableId="1D8930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1AB" w:rsidRDefault="004A5E4B">
      <w:r>
        <w:separator/>
      </w:r>
    </w:p>
  </w:endnote>
  <w:endnote w:type="continuationSeparator" w:id="0">
    <w:p w:rsidR="002241AB" w:rsidRDefault="004A5E4B">
      <w:r>
        <w:continuationSeparator/>
      </w:r>
    </w:p>
  </w:endnote>
  <w:endnote w:type="continuationNotice" w:id="1">
    <w:p w:rsidR="002241AB" w:rsidRDefault="00224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4B" w:rsidRPr="004A5E4B" w:rsidRDefault="004A5E4B" w:rsidP="004A5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4B" w:rsidRPr="004A5E4B" w:rsidRDefault="004A5E4B" w:rsidP="004A5E4B">
    <w:pPr>
      <w:pStyle w:val="FooterCoverPage"/>
      <w:rPr>
        <w:rFonts w:ascii="Arial" w:hAnsi="Arial" w:cs="Arial"/>
        <w:b/>
        <w:sz w:val="48"/>
      </w:rPr>
    </w:pPr>
    <w:r w:rsidRPr="004A5E4B">
      <w:rPr>
        <w:rFonts w:ascii="Arial" w:hAnsi="Arial" w:cs="Arial"/>
        <w:b/>
        <w:sz w:val="48"/>
      </w:rPr>
      <w:t>RO</w:t>
    </w:r>
    <w:r w:rsidRPr="004A5E4B">
      <w:rPr>
        <w:rFonts w:ascii="Arial" w:hAnsi="Arial" w:cs="Arial"/>
        <w:b/>
        <w:sz w:val="48"/>
      </w:rPr>
      <w:tab/>
    </w:r>
    <w:r w:rsidRPr="004A5E4B">
      <w:rPr>
        <w:rFonts w:ascii="Arial" w:hAnsi="Arial" w:cs="Arial"/>
        <w:b/>
        <w:sz w:val="48"/>
      </w:rPr>
      <w:tab/>
    </w:r>
    <w:r w:rsidRPr="004A5E4B">
      <w:tab/>
    </w:r>
    <w:r w:rsidRPr="004A5E4B">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4B" w:rsidRPr="004A5E4B" w:rsidRDefault="004A5E4B" w:rsidP="004A5E4B">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AB" w:rsidRDefault="002241A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54989"/>
      <w:docPartObj>
        <w:docPartGallery w:val="Page Numbers (Bottom of Page)"/>
        <w:docPartUnique/>
      </w:docPartObj>
    </w:sdtPr>
    <w:sdtEndPr>
      <w:rPr>
        <w:noProof/>
      </w:rPr>
    </w:sdtEndPr>
    <w:sdtContent>
      <w:p w:rsidR="002241AB" w:rsidRDefault="004A5E4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2241AB" w:rsidRDefault="002241A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710299"/>
      <w:docPartObj>
        <w:docPartGallery w:val="Page Numbers (Bottom of Page)"/>
        <w:docPartUnique/>
      </w:docPartObj>
    </w:sdtPr>
    <w:sdtEndPr>
      <w:rPr>
        <w:noProof/>
      </w:rPr>
    </w:sdtEndPr>
    <w:sdtContent>
      <w:p w:rsidR="002241AB" w:rsidRDefault="004A5E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241AB" w:rsidRDefault="002241AB">
    <w:pPr>
      <w:pStyle w:val="FooterCover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1AB" w:rsidRDefault="004A5E4B">
      <w:r>
        <w:separator/>
      </w:r>
    </w:p>
  </w:footnote>
  <w:footnote w:type="continuationSeparator" w:id="0">
    <w:p w:rsidR="002241AB" w:rsidRDefault="004A5E4B">
      <w:r>
        <w:continuationSeparator/>
      </w:r>
    </w:p>
  </w:footnote>
  <w:footnote w:type="continuationNotice" w:id="1">
    <w:p w:rsidR="002241AB" w:rsidRDefault="002241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4B" w:rsidRPr="004A5E4B" w:rsidRDefault="004A5E4B" w:rsidP="004A5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4B" w:rsidRPr="004A5E4B" w:rsidRDefault="004A5E4B" w:rsidP="004A5E4B">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4B" w:rsidRPr="004A5E4B" w:rsidRDefault="004A5E4B" w:rsidP="004A5E4B">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AB" w:rsidRDefault="002241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AB" w:rsidRDefault="002241AB">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AB" w:rsidRDefault="002241AB">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3387C"/>
    <w:multiLevelType w:val="hybridMultilevel"/>
    <w:tmpl w:val="7006399E"/>
    <w:lvl w:ilvl="0" w:tplc="23DE7F78">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nsid w:val="4C4E1654"/>
    <w:multiLevelType w:val="multilevel"/>
    <w:tmpl w:val="7006399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
    <w:nsid w:val="55FD19AF"/>
    <w:multiLevelType w:val="hybridMultilevel"/>
    <w:tmpl w:val="0E623F1A"/>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nsid w:val="65832DB6"/>
    <w:multiLevelType w:val="hybridMultilevel"/>
    <w:tmpl w:val="D2EE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1B39AB"/>
    <w:multiLevelType w:val="multilevel"/>
    <w:tmpl w:val="0E623F1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nsid w:val="77775577"/>
    <w:multiLevelType w:val="hybridMultilevel"/>
    <w:tmpl w:val="FC98E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VE A3">
    <w15:presenceInfo w15:providerId="None" w15:userId="MOVE 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care înso\u355?e\u351?te documentul"/>
    <w:docVar w:name="LW_CORRIGENDUM" w:val="&lt;UNUSED&gt;"/>
    <w:docVar w:name="LW_COVERPAGE_EXISTS" w:val="True"/>
    <w:docVar w:name="LW_COVERPAGE_GUID" w:val="DE63527E-5EAE-4CDE-AF22-A649B1FE1C83"/>
    <w:docVar w:name="LW_COVERPAGE_TYPE" w:val="1"/>
    <w:docVar w:name="LW_CROSSREFERENCE" w:val="{COM(2017) 647 final}_x000d__x000a_{SWD(2017) 358 final}_x000d_"/>
    <w:docVar w:name="LW_DocType" w:val="NORMAL"/>
    <w:docVar w:name="LW_EMISSION" w:val="8.11.2017"/>
    <w:docVar w:name="LW_EMISSION_ISODATE" w:val="2017-11-08"/>
    <w:docVar w:name="LW_EMISSION_LOCATION" w:val="BRX"/>
    <w:docVar w:name="LW_EMISSION_PREFIX" w:val="Bruxelles,"/>
    <w:docVar w:name="LW_EMISSION_SUFFIX" w:val="&lt;EMPTY&gt;"/>
    <w:docVar w:name="LW_ID_DOCTYPE_NONLW" w:val="CP-027"/>
    <w:docVar w:name="LW_LANGUE" w:val="RO"/>
    <w:docVar w:name="LW_LEVEL_OF_SENSITIVITY" w:val="Standard treatment"/>
    <w:docVar w:name="LW_NOM.INST" w:val="COMISIA EUROPEAN\u258?"/>
    <w:docVar w:name="LW_NOM.INST_JOINTDOC" w:val="&lt;EMPTY&gt;"/>
    <w:docVar w:name="LW_OBJETACTEPRINCIPAL.CP" w:val="de modificare a Regulamentului (CE) nr. 1073/2009 privind normele comune pentru accesul la pia\u539?a interna\u539?ional\u259? a serviciilor de transport cu autocarul \u537?i autobuzul_x000b_"/>
    <w:docVar w:name="LW_PART_NBR" w:val="1"/>
    <w:docVar w:name="LW_PART_NBR_TOTAL" w:val="1"/>
    <w:docVar w:name="LW_REF.INST.NEW" w:val="SWD"/>
    <w:docVar w:name="LW_REF.INST.NEW_ADOPTED" w:val="final"/>
    <w:docVar w:name="LW_REF.INST.NEW_TEXT" w:val="(2017) 3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CUMENT DE LUCRU AL SERVICIILOR COMISIEI_x000b__x000b_REZUMATUL EVALU\u258?RII IMPACTULUI_x000b_"/>
    <w:docVar w:name="LW_TYPEACTEPRINCIPAL.CP" w:val="Propunere de Regulament al Parlamentului European \u537?i al Consiliului"/>
  </w:docVars>
  <w:rsids>
    <w:rsidRoot w:val="002241AB"/>
    <w:rsid w:val="002241AB"/>
    <w:rsid w:val="004A5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ro-RO"/>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bidi="ar-SA"/>
    </w:rPr>
  </w:style>
  <w:style w:type="paragraph" w:styleId="FootnoteText">
    <w:name w:val="footnote text"/>
    <w:basedOn w:val="Normal"/>
    <w:semiHidden/>
    <w:pPr>
      <w:ind w:left="720" w:hanging="720"/>
      <w:jc w:val="both"/>
    </w:pPr>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Pr>
      <w:rFonts w:eastAsiaTheme="minorHAnsi"/>
      <w:sz w:val="24"/>
      <w:szCs w:val="22"/>
      <w:lang w:eastAsia="en-US" w:bidi="ar-SA"/>
    </w:rPr>
  </w:style>
  <w:style w:type="paragraph" w:customStyle="1" w:styleId="ZCom">
    <w:name w:val="Z_Com"/>
    <w:basedOn w:val="Normal"/>
    <w:next w:val="ZDGName"/>
    <w:uiPriority w:val="99"/>
    <w:pPr>
      <w:widowControl w:val="0"/>
      <w:autoSpaceDE w:val="0"/>
      <w:autoSpaceDN w:val="0"/>
      <w:ind w:right="85"/>
      <w:jc w:val="both"/>
    </w:pPr>
    <w:rPr>
      <w:rFonts w:ascii="Arial" w:eastAsiaTheme="minorEastAsia" w:hAnsi="Arial" w:cs="Arial"/>
    </w:rPr>
  </w:style>
  <w:style w:type="paragraph" w:customStyle="1" w:styleId="ZDGName">
    <w:name w:val="Z_DGName"/>
    <w:basedOn w:val="Normal"/>
    <w:uiPriority w:val="99"/>
    <w:pPr>
      <w:widowControl w:val="0"/>
      <w:autoSpaceDE w:val="0"/>
      <w:autoSpaceDN w:val="0"/>
      <w:ind w:right="85"/>
    </w:pPr>
    <w:rPr>
      <w:rFonts w:ascii="Arial" w:eastAsiaTheme="minorEastAsia" w:hAnsi="Arial" w:cs="Arial"/>
      <w:sz w:val="16"/>
      <w:szCs w:val="16"/>
    </w:rPr>
  </w:style>
  <w:style w:type="paragraph" w:customStyle="1" w:styleId="Default">
    <w:name w:val="Default"/>
    <w:pPr>
      <w:autoSpaceDE w:val="0"/>
      <w:autoSpaceDN w:val="0"/>
      <w:adjustRightInd w:val="0"/>
    </w:pPr>
    <w:rPr>
      <w:color w:val="000000"/>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character" w:customStyle="1" w:styleId="FooterChar">
    <w:name w:val="Footer Char"/>
    <w:basedOn w:val="DefaultParagraphFont"/>
    <w:link w:val="Footer"/>
    <w:uiPriority w:val="99"/>
    <w:rPr>
      <w:rFonts w:eastAsiaTheme="minorHAnsi"/>
      <w:sz w:val="24"/>
      <w:szCs w:val="22"/>
      <w:lang w:eastAsia="en-US" w:bidi="ar-SA"/>
    </w:rPr>
  </w:style>
  <w:style w:type="paragraph" w:customStyle="1" w:styleId="Declassification">
    <w:name w:val="Declassification"/>
    <w:basedOn w:val="Normal"/>
    <w:next w:val="Normal"/>
    <w:pPr>
      <w:jc w:val="both"/>
    </w:pPr>
    <w:rPr>
      <w:rFonts w:eastAsiaTheme="minorHAnsi"/>
      <w:szCs w:val="22"/>
      <w:lang w:eastAsia="en-US" w:bidi="ar-SA"/>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ro-RO"/>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bidi="ar-SA"/>
    </w:rPr>
  </w:style>
  <w:style w:type="paragraph" w:styleId="FootnoteText">
    <w:name w:val="footnote text"/>
    <w:basedOn w:val="Normal"/>
    <w:semiHidden/>
    <w:pPr>
      <w:ind w:left="720" w:hanging="720"/>
      <w:jc w:val="both"/>
    </w:pPr>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Pr>
      <w:rFonts w:eastAsiaTheme="minorHAnsi"/>
      <w:sz w:val="24"/>
      <w:szCs w:val="22"/>
      <w:lang w:eastAsia="en-US" w:bidi="ar-SA"/>
    </w:rPr>
  </w:style>
  <w:style w:type="paragraph" w:customStyle="1" w:styleId="ZCom">
    <w:name w:val="Z_Com"/>
    <w:basedOn w:val="Normal"/>
    <w:next w:val="ZDGName"/>
    <w:uiPriority w:val="99"/>
    <w:pPr>
      <w:widowControl w:val="0"/>
      <w:autoSpaceDE w:val="0"/>
      <w:autoSpaceDN w:val="0"/>
      <w:ind w:right="85"/>
      <w:jc w:val="both"/>
    </w:pPr>
    <w:rPr>
      <w:rFonts w:ascii="Arial" w:eastAsiaTheme="minorEastAsia" w:hAnsi="Arial" w:cs="Arial"/>
    </w:rPr>
  </w:style>
  <w:style w:type="paragraph" w:customStyle="1" w:styleId="ZDGName">
    <w:name w:val="Z_DGName"/>
    <w:basedOn w:val="Normal"/>
    <w:uiPriority w:val="99"/>
    <w:pPr>
      <w:widowControl w:val="0"/>
      <w:autoSpaceDE w:val="0"/>
      <w:autoSpaceDN w:val="0"/>
      <w:ind w:right="85"/>
    </w:pPr>
    <w:rPr>
      <w:rFonts w:ascii="Arial" w:eastAsiaTheme="minorEastAsia" w:hAnsi="Arial" w:cs="Arial"/>
      <w:sz w:val="16"/>
      <w:szCs w:val="16"/>
    </w:rPr>
  </w:style>
  <w:style w:type="paragraph" w:customStyle="1" w:styleId="Default">
    <w:name w:val="Default"/>
    <w:pPr>
      <w:autoSpaceDE w:val="0"/>
      <w:autoSpaceDN w:val="0"/>
      <w:adjustRightInd w:val="0"/>
    </w:pPr>
    <w:rPr>
      <w:color w:val="000000"/>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character" w:customStyle="1" w:styleId="FooterChar">
    <w:name w:val="Footer Char"/>
    <w:basedOn w:val="DefaultParagraphFont"/>
    <w:link w:val="Footer"/>
    <w:uiPriority w:val="99"/>
    <w:rPr>
      <w:rFonts w:eastAsiaTheme="minorHAnsi"/>
      <w:sz w:val="24"/>
      <w:szCs w:val="22"/>
      <w:lang w:eastAsia="en-US" w:bidi="ar-SA"/>
    </w:rPr>
  </w:style>
  <w:style w:type="paragraph" w:customStyle="1" w:styleId="Declassification">
    <w:name w:val="Declassification"/>
    <w:basedOn w:val="Normal"/>
    <w:next w:val="Normal"/>
    <w:pPr>
      <w:jc w:val="both"/>
    </w:pPr>
    <w:rPr>
      <w:rFonts w:eastAsiaTheme="minorHAnsi"/>
      <w:szCs w:val="22"/>
      <w:lang w:eastAsia="en-US" w:bidi="ar-SA"/>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FF24BEE692C4CA94781A66E31F216" ma:contentTypeVersion="1" ma:contentTypeDescription="Create a new document." ma:contentTypeScope="" ma:versionID="7d6ee1b4a7e3a71187b7d9d3fe1f644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C5FE9-6CE3-4E9C-B9CD-1391676A2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7B3CE-EE00-43FE-BE10-7423387A8B58}">
  <ds:schemaRefs>
    <ds:schemaRef ds:uri="http://schemas.microsoft.com/sharepoint/v3/contenttype/forms"/>
  </ds:schemaRefs>
</ds:datastoreItem>
</file>

<file path=customXml/itemProps3.xml><?xml version="1.0" encoding="utf-8"?>
<ds:datastoreItem xmlns:ds="http://schemas.openxmlformats.org/officeDocument/2006/customXml" ds:itemID="{23424173-A8CF-4AAB-BE0C-126D8400FDC0}">
  <ds:schemaRef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DA8FD3EC-1D65-4DA9-AC89-D11A318A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852</Words>
  <Characters>5117</Characters>
  <Application>Microsoft Office Word</Application>
  <DocSecurity>0</DocSecurity>
  <Lines>80</Lines>
  <Paragraphs>36</Paragraphs>
  <ScaleCrop>false</ScaleCrop>
  <HeadingPairs>
    <vt:vector size="2" baseType="variant">
      <vt:variant>
        <vt:lpstr>Title</vt:lpstr>
      </vt:variant>
      <vt:variant>
        <vt:i4>1</vt:i4>
      </vt:variant>
    </vt:vector>
  </HeadingPairs>
  <TitlesOfParts>
    <vt:vector size="1" baseType="lpstr">
      <vt:lpstr>ROADMAP (Template)</vt:lpstr>
    </vt:vector>
  </TitlesOfParts>
  <Manager/>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ROADMAP (Template)</dc:title>
  <dc:creator/>
  <cp:lastModifiedBy>PAREDES ECHAURI Cristina (CAB-ALMUNIA)</cp:lastModifiedBy>
  <cp:revision>20</cp:revision>
  <cp:lastPrinted>2017-02-23T16:54:00Z</cp:lastPrinted>
  <dcterms:created xsi:type="dcterms:W3CDTF">2017-10-12T07:29:00Z</dcterms:created>
  <dcterms:modified xsi:type="dcterms:W3CDTF">2017-11-15T11:17:00Z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0x010100622FF24BEE692C4CA94781A66E31F216</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Order">
    <vt:r8>400</vt:r8>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y fmtid="{D5CDD505-2E9C-101B-9397-08002B2CF9AE}" pid="11" name="Level of sensitivity">
    <vt:lpwstr>Standard treatment</vt:lpwstr>
  </property>
</Properties>
</file>