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DABA273-F274-48D2-9FF7-844566768241"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ANEXO</w:t>
      </w:r>
    </w:p>
    <w:p>
      <w:pPr>
        <w:pStyle w:val="NormalCentered"/>
        <w:rPr>
          <w:noProof/>
        </w:rPr>
      </w:pPr>
      <w:r>
        <w:rPr>
          <w:noProof/>
        </w:rPr>
        <w:t>Información sobre la aplicación de los objetivos mínimos de contratación pública de vehículos limpios de transporte por carretera en favor de la movilidad de bajas emisiones en los Estados miembros</w:t>
      </w:r>
    </w:p>
    <w:p>
      <w:pPr>
        <w:spacing w:before="0" w:after="0"/>
        <w:rPr>
          <w:b/>
          <w:noProof/>
          <w:szCs w:val="24"/>
        </w:rPr>
      </w:pPr>
    </w:p>
    <w:p>
      <w:pPr>
        <w:spacing w:before="0" w:after="0"/>
        <w:rPr>
          <w:i/>
          <w:noProof/>
          <w:szCs w:val="24"/>
        </w:rPr>
      </w:pPr>
      <w:r>
        <w:rPr>
          <w:i/>
          <w:noProof/>
        </w:rPr>
        <w:t>Cuadro 1: Códigos del Vocabulario común de contratos públicos a los que se hace referencia en el artículo 3</w:t>
      </w:r>
    </w:p>
    <w:tbl>
      <w:tblPr>
        <w:tblStyle w:val="TableGrid"/>
        <w:tblW w:w="0" w:type="auto"/>
        <w:tblLook w:val="04A0" w:firstRow="1" w:lastRow="0" w:firstColumn="1" w:lastColumn="0" w:noHBand="0" w:noVBand="1"/>
      </w:tblPr>
      <w:tblGrid>
        <w:gridCol w:w="2660"/>
        <w:gridCol w:w="6629"/>
      </w:tblGrid>
      <w:tr>
        <w:tc>
          <w:tcPr>
            <w:tcW w:w="2660" w:type="dxa"/>
          </w:tcPr>
          <w:p>
            <w:pPr>
              <w:rPr>
                <w:i/>
                <w:noProof/>
                <w:sz w:val="20"/>
                <w:szCs w:val="20"/>
              </w:rPr>
            </w:pPr>
            <w:r>
              <w:rPr>
                <w:i/>
                <w:noProof/>
                <w:sz w:val="20"/>
              </w:rPr>
              <w:t>Código CPV</w:t>
            </w:r>
          </w:p>
        </w:tc>
        <w:tc>
          <w:tcPr>
            <w:tcW w:w="6629" w:type="dxa"/>
          </w:tcPr>
          <w:p>
            <w:pPr>
              <w:rPr>
                <w:i/>
                <w:noProof/>
                <w:sz w:val="20"/>
                <w:szCs w:val="20"/>
              </w:rPr>
            </w:pPr>
            <w:r>
              <w:rPr>
                <w:i/>
                <w:noProof/>
                <w:sz w:val="20"/>
              </w:rPr>
              <w:t>Descripción</w:t>
            </w:r>
          </w:p>
        </w:tc>
      </w:tr>
      <w:tr>
        <w:tc>
          <w:tcPr>
            <w:tcW w:w="2660" w:type="dxa"/>
          </w:tcPr>
          <w:p>
            <w:pPr>
              <w:rPr>
                <w:i/>
                <w:noProof/>
                <w:sz w:val="20"/>
                <w:szCs w:val="20"/>
              </w:rPr>
            </w:pPr>
            <w:r>
              <w:rPr>
                <w:noProof/>
                <w:sz w:val="20"/>
              </w:rPr>
              <w:t>60112000-6</w:t>
            </w:r>
          </w:p>
        </w:tc>
        <w:tc>
          <w:tcPr>
            <w:tcW w:w="6629" w:type="dxa"/>
          </w:tcPr>
          <w:p>
            <w:pPr>
              <w:rPr>
                <w:i/>
                <w:noProof/>
                <w:sz w:val="20"/>
                <w:szCs w:val="20"/>
              </w:rPr>
            </w:pPr>
            <w:r>
              <w:rPr>
                <w:noProof/>
                <w:sz w:val="20"/>
              </w:rPr>
              <w:t>Servicios de transporte por la vía pública</w:t>
            </w:r>
          </w:p>
        </w:tc>
      </w:tr>
      <w:tr>
        <w:tc>
          <w:tcPr>
            <w:tcW w:w="2660" w:type="dxa"/>
          </w:tcPr>
          <w:p>
            <w:pPr>
              <w:rPr>
                <w:i/>
                <w:noProof/>
                <w:sz w:val="20"/>
                <w:szCs w:val="20"/>
              </w:rPr>
            </w:pPr>
            <w:r>
              <w:rPr>
                <w:noProof/>
                <w:sz w:val="20"/>
              </w:rPr>
              <w:t>60130000-8</w:t>
            </w:r>
          </w:p>
        </w:tc>
        <w:tc>
          <w:tcPr>
            <w:tcW w:w="6629" w:type="dxa"/>
          </w:tcPr>
          <w:p>
            <w:pPr>
              <w:rPr>
                <w:i/>
                <w:noProof/>
                <w:sz w:val="20"/>
                <w:szCs w:val="20"/>
              </w:rPr>
            </w:pPr>
            <w:r>
              <w:rPr>
                <w:noProof/>
                <w:sz w:val="20"/>
              </w:rPr>
              <w:t>Servicios especiales de transporte de pasajeros por carretera</w:t>
            </w:r>
          </w:p>
        </w:tc>
      </w:tr>
      <w:tr>
        <w:tc>
          <w:tcPr>
            <w:tcW w:w="2660" w:type="dxa"/>
          </w:tcPr>
          <w:p>
            <w:pPr>
              <w:rPr>
                <w:i/>
                <w:noProof/>
                <w:sz w:val="20"/>
                <w:szCs w:val="20"/>
              </w:rPr>
            </w:pPr>
            <w:r>
              <w:rPr>
                <w:noProof/>
                <w:sz w:val="20"/>
              </w:rPr>
              <w:t>60140000-1</w:t>
            </w:r>
          </w:p>
        </w:tc>
        <w:tc>
          <w:tcPr>
            <w:tcW w:w="6629" w:type="dxa"/>
          </w:tcPr>
          <w:p>
            <w:pPr>
              <w:rPr>
                <w:i/>
                <w:noProof/>
                <w:sz w:val="20"/>
                <w:szCs w:val="20"/>
              </w:rPr>
            </w:pPr>
            <w:r>
              <w:rPr>
                <w:noProof/>
                <w:sz w:val="20"/>
              </w:rPr>
              <w:t>Transporte no regular de pasajeros</w:t>
            </w:r>
          </w:p>
        </w:tc>
      </w:tr>
      <w:tr>
        <w:tc>
          <w:tcPr>
            <w:tcW w:w="2660" w:type="dxa"/>
          </w:tcPr>
          <w:p>
            <w:pPr>
              <w:rPr>
                <w:noProof/>
                <w:sz w:val="20"/>
                <w:szCs w:val="20"/>
              </w:rPr>
            </w:pPr>
            <w:r>
              <w:rPr>
                <w:noProof/>
                <w:sz w:val="20"/>
              </w:rPr>
              <w:t>60172000-3</w:t>
            </w:r>
          </w:p>
        </w:tc>
        <w:tc>
          <w:tcPr>
            <w:tcW w:w="6629" w:type="dxa"/>
          </w:tcPr>
          <w:p>
            <w:pPr>
              <w:rPr>
                <w:noProof/>
                <w:sz w:val="20"/>
                <w:szCs w:val="20"/>
              </w:rPr>
            </w:pPr>
            <w:r>
              <w:rPr>
                <w:noProof/>
                <w:sz w:val="20"/>
              </w:rPr>
              <w:t>Alquiler de autobuses y autocares con conductor</w:t>
            </w:r>
          </w:p>
        </w:tc>
      </w:tr>
      <w:tr>
        <w:tc>
          <w:tcPr>
            <w:tcW w:w="2660" w:type="dxa"/>
          </w:tcPr>
          <w:p>
            <w:pPr>
              <w:rPr>
                <w:noProof/>
                <w:sz w:val="20"/>
                <w:szCs w:val="20"/>
              </w:rPr>
            </w:pPr>
            <w:r>
              <w:rPr>
                <w:noProof/>
                <w:sz w:val="20"/>
              </w:rPr>
              <w:t>90511000-2</w:t>
            </w:r>
          </w:p>
        </w:tc>
        <w:tc>
          <w:tcPr>
            <w:tcW w:w="6629" w:type="dxa"/>
          </w:tcPr>
          <w:p>
            <w:pPr>
              <w:rPr>
                <w:noProof/>
                <w:sz w:val="20"/>
                <w:szCs w:val="20"/>
              </w:rPr>
            </w:pPr>
            <w:r>
              <w:rPr>
                <w:noProof/>
                <w:sz w:val="20"/>
              </w:rPr>
              <w:t>Servicios de recogida de desperdicios</w:t>
            </w:r>
          </w:p>
        </w:tc>
      </w:tr>
      <w:tr>
        <w:tc>
          <w:tcPr>
            <w:tcW w:w="2660" w:type="dxa"/>
          </w:tcPr>
          <w:p>
            <w:pPr>
              <w:rPr>
                <w:noProof/>
                <w:sz w:val="20"/>
                <w:szCs w:val="20"/>
              </w:rPr>
            </w:pPr>
            <w:r>
              <w:rPr>
                <w:noProof/>
                <w:sz w:val="20"/>
              </w:rPr>
              <w:t>60160000-7</w:t>
            </w:r>
          </w:p>
        </w:tc>
        <w:tc>
          <w:tcPr>
            <w:tcW w:w="6629" w:type="dxa"/>
          </w:tcPr>
          <w:p>
            <w:pPr>
              <w:rPr>
                <w:noProof/>
                <w:sz w:val="20"/>
                <w:szCs w:val="20"/>
              </w:rPr>
            </w:pPr>
            <w:r>
              <w:rPr>
                <w:noProof/>
                <w:sz w:val="20"/>
              </w:rPr>
              <w:t>Transporte de correspondencia por carretera</w:t>
            </w:r>
          </w:p>
        </w:tc>
      </w:tr>
      <w:tr>
        <w:tc>
          <w:tcPr>
            <w:tcW w:w="2660" w:type="dxa"/>
          </w:tcPr>
          <w:p>
            <w:pPr>
              <w:rPr>
                <w:noProof/>
                <w:sz w:val="20"/>
                <w:szCs w:val="20"/>
              </w:rPr>
            </w:pPr>
            <w:r>
              <w:rPr>
                <w:noProof/>
                <w:sz w:val="20"/>
              </w:rPr>
              <w:t>60161000-4</w:t>
            </w:r>
          </w:p>
        </w:tc>
        <w:tc>
          <w:tcPr>
            <w:tcW w:w="6629" w:type="dxa"/>
          </w:tcPr>
          <w:p>
            <w:pPr>
              <w:rPr>
                <w:noProof/>
                <w:sz w:val="20"/>
                <w:szCs w:val="20"/>
              </w:rPr>
            </w:pPr>
            <w:r>
              <w:rPr>
                <w:noProof/>
                <w:sz w:val="20"/>
              </w:rPr>
              <w:t>Servicios de transporte de paquetes</w:t>
            </w:r>
          </w:p>
        </w:tc>
      </w:tr>
    </w:tbl>
    <w:p>
      <w:pPr>
        <w:spacing w:before="0" w:after="0"/>
        <w:rPr>
          <w:i/>
          <w:noProof/>
          <w:szCs w:val="24"/>
        </w:rPr>
      </w:pPr>
      <w:r>
        <w:rPr>
          <w:i/>
          <w:noProof/>
          <w:szCs w:val="24"/>
        </w:rPr>
        <w:br/>
      </w:r>
      <w:r>
        <w:rPr>
          <w:i/>
          <w:noProof/>
        </w:rPr>
        <w:t xml:space="preserve">Cuadro 2: Umbrales de emisiones aplicables a los vehículos ligeros </w:t>
      </w:r>
    </w:p>
    <w:tbl>
      <w:tblPr>
        <w:tblStyle w:val="TableGrid"/>
        <w:tblW w:w="0" w:type="auto"/>
        <w:tblLook w:val="04A0" w:firstRow="1" w:lastRow="0" w:firstColumn="1" w:lastColumn="0" w:noHBand="0" w:noVBand="1"/>
      </w:tblPr>
      <w:tblGrid>
        <w:gridCol w:w="1951"/>
        <w:gridCol w:w="1701"/>
        <w:gridCol w:w="1843"/>
        <w:gridCol w:w="1417"/>
        <w:gridCol w:w="2376"/>
      </w:tblGrid>
      <w:tr>
        <w:tc>
          <w:tcPr>
            <w:tcW w:w="1951" w:type="dxa"/>
            <w:tcBorders>
              <w:top w:val="single" w:sz="4" w:space="0" w:color="auto"/>
              <w:left w:val="single" w:sz="4" w:space="0" w:color="auto"/>
              <w:bottom w:val="single" w:sz="4" w:space="0" w:color="auto"/>
              <w:right w:val="single" w:sz="4" w:space="0" w:color="auto"/>
            </w:tcBorders>
            <w:hideMark/>
          </w:tcPr>
          <w:p>
            <w:pPr>
              <w:spacing w:after="0"/>
              <w:rPr>
                <w:b/>
                <w:noProof/>
                <w:sz w:val="20"/>
                <w:szCs w:val="20"/>
              </w:rPr>
            </w:pPr>
            <w:r>
              <w:rPr>
                <w:b/>
                <w:noProof/>
                <w:sz w:val="20"/>
              </w:rPr>
              <w:t xml:space="preserve">Categorías de vehículos </w:t>
            </w:r>
          </w:p>
        </w:tc>
        <w:tc>
          <w:tcPr>
            <w:tcW w:w="3544" w:type="dxa"/>
            <w:gridSpan w:val="2"/>
            <w:tcBorders>
              <w:top w:val="single" w:sz="4" w:space="0" w:color="auto"/>
              <w:left w:val="single" w:sz="4" w:space="0" w:color="auto"/>
              <w:bottom w:val="single" w:sz="4" w:space="0" w:color="auto"/>
              <w:right w:val="single" w:sz="4" w:space="0" w:color="auto"/>
            </w:tcBorders>
            <w:hideMark/>
          </w:tcPr>
          <w:p>
            <w:pPr>
              <w:spacing w:after="0"/>
              <w:jc w:val="center"/>
              <w:rPr>
                <w:b/>
                <w:noProof/>
                <w:sz w:val="20"/>
                <w:szCs w:val="20"/>
              </w:rPr>
            </w:pPr>
            <w:r>
              <w:rPr>
                <w:b/>
                <w:noProof/>
                <w:sz w:val="20"/>
              </w:rPr>
              <w:t>2025</w:t>
            </w:r>
          </w:p>
        </w:tc>
        <w:tc>
          <w:tcPr>
            <w:tcW w:w="3793" w:type="dxa"/>
            <w:gridSpan w:val="2"/>
            <w:tcBorders>
              <w:top w:val="single" w:sz="4" w:space="0" w:color="auto"/>
              <w:left w:val="single" w:sz="4" w:space="0" w:color="auto"/>
              <w:bottom w:val="single" w:sz="4" w:space="0" w:color="auto"/>
              <w:right w:val="single" w:sz="4" w:space="0" w:color="auto"/>
            </w:tcBorders>
            <w:hideMark/>
          </w:tcPr>
          <w:p>
            <w:pPr>
              <w:spacing w:after="0"/>
              <w:jc w:val="center"/>
              <w:rPr>
                <w:b/>
                <w:noProof/>
                <w:sz w:val="20"/>
                <w:szCs w:val="20"/>
              </w:rPr>
            </w:pPr>
            <w:r>
              <w:rPr>
                <w:b/>
                <w:noProof/>
                <w:sz w:val="20"/>
              </w:rPr>
              <w:t>2030</w:t>
            </w:r>
          </w:p>
        </w:tc>
      </w:tr>
      <w:tr>
        <w:tc>
          <w:tcPr>
            <w:tcW w:w="1951" w:type="dxa"/>
            <w:tcBorders>
              <w:top w:val="single" w:sz="4" w:space="0" w:color="auto"/>
              <w:left w:val="single" w:sz="4" w:space="0" w:color="auto"/>
              <w:bottom w:val="single" w:sz="4" w:space="0" w:color="auto"/>
              <w:right w:val="single" w:sz="4" w:space="0" w:color="auto"/>
            </w:tcBorders>
          </w:tcPr>
          <w:p>
            <w:pPr>
              <w:spacing w:after="0"/>
              <w:jc w:val="center"/>
              <w:rPr>
                <w:i/>
                <w:noProof/>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i/>
                <w:noProof/>
                <w:sz w:val="20"/>
                <w:szCs w:val="20"/>
              </w:rPr>
            </w:pPr>
            <w:r>
              <w:rPr>
                <w:i/>
                <w:noProof/>
                <w:sz w:val="20"/>
              </w:rPr>
              <w:t>g CO</w:t>
            </w:r>
            <w:r>
              <w:rPr>
                <w:i/>
                <w:noProof/>
                <w:sz w:val="20"/>
                <w:vertAlign w:val="subscript"/>
              </w:rPr>
              <w:t>2</w:t>
            </w:r>
            <w:r>
              <w:rPr>
                <w:i/>
                <w:noProof/>
                <w:sz w:val="20"/>
              </w:rPr>
              <w:t xml:space="preserve"> /km</w:t>
            </w:r>
          </w:p>
        </w:tc>
        <w:tc>
          <w:tcPr>
            <w:tcW w:w="1843" w:type="dxa"/>
            <w:tcBorders>
              <w:top w:val="single" w:sz="4" w:space="0" w:color="auto"/>
              <w:left w:val="single" w:sz="4" w:space="0" w:color="auto"/>
              <w:bottom w:val="single" w:sz="4" w:space="0" w:color="auto"/>
              <w:right w:val="single" w:sz="4" w:space="0" w:color="auto"/>
            </w:tcBorders>
            <w:hideMark/>
          </w:tcPr>
          <w:p>
            <w:pPr>
              <w:spacing w:after="0"/>
              <w:jc w:val="center"/>
              <w:rPr>
                <w:i/>
                <w:noProof/>
                <w:sz w:val="20"/>
                <w:szCs w:val="20"/>
              </w:rPr>
            </w:pPr>
            <w:r>
              <w:rPr>
                <w:i/>
                <w:noProof/>
                <w:sz w:val="20"/>
              </w:rPr>
              <w:t>Emisiones de contaminantes atmosféricos* en condiciones reales de conducción (RDE) en porcentaje de los límites de emisión**</w:t>
            </w:r>
          </w:p>
        </w:tc>
        <w:tc>
          <w:tcPr>
            <w:tcW w:w="1417" w:type="dxa"/>
            <w:tcBorders>
              <w:top w:val="single" w:sz="4" w:space="0" w:color="auto"/>
              <w:left w:val="single" w:sz="4" w:space="0" w:color="auto"/>
              <w:bottom w:val="single" w:sz="4" w:space="0" w:color="auto"/>
              <w:right w:val="single" w:sz="4" w:space="0" w:color="auto"/>
            </w:tcBorders>
            <w:hideMark/>
          </w:tcPr>
          <w:p>
            <w:pPr>
              <w:spacing w:after="0"/>
              <w:jc w:val="center"/>
              <w:rPr>
                <w:i/>
                <w:noProof/>
                <w:sz w:val="20"/>
                <w:szCs w:val="20"/>
              </w:rPr>
            </w:pPr>
            <w:r>
              <w:rPr>
                <w:i/>
                <w:noProof/>
                <w:sz w:val="20"/>
              </w:rPr>
              <w:t>g CO</w:t>
            </w:r>
            <w:r>
              <w:rPr>
                <w:i/>
                <w:noProof/>
                <w:sz w:val="20"/>
                <w:vertAlign w:val="subscript"/>
              </w:rPr>
              <w:t>2</w:t>
            </w:r>
            <w:r>
              <w:rPr>
                <w:i/>
                <w:noProof/>
                <w:sz w:val="20"/>
              </w:rPr>
              <w:t xml:space="preserve"> /km</w:t>
            </w:r>
          </w:p>
        </w:tc>
        <w:tc>
          <w:tcPr>
            <w:tcW w:w="2376" w:type="dxa"/>
            <w:tcBorders>
              <w:top w:val="single" w:sz="4" w:space="0" w:color="auto"/>
              <w:left w:val="single" w:sz="4" w:space="0" w:color="auto"/>
              <w:bottom w:val="single" w:sz="4" w:space="0" w:color="auto"/>
              <w:right w:val="single" w:sz="4" w:space="0" w:color="auto"/>
            </w:tcBorders>
            <w:hideMark/>
          </w:tcPr>
          <w:p>
            <w:pPr>
              <w:spacing w:after="0"/>
              <w:jc w:val="center"/>
              <w:rPr>
                <w:i/>
                <w:noProof/>
                <w:sz w:val="20"/>
                <w:szCs w:val="20"/>
              </w:rPr>
            </w:pPr>
            <w:r>
              <w:rPr>
                <w:i/>
                <w:noProof/>
                <w:sz w:val="20"/>
              </w:rPr>
              <w:t>Emisiones de contaminantes atmosféricos* en condiciones reales de conducción (RDE) en porcentaje de los límites de emisión</w:t>
            </w:r>
          </w:p>
        </w:tc>
      </w:tr>
      <w:tr>
        <w:tc>
          <w:tcPr>
            <w:tcW w:w="1951" w:type="dxa"/>
            <w:tcBorders>
              <w:top w:val="single" w:sz="4" w:space="0" w:color="auto"/>
              <w:left w:val="single" w:sz="4" w:space="0" w:color="auto"/>
              <w:bottom w:val="single" w:sz="4" w:space="0" w:color="auto"/>
              <w:right w:val="single" w:sz="4" w:space="0" w:color="auto"/>
            </w:tcBorders>
            <w:hideMark/>
          </w:tcPr>
          <w:p>
            <w:pPr>
              <w:spacing w:after="0"/>
              <w:rPr>
                <w:noProof/>
                <w:sz w:val="20"/>
                <w:szCs w:val="20"/>
              </w:rPr>
            </w:pPr>
            <w:r>
              <w:rPr>
                <w:noProof/>
                <w:sz w:val="20"/>
              </w:rPr>
              <w:t>Vehículos M1</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25</w:t>
            </w:r>
          </w:p>
        </w:tc>
        <w:tc>
          <w:tcPr>
            <w:tcW w:w="1843"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80 %</w:t>
            </w:r>
          </w:p>
        </w:tc>
        <w:tc>
          <w:tcPr>
            <w:tcW w:w="1417"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0</w:t>
            </w:r>
          </w:p>
        </w:tc>
        <w:tc>
          <w:tcPr>
            <w:tcW w:w="2376"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n. d.</w:t>
            </w:r>
          </w:p>
        </w:tc>
      </w:tr>
      <w:tr>
        <w:tc>
          <w:tcPr>
            <w:tcW w:w="1951" w:type="dxa"/>
            <w:tcBorders>
              <w:top w:val="single" w:sz="4" w:space="0" w:color="auto"/>
              <w:left w:val="single" w:sz="4" w:space="0" w:color="auto"/>
              <w:bottom w:val="single" w:sz="4" w:space="0" w:color="auto"/>
              <w:right w:val="single" w:sz="4" w:space="0" w:color="auto"/>
            </w:tcBorders>
            <w:hideMark/>
          </w:tcPr>
          <w:p>
            <w:pPr>
              <w:spacing w:after="0"/>
              <w:rPr>
                <w:noProof/>
                <w:sz w:val="20"/>
                <w:szCs w:val="20"/>
              </w:rPr>
            </w:pPr>
            <w:r>
              <w:rPr>
                <w:noProof/>
                <w:sz w:val="20"/>
              </w:rPr>
              <w:t>Vehículos M2</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25</w:t>
            </w:r>
          </w:p>
        </w:tc>
        <w:tc>
          <w:tcPr>
            <w:tcW w:w="1843"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80 %</w:t>
            </w:r>
          </w:p>
        </w:tc>
        <w:tc>
          <w:tcPr>
            <w:tcW w:w="1417"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0</w:t>
            </w:r>
          </w:p>
        </w:tc>
        <w:tc>
          <w:tcPr>
            <w:tcW w:w="2376"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n. d.</w:t>
            </w:r>
          </w:p>
        </w:tc>
      </w:tr>
      <w:tr>
        <w:tc>
          <w:tcPr>
            <w:tcW w:w="1951" w:type="dxa"/>
            <w:tcBorders>
              <w:top w:val="single" w:sz="4" w:space="0" w:color="auto"/>
              <w:left w:val="single" w:sz="4" w:space="0" w:color="auto"/>
              <w:bottom w:val="single" w:sz="4" w:space="0" w:color="auto"/>
              <w:right w:val="single" w:sz="4" w:space="0" w:color="auto"/>
            </w:tcBorders>
            <w:hideMark/>
          </w:tcPr>
          <w:p>
            <w:pPr>
              <w:spacing w:after="0"/>
              <w:rPr>
                <w:noProof/>
                <w:sz w:val="20"/>
                <w:szCs w:val="20"/>
              </w:rPr>
            </w:pPr>
            <w:r>
              <w:rPr>
                <w:noProof/>
                <w:sz w:val="20"/>
              </w:rPr>
              <w:t>Vehículos N1</w:t>
            </w:r>
          </w:p>
        </w:tc>
        <w:tc>
          <w:tcPr>
            <w:tcW w:w="1701"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40</w:t>
            </w:r>
          </w:p>
        </w:tc>
        <w:tc>
          <w:tcPr>
            <w:tcW w:w="1843"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80 %</w:t>
            </w:r>
          </w:p>
        </w:tc>
        <w:tc>
          <w:tcPr>
            <w:tcW w:w="1417"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0</w:t>
            </w:r>
          </w:p>
        </w:tc>
        <w:tc>
          <w:tcPr>
            <w:tcW w:w="2376" w:type="dxa"/>
            <w:tcBorders>
              <w:top w:val="single" w:sz="4" w:space="0" w:color="auto"/>
              <w:left w:val="single" w:sz="4" w:space="0" w:color="auto"/>
              <w:bottom w:val="single" w:sz="4" w:space="0" w:color="auto"/>
              <w:right w:val="single" w:sz="4" w:space="0" w:color="auto"/>
            </w:tcBorders>
            <w:hideMark/>
          </w:tcPr>
          <w:p>
            <w:pPr>
              <w:spacing w:after="0"/>
              <w:jc w:val="center"/>
              <w:rPr>
                <w:noProof/>
                <w:sz w:val="20"/>
                <w:szCs w:val="20"/>
              </w:rPr>
            </w:pPr>
            <w:r>
              <w:rPr>
                <w:noProof/>
                <w:sz w:val="20"/>
              </w:rPr>
              <w:t>n. d.</w:t>
            </w:r>
          </w:p>
        </w:tc>
      </w:tr>
    </w:tbl>
    <w:p>
      <w:pPr>
        <w:rPr>
          <w:noProof/>
          <w:sz w:val="18"/>
          <w:szCs w:val="18"/>
        </w:rPr>
      </w:pPr>
      <w:r>
        <w:rPr>
          <w:i/>
          <w:noProof/>
          <w:sz w:val="20"/>
        </w:rPr>
        <w:t>*</w:t>
      </w:r>
      <w:r>
        <w:rPr>
          <w:noProof/>
        </w:rPr>
        <w:t xml:space="preserve"> </w:t>
      </w:r>
      <w:r>
        <w:rPr>
          <w:noProof/>
          <w:sz w:val="18"/>
        </w:rPr>
        <w:t>Emisiones en condiciones reales de conducción de partículas ultrafinas en #/km (número de partículas suspendidas, PN), óxidos de nitrógeno en mg/km (NO</w:t>
      </w:r>
      <w:r>
        <w:rPr>
          <w:noProof/>
          <w:sz w:val="18"/>
          <w:vertAlign w:val="subscript"/>
        </w:rPr>
        <w:t>x</w:t>
      </w:r>
      <w:r>
        <w:rPr>
          <w:noProof/>
          <w:sz w:val="18"/>
        </w:rPr>
        <w:t>) medidas de acuerdo con la versión aplicable del anexo IIIA del Reglamento (UE) 2017/1151.</w:t>
      </w:r>
    </w:p>
    <w:p>
      <w:pPr>
        <w:rPr>
          <w:i/>
          <w:noProof/>
          <w:szCs w:val="24"/>
        </w:rPr>
      </w:pPr>
      <w:r>
        <w:rPr>
          <w:noProof/>
          <w:sz w:val="18"/>
        </w:rPr>
        <w:t>** Los límites de emisión aplicables figuran en el anexo I del Reglamento (CE) n.º 715/2007, o sus sucesores.</w:t>
      </w:r>
    </w:p>
    <w:p>
      <w:pPr>
        <w:spacing w:before="0" w:after="0"/>
        <w:rPr>
          <w:i/>
          <w:noProof/>
          <w:szCs w:val="24"/>
        </w:rPr>
      </w:pPr>
      <w:r>
        <w:rPr>
          <w:i/>
          <w:noProof/>
          <w:szCs w:val="24"/>
        </w:rPr>
        <w:br/>
      </w:r>
      <w:r>
        <w:rPr>
          <w:i/>
          <w:noProof/>
        </w:rPr>
        <w:t>Cuadro 3: Requisitos de combustibles alternativos para vehículos pesados</w:t>
      </w:r>
    </w:p>
    <w:tbl>
      <w:tblPr>
        <w:tblStyle w:val="TableGrid"/>
        <w:tblW w:w="0" w:type="auto"/>
        <w:tblLook w:val="04A0" w:firstRow="1" w:lastRow="0" w:firstColumn="1" w:lastColumn="0" w:noHBand="0" w:noVBand="1"/>
      </w:tblPr>
      <w:tblGrid>
        <w:gridCol w:w="2802"/>
        <w:gridCol w:w="6486"/>
      </w:tblGrid>
      <w:tr>
        <w:tc>
          <w:tcPr>
            <w:tcW w:w="2802" w:type="dxa"/>
            <w:tcBorders>
              <w:top w:val="single" w:sz="4" w:space="0" w:color="auto"/>
              <w:left w:val="single" w:sz="4" w:space="0" w:color="auto"/>
              <w:bottom w:val="single" w:sz="4" w:space="0" w:color="auto"/>
              <w:right w:val="single" w:sz="4" w:space="0" w:color="auto"/>
            </w:tcBorders>
            <w:hideMark/>
          </w:tcPr>
          <w:p>
            <w:pPr>
              <w:spacing w:after="0"/>
              <w:rPr>
                <w:b/>
                <w:noProof/>
                <w:sz w:val="20"/>
                <w:szCs w:val="20"/>
              </w:rPr>
            </w:pPr>
            <w:r>
              <w:rPr>
                <w:b/>
                <w:noProof/>
                <w:sz w:val="20"/>
              </w:rPr>
              <w:t xml:space="preserve">Categorías de vehículos </w:t>
            </w:r>
          </w:p>
        </w:tc>
        <w:tc>
          <w:tcPr>
            <w:tcW w:w="6486" w:type="dxa"/>
            <w:tcBorders>
              <w:top w:val="single" w:sz="4" w:space="0" w:color="auto"/>
              <w:left w:val="single" w:sz="4" w:space="0" w:color="auto"/>
              <w:bottom w:val="single" w:sz="4" w:space="0" w:color="auto"/>
              <w:right w:val="single" w:sz="4" w:space="0" w:color="auto"/>
            </w:tcBorders>
            <w:hideMark/>
          </w:tcPr>
          <w:p>
            <w:pPr>
              <w:spacing w:after="0"/>
              <w:jc w:val="center"/>
              <w:rPr>
                <w:b/>
                <w:noProof/>
                <w:sz w:val="20"/>
                <w:szCs w:val="20"/>
              </w:rPr>
            </w:pPr>
            <w:r>
              <w:rPr>
                <w:b/>
                <w:noProof/>
                <w:sz w:val="20"/>
              </w:rPr>
              <w:t>Combustibles alternativos</w:t>
            </w:r>
          </w:p>
        </w:tc>
      </w:tr>
      <w:tr>
        <w:tc>
          <w:tcPr>
            <w:tcW w:w="2802" w:type="dxa"/>
            <w:tcBorders>
              <w:top w:val="single" w:sz="4" w:space="0" w:color="auto"/>
              <w:left w:val="single" w:sz="4" w:space="0" w:color="auto"/>
              <w:bottom w:val="single" w:sz="4" w:space="0" w:color="auto"/>
              <w:right w:val="single" w:sz="4" w:space="0" w:color="auto"/>
            </w:tcBorders>
            <w:hideMark/>
          </w:tcPr>
          <w:p>
            <w:pPr>
              <w:spacing w:after="0"/>
              <w:rPr>
                <w:noProof/>
                <w:sz w:val="20"/>
                <w:szCs w:val="20"/>
              </w:rPr>
            </w:pPr>
            <w:r>
              <w:rPr>
                <w:noProof/>
                <w:sz w:val="20"/>
              </w:rPr>
              <w:t>Vehículos M3, N2, N3</w:t>
            </w:r>
          </w:p>
        </w:tc>
        <w:tc>
          <w:tcPr>
            <w:tcW w:w="6486" w:type="dxa"/>
            <w:tcBorders>
              <w:top w:val="single" w:sz="4" w:space="0" w:color="auto"/>
              <w:left w:val="single" w:sz="4" w:space="0" w:color="auto"/>
              <w:bottom w:val="single" w:sz="4" w:space="0" w:color="auto"/>
              <w:right w:val="single" w:sz="4" w:space="0" w:color="auto"/>
            </w:tcBorders>
            <w:hideMark/>
          </w:tcPr>
          <w:p>
            <w:pPr>
              <w:spacing w:after="0"/>
              <w:rPr>
                <w:noProof/>
                <w:sz w:val="20"/>
                <w:szCs w:val="20"/>
              </w:rPr>
            </w:pPr>
            <w:r>
              <w:rPr>
                <w:noProof/>
              </w:rPr>
              <w:t>Electricidad*, hidrógeno, gas natural incluido el biometano, en forma gaseosa [gas natural comprimido (GNC)] y en forma licuada [gas natural licuado (GNL)]</w:t>
            </w:r>
          </w:p>
        </w:tc>
      </w:tr>
    </w:tbl>
    <w:p>
      <w:pPr>
        <w:spacing w:after="240"/>
        <w:rPr>
          <w:noProof/>
          <w:sz w:val="18"/>
          <w:szCs w:val="18"/>
        </w:rPr>
      </w:pPr>
      <w:r>
        <w:rPr>
          <w:noProof/>
          <w:sz w:val="18"/>
        </w:rPr>
        <w:t xml:space="preserve"> * Para uso en un vehículo de los definidos en el artículo 2, punto 2), de la Directiva 2014/94/UE, a condición de que la electricidad se utilice para una parte importante del funcionamiento del vehículo. </w:t>
      </w:r>
    </w:p>
    <w:p>
      <w:pPr>
        <w:rPr>
          <w:i/>
          <w:noProof/>
          <w:szCs w:val="24"/>
        </w:rPr>
      </w:pPr>
      <w:r>
        <w:rPr>
          <w:i/>
          <w:noProof/>
        </w:rPr>
        <w:t>Cuadro 4: Objetivo mínimo para la cuota de vehículos ligeros con arreglo al cuadro 2 en el total de la contratación pública de vehículos ligeros a nivel de los Estados miembros*</w:t>
      </w:r>
    </w:p>
    <w:tbl>
      <w:tblPr>
        <w:tblW w:w="5923" w:type="dxa"/>
        <w:tblInd w:w="-3" w:type="dxa"/>
        <w:tblCellMar>
          <w:left w:w="0" w:type="dxa"/>
          <w:right w:w="0" w:type="dxa"/>
        </w:tblCellMar>
        <w:tblLook w:val="04A0" w:firstRow="1" w:lastRow="0" w:firstColumn="1" w:lastColumn="0" w:noHBand="0" w:noVBand="1"/>
      </w:tblPr>
      <w:tblGrid>
        <w:gridCol w:w="1954"/>
        <w:gridCol w:w="1843"/>
        <w:gridCol w:w="2126"/>
      </w:tblGrid>
      <w:tr>
        <w:trPr>
          <w:trHeight w:val="300"/>
        </w:trPr>
        <w:tc>
          <w:tcPr>
            <w:tcW w:w="195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Estado miembro</w:t>
            </w:r>
          </w:p>
        </w:tc>
        <w:tc>
          <w:tcPr>
            <w:tcW w:w="1843"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b/>
                <w:noProof/>
                <w:sz w:val="20"/>
                <w:szCs w:val="20"/>
              </w:rPr>
            </w:pPr>
            <w:r>
              <w:rPr>
                <w:b/>
                <w:noProof/>
                <w:sz w:val="20"/>
              </w:rPr>
              <w:t>2025</w:t>
            </w:r>
          </w:p>
        </w:tc>
        <w:tc>
          <w:tcPr>
            <w:tcW w:w="2126" w:type="dxa"/>
            <w:tcBorders>
              <w:top w:val="single" w:sz="4" w:space="0" w:color="auto"/>
              <w:left w:val="single" w:sz="4" w:space="0" w:color="auto"/>
              <w:bottom w:val="single" w:sz="8" w:space="0" w:color="auto"/>
              <w:right w:val="single" w:sz="4" w:space="0" w:color="auto"/>
            </w:tcBorders>
            <w:vAlign w:val="bottom"/>
            <w:hideMark/>
          </w:tcPr>
          <w:p>
            <w:pPr>
              <w:spacing w:after="0"/>
              <w:jc w:val="center"/>
              <w:rPr>
                <w:b/>
                <w:noProof/>
                <w:sz w:val="20"/>
                <w:szCs w:val="20"/>
              </w:rPr>
            </w:pPr>
            <w:r>
              <w:rPr>
                <w:b/>
                <w:noProof/>
                <w:sz w:val="20"/>
              </w:rPr>
              <w:t>2030</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Luxemburgo</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Suecia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Dinamarca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34 %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34 %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Finlandia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Alemania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Francia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34 %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34 %</w:t>
            </w:r>
          </w:p>
        </w:tc>
      </w:tr>
      <w:tr>
        <w:trPr>
          <w:trHeight w:val="300"/>
        </w:trPr>
        <w:tc>
          <w:tcPr>
            <w:tcW w:w="195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Reino Unido</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Países Bajos</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Austria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Bélgica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Italia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Irlanda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España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33 %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33 %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Chipre</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29 %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29 %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Malta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35 %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35 %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Portugal</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27 %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27 %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Grecia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23 %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23 %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Eslovenia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20 %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20 %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Chequia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27 %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27 %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Estonia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21 %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21 %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Eslovaquia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20 %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20 %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Lituania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19 %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19 %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Polonia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20 %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20 %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Croacia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17 %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17 %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Hungría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21 %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21 %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Letonia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20 %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20 %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Rumanía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17 %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17 %</w:t>
            </w:r>
          </w:p>
        </w:tc>
      </w:tr>
      <w:tr>
        <w:trPr>
          <w:trHeight w:val="300"/>
        </w:trPr>
        <w:tc>
          <w:tcPr>
            <w:tcW w:w="1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Bulgaria</w:t>
            </w:r>
          </w:p>
        </w:tc>
        <w:tc>
          <w:tcPr>
            <w:tcW w:w="1843"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jc w:val="center"/>
              <w:rPr>
                <w:noProof/>
                <w:sz w:val="20"/>
                <w:szCs w:val="20"/>
              </w:rPr>
            </w:pPr>
            <w:r>
              <w:rPr>
                <w:noProof/>
                <w:sz w:val="20"/>
              </w:rPr>
              <w:t>16 %</w:t>
            </w:r>
          </w:p>
        </w:tc>
        <w:tc>
          <w:tcPr>
            <w:tcW w:w="2126" w:type="dxa"/>
            <w:tcBorders>
              <w:top w:val="single" w:sz="8" w:space="0" w:color="auto"/>
              <w:left w:val="single" w:sz="4" w:space="0" w:color="auto"/>
              <w:bottom w:val="single" w:sz="8" w:space="0" w:color="auto"/>
              <w:right w:val="single" w:sz="4" w:space="0" w:color="auto"/>
            </w:tcBorders>
            <w:vAlign w:val="bottom"/>
            <w:hideMark/>
          </w:tcPr>
          <w:p>
            <w:pPr>
              <w:spacing w:after="0"/>
              <w:jc w:val="center"/>
              <w:rPr>
                <w:noProof/>
                <w:sz w:val="20"/>
                <w:szCs w:val="20"/>
              </w:rPr>
            </w:pPr>
            <w:r>
              <w:rPr>
                <w:noProof/>
                <w:sz w:val="20"/>
              </w:rPr>
              <w:t>16 %</w:t>
            </w:r>
          </w:p>
        </w:tc>
      </w:tr>
    </w:tbl>
    <w:p>
      <w:pPr>
        <w:rPr>
          <w:i/>
          <w:noProof/>
          <w:sz w:val="20"/>
          <w:szCs w:val="20"/>
        </w:rPr>
      </w:pPr>
      <w:r>
        <w:rPr>
          <w:noProof/>
          <w:sz w:val="20"/>
        </w:rPr>
        <w:t>* Los vehículos con emisión cero en el tubo de escape se contarán como un vehículo (1) que contribuye al cumplimiento del mandato. Todos los demás vehículos que cumplan los requisitos del cuadro 2 del presente anexo se contarán como 0,5 vehículos que contribuyen a dicho cumplimiento.</w:t>
      </w:r>
    </w:p>
    <w:p>
      <w:pPr>
        <w:spacing w:before="240"/>
        <w:rPr>
          <w:i/>
          <w:noProof/>
          <w:szCs w:val="24"/>
        </w:rPr>
      </w:pPr>
      <w:r>
        <w:rPr>
          <w:i/>
          <w:noProof/>
        </w:rPr>
        <w:t>Cuadro 5: Objetivo mínimo para la cuota de vehículos pesados con arreglo al cuadro 3 en el total de la contratación pública de vehículos pesados a nivel de los Estados miembros*</w:t>
      </w:r>
    </w:p>
    <w:tbl>
      <w:tblPr>
        <w:tblW w:w="3829" w:type="pct"/>
        <w:tblCellMar>
          <w:left w:w="0" w:type="dxa"/>
          <w:right w:w="0" w:type="dxa"/>
        </w:tblCellMar>
        <w:tblLook w:val="04A0" w:firstRow="1" w:lastRow="0" w:firstColumn="1" w:lastColumn="0" w:noHBand="0" w:noVBand="1"/>
      </w:tblPr>
      <w:tblGrid>
        <w:gridCol w:w="1950"/>
        <w:gridCol w:w="1275"/>
        <w:gridCol w:w="1278"/>
        <w:gridCol w:w="1148"/>
        <w:gridCol w:w="1463"/>
      </w:tblGrid>
      <w:tr>
        <w:trPr>
          <w:trHeight w:val="300"/>
        </w:trPr>
        <w:tc>
          <w:tcPr>
            <w:tcW w:w="1371"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Estado miembro</w:t>
            </w:r>
          </w:p>
        </w:tc>
        <w:tc>
          <w:tcPr>
            <w:tcW w:w="1794" w:type="pct"/>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Camiones</w:t>
            </w:r>
          </w:p>
        </w:tc>
        <w:tc>
          <w:tcPr>
            <w:tcW w:w="1835" w:type="pct"/>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Autobuses</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pPr>
              <w:spacing w:after="0"/>
              <w:rPr>
                <w:b/>
                <w:noProof/>
                <w:sz w:val="20"/>
                <w:szCs w:val="20"/>
              </w:rPr>
            </w:pP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2025</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2030</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2025</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b/>
                <w:noProof/>
                <w:sz w:val="20"/>
                <w:szCs w:val="20"/>
              </w:rPr>
            </w:pPr>
            <w:r>
              <w:rPr>
                <w:b/>
                <w:noProof/>
                <w:sz w:val="20"/>
              </w:rPr>
              <w:t>2030</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Luxemburgo</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Suecia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Dinamarca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Finlandia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46 %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69 %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Alemania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Francia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48 %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71 %</w:t>
            </w:r>
          </w:p>
        </w:tc>
      </w:tr>
      <w:tr>
        <w:trPr>
          <w:trHeight w:val="300"/>
        </w:trPr>
        <w:tc>
          <w:tcPr>
            <w:tcW w:w="1371"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Reino Unido</w:t>
            </w:r>
          </w:p>
        </w:tc>
        <w:tc>
          <w:tcPr>
            <w:tcW w:w="896"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Países Bajos</w:t>
            </w:r>
          </w:p>
        </w:tc>
        <w:tc>
          <w:tcPr>
            <w:tcW w:w="896"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Austria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Bélgica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Italia</w:t>
            </w:r>
          </w:p>
        </w:tc>
        <w:tc>
          <w:tcPr>
            <w:tcW w:w="896"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4"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Irlanda</w:t>
            </w:r>
          </w:p>
        </w:tc>
        <w:tc>
          <w:tcPr>
            <w:tcW w:w="896"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España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14 %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Chipre</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13 %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Malta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15 %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75 %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Portugal</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12 %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61 %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Grecia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10 %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38 %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57 %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Eslovenia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33 %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50 %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Chequia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11 %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46 %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70 %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Estonia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36 %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53 %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Eslovaquia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39 %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58 %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Lituania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47 %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70 %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Polonia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37 %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56 %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Croacia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6 %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32 %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48 %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Hungría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42 %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63 %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Letonia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9 %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40 %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60 %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Rumanía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6 %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29 %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43 %</w:t>
            </w:r>
          </w:p>
        </w:tc>
      </w:tr>
      <w:tr>
        <w:trPr>
          <w:trHeight w:val="300"/>
        </w:trPr>
        <w:tc>
          <w:tcPr>
            <w:tcW w:w="137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Bulgaria</w:t>
            </w:r>
          </w:p>
        </w:tc>
        <w:tc>
          <w:tcPr>
            <w:tcW w:w="89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8 %</w:t>
            </w:r>
          </w:p>
        </w:tc>
        <w:tc>
          <w:tcPr>
            <w:tcW w:w="8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7 %</w:t>
            </w:r>
          </w:p>
        </w:tc>
        <w:tc>
          <w:tcPr>
            <w:tcW w:w="80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39 %</w:t>
            </w:r>
          </w:p>
        </w:tc>
        <w:tc>
          <w:tcPr>
            <w:tcW w:w="10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pPr>
              <w:spacing w:after="0"/>
              <w:rPr>
                <w:noProof/>
                <w:sz w:val="20"/>
                <w:szCs w:val="20"/>
              </w:rPr>
            </w:pPr>
            <w:r>
              <w:rPr>
                <w:noProof/>
                <w:sz w:val="20"/>
              </w:rPr>
              <w:t>58 %</w:t>
            </w:r>
          </w:p>
        </w:tc>
      </w:tr>
    </w:tbl>
    <w:p>
      <w:pPr>
        <w:rPr>
          <w:noProof/>
          <w:sz w:val="20"/>
          <w:szCs w:val="20"/>
        </w:rPr>
      </w:pPr>
      <w:r>
        <w:rPr>
          <w:noProof/>
          <w:sz w:val="20"/>
        </w:rPr>
        <w:t xml:space="preserve">* Los vehículos con emisión cero en el tubo de escape o los vehículos que utilizan gas natural, siempre que funcionen totalmente con biometano, lo cual debe demostrarse mediante un contrato de obtención de biometano u otros medios de acceso al biometano, se contarán como 1 vehículo que contribuye al cumplimiento del mandato. Este recuento se abandona en el caso de los Estados miembros cuyo mandato mínimo de contratación pública sea superior al 50 % del volumen total de contratación pública, con corte en el límite del 50 %. </w:t>
      </w:r>
      <w:r>
        <w:rPr>
          <w:noProof/>
          <w:sz w:val="20"/>
          <w:szCs w:val="20"/>
        </w:rPr>
        <w:t>Todos los demás vehículos que cumplan los requisitos del cuadro 2 se contarán como 0,5 vehículos que contribuyen al cumplimiento del mandato.</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4497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9CD5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5A3C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789D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E224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3A084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6540EE0"/>
    <w:lvl w:ilvl="0">
      <w:start w:val="1"/>
      <w:numFmt w:val="decimal"/>
      <w:pStyle w:val="ListNumber"/>
      <w:lvlText w:val="%1."/>
      <w:lvlJc w:val="left"/>
      <w:pPr>
        <w:tabs>
          <w:tab w:val="num" w:pos="360"/>
        </w:tabs>
        <w:ind w:left="360" w:hanging="360"/>
      </w:pPr>
    </w:lvl>
  </w:abstractNum>
  <w:abstractNum w:abstractNumId="7">
    <w:nsid w:val="FFFFFF89"/>
    <w:multiLevelType w:val="singleLevel"/>
    <w:tmpl w:val="BE9273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11:12:24"/>
    <w:docVar w:name="DQCRepairStyles" w:val=";Date d'adoption;Statut;Type du document;Date d'adoption (Page de couverture);Type du document (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0"/>
    <w:docVar w:name="LW_CORRIGENDUM" w:val="&lt;UNUSED&gt;"/>
    <w:docVar w:name="LW_COVERPAGE_EXISTS" w:val="True"/>
    <w:docVar w:name="LW_COVERPAGE_GUID" w:val="ADABA273-F274-48D2-9FF7-844566768241"/>
    <w:docVar w:name="LW_COVERPAGE_TYPE" w:val="1"/>
    <w:docVar w:name="LW_CROSSREFERENCE" w:val="{SWD(2017) 366 final}_x000b_{SWD(2017) 367 final}"/>
    <w:docVar w:name="LW_DocType" w:val="ANNEX"/>
    <w:docVar w:name="LW_EMISSION" w:val="8.11.2017"/>
    <w:docVar w:name="LW_EMISSION_ISODATE" w:val="2017-11-08"/>
    <w:docVar w:name="LW_EMISSION_LOCATION" w:val="BRX"/>
    <w:docVar w:name="LW_EMISSION_PREFIX" w:val="Bruselas,"/>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por la que se modifica la Directiva 2009/33/CE, relativa a la promoción de vehículos de transporte por carretera limpios y energéticamente eficientes"/>
    <w:docVar w:name="LW_OBJETACTEPRINCIPAL.CP" w:val="por la que se modifica la Directiva 2009/33/CE, relativa a la promoción de vehículos de transporte por carretera limpios y energéticamente eficientes"/>
    <w:docVar w:name="LW_PART_NBR" w:val="1"/>
    <w:docVar w:name="LW_PART_NBR_TOTAL" w:val="1"/>
    <w:docVar w:name="LW_REF.INST.NEW" w:val="COM"/>
    <w:docVar w:name="LW_REF.INST.NEW_ADOPTED" w:val="final"/>
    <w:docVar w:name="LW_REF.INST.NEW_TEXT" w:val="(2017) 6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Directiva del Parlamento Europeo y del Consejo "/>
    <w:docVar w:name="LW_TYPEACTEPRINCIPAL.CP" w:val="Propuesta de Directiva del Parlamento Europeo y del Consejo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_trad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_trad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958</Words>
  <Characters>3854</Characters>
  <Application>Microsoft Office Word</Application>
  <DocSecurity>0</DocSecurity>
  <Lines>350</Lines>
  <Paragraphs>343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8</cp:revision>
  <cp:lastPrinted>2017-11-17T15:30:00Z</cp:lastPrinted>
  <dcterms:created xsi:type="dcterms:W3CDTF">2017-11-20T16:43:00Z</dcterms:created>
  <dcterms:modified xsi:type="dcterms:W3CDTF">2017-11-23T10:12:00Z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