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2368DE-C9BE-4A3F-80EC-F33A1395771F" style="width:450.8pt;height:408.85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Resumé</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Konsekvensanalyse af forslaget til Rådets forordning om ændring af forordning (EU) nr. 904/2010 for så vidt angår foranstaltninger til styrkelse af det administrative samarbejde vedrørende merværdiafgift</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for handling</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Hvorfor? Hvad er problemstillingen?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Momssvig er en konstant kilde til bekymring på EU-plan med et hul, der anslås til 160 mia. EUR, hvoraf de 40-60 mia. skyldes grænseoverskridende momssvig. Situationen skyldes grundlæggende de indre svagheder i de "overgangsordninger", der er fastsat i momsdirektivet, som gør det muligt at sælge varer og tjenesteydelser momsfrit i samhandelen internt i EU. De tre største problemer behandles i forslaget:</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"svig i forbindelse med forsvundne forhandlere" (MTIC også kendt som "karruselsvig"), der optræder, når en kunde i en grænseoverskridende leverance køber varer eller tjenesteydelser uden moms og opkræver moms uden at videresende den til afgiftsmyndighederne, samtidig med, at hans kunde kan fradrage momsen</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svig i forbindelse med salg af brugte biler, hvor kun fortjenstmargenen er afgiftsbelagt i stedet for den samlede købesum og</w:t>
            </w:r>
          </w:p>
          <w:p>
            <w:pPr>
              <w:pStyle w:val="ListParagraph"/>
              <w:numPr>
                <w:ilvl w:val="0"/>
                <w:numId w:val="3"/>
              </w:numPr>
              <w:spacing w:line="280" w:lineRule="exact"/>
              <w:jc w:val="both"/>
              <w:rPr>
                <w:rFonts w:ascii="Arial" w:hAnsi="Arial" w:cs="Arial"/>
                <w:noProof/>
                <w:sz w:val="20"/>
                <w:szCs w:val="20"/>
              </w:rPr>
            </w:pPr>
            <w:r>
              <w:rPr>
                <w:rFonts w:ascii="Arial" w:hAnsi="Arial"/>
                <w:noProof/>
                <w:sz w:val="20"/>
              </w:rPr>
              <w:t xml:space="preserve">svig i forbindelse med toldprocedurer nr. 42/63, hvorunder momsen ikke skal betales i importlandet, som det er tilfældet under den normale momsordning, idet varerne leveres til en virksomhed i en anden medlemsstat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Hvilke resultater forventes der af initiativet?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Formålet med initiativerne er at give afgiftsmyndighederne mere effektive instrumenter til bekæmpelse af de tre største kilder til den momssvig, der finder sted i grænseoverskridende situationer. En bedre udnyttelse og udveksling af oplysninger mellem myndigheder samt styrkelse af Eurofisc vil gøre det muligt for medlemsstaternes afgiftsmyndigheder bedre at identificere svindlere, sætte en stopper for svig og i sidste instans sikre lige vilkår for virksomhederne.</w:t>
            </w:r>
            <w:r>
              <w:rPr>
                <w:noProof/>
                <w:sz w:val="20"/>
              </w:rPr>
              <w:t xml:space="preserv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Hvad er merværdien ved at handle på EU-plan?</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Selv om administration, opkrævning og kontrol af momsen først og fremmest er medlemsstaternes nationale kompetence, er momssvig ofte knyttet til grænseoverskridende transaktioner i det indre marked. Den har en negativ indvirkning på det indre markeds funktionsmåde og medfører alvorlige tab for EU-budgettet. Derfor har EU gennemført samarbejdsinstrumenter, hvor der sker tilrettelæggelse af udveksling af oplysninger mellem afgiftsforvaltninger og gives støtte til fælles revisionsaktiviteter og Eurofisc. At forbedre effektiviteten af disse værktøjer på EU-plan, navnlig ved at styrke Eurofisc, vil skabe en større merværdi, end hvad der kan opnås på medlemsstatsniveau.</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Løsninger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Hvilke lovgivningsmæssige og ikkelovgivningsmæssige løsninger er overvejet? Foretrækkes en bestemt løsning frem for andre? Hvorfor?</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Der er identificeret 5 hovedmuligheder med delløsninger. Alle muligheder, set under ét som en pakke, vil forbedre den nuværende situation i forhold til grænseoverskridende momssvig:</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Gennemførelse af en fælles behandling og analyse af data i Eurofisc</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Gennemførelse af nye fælles revisionsaktioner for afgiftsforvaltninger og forbedring Eurofiscs koordination af dem</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Fremme af udveksling af oplysninger og efterretninger mellem medlemsstaternes afgiftsmyndigheder i Eurofisc og retshåndhævende myndigheder på EU-plan</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Forbedring af adgangen til data i køretøjsregistre</w:t>
            </w:r>
          </w:p>
          <w:p>
            <w:pPr>
              <w:pStyle w:val="ListParagraph"/>
              <w:numPr>
                <w:ilvl w:val="0"/>
                <w:numId w:val="1"/>
              </w:numPr>
              <w:spacing w:line="280" w:lineRule="exact"/>
              <w:jc w:val="both"/>
              <w:rPr>
                <w:rFonts w:ascii="Arial" w:hAnsi="Arial" w:cs="Arial"/>
                <w:noProof/>
                <w:sz w:val="20"/>
                <w:szCs w:val="20"/>
              </w:rPr>
            </w:pPr>
            <w:r>
              <w:rPr>
                <w:rFonts w:ascii="Arial" w:hAnsi="Arial"/>
                <w:noProof/>
                <w:sz w:val="20"/>
              </w:rPr>
              <w:t xml:space="preserve">Momsregistrering og udveksling af toldoplysninger i forhold til </w:t>
            </w:r>
            <w:bookmarkStart w:id="2" w:name="_Toc486230711"/>
            <w:bookmarkStart w:id="3" w:name="_Toc487638296"/>
            <w:r>
              <w:rPr>
                <w:rFonts w:ascii="Arial" w:hAnsi="Arial"/>
                <w:noProof/>
                <w:sz w:val="20"/>
              </w:rPr>
              <w:t>toldprocedure 42/63 mellem told- og skattemyndighederne.</w:t>
            </w:r>
          </w:p>
          <w:bookmarkEnd w:id="2"/>
          <w:bookmarkEnd w:id="3"/>
          <w:p>
            <w:pPr>
              <w:spacing w:line="280" w:lineRule="exact"/>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Hvem støtter hvilken løsning?</w:t>
            </w:r>
            <w:r>
              <w:rPr>
                <w:rFonts w:ascii="Tahoma" w:hAnsi="Tahoma"/>
                <w:noProof/>
                <w:sz w:val="20"/>
              </w:rPr>
              <w:t xml:space="preserve">  </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Medlemsstaterne støtter gennemførelsen af en fælles behandling af oplysninger og iværksættelse af foranstaltninger til bekæmpelse af svig i forbindelse med toldprocedure 42/63. Adgang til bilregistreringsdata får også støtte fra medlemsstaterne, men i mindre omfang. </w:t>
            </w:r>
          </w:p>
          <w:p>
            <w:pPr>
              <w:spacing w:line="280" w:lineRule="exact"/>
              <w:jc w:val="both"/>
              <w:rPr>
                <w:rFonts w:ascii="Arial" w:hAnsi="Arial" w:cs="Arial"/>
                <w:noProof/>
                <w:sz w:val="20"/>
                <w:szCs w:val="20"/>
              </w:rPr>
            </w:pPr>
            <w:r>
              <w:rPr>
                <w:rFonts w:ascii="Arial" w:hAnsi="Arial"/>
                <w:noProof/>
                <w:sz w:val="20"/>
              </w:rPr>
              <w:t xml:space="preserve">Andre berørte parter går ind for gennemførelse af ny elektronisk udveksling af information og nye former for samarbejde mellem skattemyndighederne og de retshåndhævende myndigheder. De støtter en større rolle for Eurofisc. De har også givet udtryk for en generelt positiv mening om fælles revisioner.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Den foretrukne løsningsmodels indvirkninger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fordele er der ved den foretrukne løsning (hvis en bestemt løsning foretrækkes — ellers fordelene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Det er ikke uden videre muligt nøjagtigt at vurdere og kvantificere fordelene ved de foretrukne løsningsmodeller. </w:t>
            </w:r>
          </w:p>
          <w:p>
            <w:pPr>
              <w:spacing w:line="280" w:lineRule="exact"/>
              <w:jc w:val="both"/>
              <w:rPr>
                <w:rFonts w:ascii="Arial" w:hAnsi="Arial" w:cs="Arial"/>
                <w:noProof/>
                <w:sz w:val="20"/>
                <w:szCs w:val="20"/>
              </w:rPr>
            </w:pPr>
            <w:r>
              <w:rPr>
                <w:rFonts w:ascii="Arial" w:hAnsi="Arial"/>
                <w:noProof/>
                <w:sz w:val="20"/>
                <w:u w:val="single"/>
              </w:rPr>
              <w:t>Medlemsstaterne</w:t>
            </w:r>
            <w:r>
              <w:rPr>
                <w:rFonts w:ascii="Arial" w:hAnsi="Arial"/>
                <w:noProof/>
                <w:sz w:val="20"/>
              </w:rPr>
              <w:t xml:space="preserve">: de vigtigste løsningsmodeller, der er omfattet af initiativet, forventes at forbedre situationen hurtigt og effektivt for så vidt angår grænseoverskridende momssvig og vil derfor øge momsindtægterne. </w:t>
            </w:r>
          </w:p>
          <w:p>
            <w:pPr>
              <w:spacing w:line="280" w:lineRule="exact"/>
              <w:jc w:val="both"/>
              <w:rPr>
                <w:rFonts w:ascii="Arial" w:hAnsi="Arial" w:cs="Arial"/>
                <w:noProof/>
                <w:sz w:val="20"/>
                <w:szCs w:val="20"/>
              </w:rPr>
            </w:pPr>
            <w:r>
              <w:rPr>
                <w:rFonts w:ascii="Arial" w:hAnsi="Arial"/>
                <w:noProof/>
                <w:sz w:val="20"/>
                <w:u w:val="single"/>
              </w:rPr>
              <w:t>Erhvervslivet</w:t>
            </w:r>
            <w:r>
              <w:rPr>
                <w:rFonts w:ascii="Arial" w:hAnsi="Arial"/>
                <w:noProof/>
                <w:sz w:val="20"/>
              </w:rPr>
              <w:t xml:space="preserve">: en bedre målretning af indsatsen mod svindlere kunne nedbringe efterlevelsesomkostningerne for virksomheder, der er involveret i samhandelen inden for EU. </w:t>
            </w:r>
          </w:p>
          <w:p>
            <w:pPr>
              <w:spacing w:line="280" w:lineRule="exact"/>
              <w:jc w:val="both"/>
              <w:rPr>
                <w:rFonts w:ascii="Arial" w:hAnsi="Arial" w:cs="Arial"/>
                <w:noProof/>
                <w:sz w:val="20"/>
                <w:szCs w:val="20"/>
                <w:u w:val="single"/>
              </w:rPr>
            </w:pPr>
            <w:r>
              <w:rPr>
                <w:rFonts w:ascii="Arial" w:hAnsi="Arial"/>
                <w:noProof/>
                <w:sz w:val="20"/>
                <w:u w:val="single"/>
              </w:rPr>
              <w:t>Det indre marked</w:t>
            </w:r>
            <w:r>
              <w:rPr>
                <w:rFonts w:ascii="Arial" w:hAnsi="Arial"/>
                <w:noProof/>
                <w:sz w:val="20"/>
              </w:rPr>
              <w:t>: der forventes en positiv indvirkning på dets funktion, idet bekæmpelse af momssvig vil sikre lige vilkår i hele EU for virksomheder, der overholder reglerne.</w:t>
            </w:r>
            <w:r>
              <w:rPr>
                <w:rFonts w:ascii="Arial" w:hAnsi="Arial"/>
                <w:noProof/>
                <w:sz w:val="20"/>
                <w:u w:val="single"/>
              </w:rPr>
              <w:t xml:space="preserve"> </w:t>
            </w:r>
          </w:p>
          <w:p>
            <w:pPr>
              <w:spacing w:line="280" w:lineRule="exact"/>
              <w:jc w:val="both"/>
              <w:rPr>
                <w:rFonts w:ascii="Arial" w:hAnsi="Arial" w:cs="Arial"/>
                <w:noProof/>
                <w:sz w:val="20"/>
                <w:szCs w:val="20"/>
              </w:rPr>
            </w:pPr>
            <w:r>
              <w:rPr>
                <w:rFonts w:ascii="Arial" w:hAnsi="Arial"/>
                <w:noProof/>
                <w:sz w:val="20"/>
              </w:rPr>
              <w:t xml:space="preserve">Initiativet har begrænsede miljø- og samfundsmæssige indvirkninger.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omkostninger er der ved den foretrukne løsning (hvis en bestemt løsning foretrækkes — ellers omkostningerne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u w:val="single"/>
              </w:rPr>
              <w:t>Erhvervslivet</w:t>
            </w:r>
            <w:r>
              <w:rPr>
                <w:rFonts w:ascii="Arial" w:hAnsi="Arial"/>
                <w:noProof/>
                <w:sz w:val="20"/>
              </w:rPr>
              <w:t>: ingen yderligere omkostninger. Forslaget vil skabe betingelser for en bedre udnyttelse og analyse af allerede tilgængelige oplysninger.</w:t>
            </w:r>
          </w:p>
          <w:p>
            <w:pPr>
              <w:spacing w:line="280" w:lineRule="exact"/>
              <w:jc w:val="both"/>
              <w:rPr>
                <w:rFonts w:ascii="Arial" w:hAnsi="Arial" w:cs="Arial"/>
                <w:i/>
                <w:noProof/>
                <w:sz w:val="20"/>
                <w:szCs w:val="20"/>
              </w:rPr>
            </w:pPr>
            <w:r>
              <w:rPr>
                <w:rFonts w:ascii="Arial" w:hAnsi="Arial"/>
                <w:noProof/>
                <w:sz w:val="20"/>
                <w:u w:val="single"/>
              </w:rPr>
              <w:t>Medlemsstaterne</w:t>
            </w:r>
            <w:r>
              <w:rPr>
                <w:rFonts w:ascii="Arial" w:hAnsi="Arial"/>
                <w:noProof/>
                <w:sz w:val="20"/>
              </w:rPr>
              <w:t>: gennemførelsen af den fælles behandling af data vil ikke medføre yderligere omkostninger, da de betales af Fiscalis-programmet. Oplysninger i køretøjsregistre og toldoplysninger er allerede til rådighed. At give skattemyndighederne en automatiseret adgang til oplysningerne vil kræve udvikling på IT-området, om end i begrænset omfang. Det er imidlertid ikke muligt at vurdere omkostningerne, idet der ikke kunne findes nylige sammenlignelige tilfælde og/eller ikke oplyses af medlemsstaterne.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Hvordan påvirker den foretrukne løsning virksomhederne, herunder de små og mellemstore virksomheder og mikrovirksomhederne?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Virksomheder, SMV'er og mikrovirksomheder skulle ikke blive påvirket negativt af initiativet, idet det ikke skulle udløse ekstra administrative byrder eller efterlevelsesomkostninger. </w:t>
            </w:r>
          </w:p>
          <w:p>
            <w:pPr>
              <w:spacing w:line="280" w:lineRule="exact"/>
              <w:jc w:val="both"/>
              <w:rPr>
                <w:rFonts w:ascii="Arial" w:hAnsi="Arial" w:cs="Arial"/>
                <w:i/>
                <w:noProof/>
                <w:sz w:val="20"/>
                <w:szCs w:val="20"/>
              </w:rPr>
            </w:pPr>
            <w:r>
              <w:rPr>
                <w:rFonts w:ascii="Arial" w:hAnsi="Arial"/>
                <w:noProof/>
                <w:sz w:val="20"/>
              </w:rPr>
              <w:t>De vil have fordel af mere lige konkurrencevilkår og af det forhold, at det indre marked fungerer bedre.</w:t>
            </w:r>
            <w:r>
              <w:rPr>
                <w:rFonts w:ascii="Arial" w:hAnsi="Arial"/>
                <w:i/>
                <w:noProof/>
                <w:sz w:val="20"/>
              </w:rPr>
              <w:t xml:space="preserve">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Vil den foretrukne løsning få væsentlige virkninger for de nationale budgetter og myndigheder?</w:t>
            </w:r>
          </w:p>
        </w:tc>
      </w:tr>
      <w:tr>
        <w:tc>
          <w:tcPr>
            <w:tcW w:w="10188" w:type="dxa"/>
            <w:shd w:val="clear" w:color="auto" w:fill="auto"/>
          </w:tcPr>
          <w:p>
            <w:pPr>
              <w:spacing w:line="280" w:lineRule="exact"/>
              <w:jc w:val="both"/>
              <w:rPr>
                <w:rFonts w:ascii="Arial" w:hAnsi="Arial" w:cs="Arial"/>
                <w:noProof/>
                <w:sz w:val="20"/>
                <w:szCs w:val="20"/>
              </w:rPr>
            </w:pPr>
            <w:r>
              <w:rPr>
                <w:rFonts w:ascii="Arial" w:hAnsi="Arial"/>
                <w:noProof/>
                <w:sz w:val="20"/>
              </w:rPr>
              <w:t xml:space="preserve">Selv om visse alternativer medfører udviklingsomkostninger, vil medlemsstaternes budgetter have fordel af de nye instrumenter, der bliver indført med henblik på bekæmpelse af momssvig. Det er ikke muligt at kvantificere disse fordele præcist, idet der dog forventes nettofordele.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 den foretrukne løsning få andre væsentlige virkninger?</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Arial" w:hAnsi="Arial" w:cs="Arial"/>
                <w:noProof/>
                <w:sz w:val="20"/>
                <w:szCs w:val="20"/>
              </w:rPr>
            </w:pPr>
            <w:r>
              <w:rPr>
                <w:rFonts w:ascii="Arial" w:hAnsi="Arial"/>
                <w:noProof/>
                <w:sz w:val="20"/>
              </w:rPr>
              <w:t xml:space="preserve">Dette forslag vil indebære ny udveksling og fælles behandling af momsoplysninger, som kan omfatte personoplysninger. Dette kan have en indvirkning på de grundlæggende rettigheder. De nye udvekslinger af oplysninger og databehandling, som planlægges med initiativet, vil være tydeligt målrettet og begrænset til, hvad der er nødvendigt for at nå målene for initiativet, dvs. bekæmpelse af grænseoverskridende momssvig på en effektiv måde.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Opfølgning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Hvornår vil foranstaltningen blive taget op til fornyet overvejelse? </w:t>
            </w:r>
            <w:r>
              <w:rPr>
                <w:rFonts w:ascii="Tahoma" w:hAnsi="Tahoma"/>
                <w:noProof/>
                <w:sz w:val="20"/>
              </w:rPr>
              <w:t xml:space="preserve"> </w:t>
            </w:r>
          </w:p>
        </w:tc>
      </w:tr>
      <w:tr>
        <w:tc>
          <w:tcPr>
            <w:tcW w:w="10188" w:type="dxa"/>
            <w:tcBorders>
              <w:bottom w:val="single" w:sz="4" w:space="0" w:color="auto"/>
            </w:tcBorders>
            <w:shd w:val="clear" w:color="auto" w:fill="auto"/>
          </w:tcPr>
          <w:p>
            <w:pPr>
              <w:spacing w:line="280" w:lineRule="exact"/>
              <w:jc w:val="both"/>
              <w:rPr>
                <w:rFonts w:ascii="Tahoma" w:hAnsi="Tahoma" w:cs="Tahoma"/>
                <w:noProof/>
                <w:sz w:val="20"/>
                <w:szCs w:val="20"/>
              </w:rPr>
            </w:pPr>
            <w:r>
              <w:rPr>
                <w:rFonts w:ascii="Tahoma" w:hAnsi="Tahoma"/>
                <w:noProof/>
                <w:sz w:val="20"/>
              </w:rPr>
              <w:t>I henhold til artikel 59 i forordning (EU) nr. 904/2010 skal anvendelsen af den vurderes hvert femte år. Desuden skal medlemsstaterne meddele Kommissionen alle tilgængelige oplysninger om anvendelsen af forordningen (artikel 49) og herunder årlige statistikker.</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1A48"/>
    <w:multiLevelType w:val="hybridMultilevel"/>
    <w:tmpl w:val="ED3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144FD"/>
    <w:multiLevelType w:val="hybridMultilevel"/>
    <w:tmpl w:val="DB6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8619C"/>
    <w:multiLevelType w:val="hybridMultilevel"/>
    <w:tmpl w:val="2098CDA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6167F"/>
    <w:multiLevelType w:val="hybridMultilevel"/>
    <w:tmpl w:val="E9F042E8"/>
    <w:lvl w:ilvl="0" w:tplc="A15487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832368DE-C9BE-4A3F-80EC-F33A1395771F"/>
    <w:docVar w:name="LW_COVERPAGE_TYPE" w:val="1"/>
    <w:docVar w:name="LW_CROSSREFERENCE" w:val="{COM(2017) 706 final}_x000b_{SWD(2017) 428 final}"/>
    <w:docVar w:name="LW_DocType" w:val="NORMAL"/>
    <w:docVar w:name="LW_EMISSION" w:val="30.11.2017"/>
    <w:docVar w:name="LW_EMISSION_ISODATE" w:val="2017-11-30"/>
    <w:docVar w:name="LW_EMISSION_LOCATION" w:val="BRX"/>
    <w:docVar w:name="LW_EMISSION_PREFIX" w:val="Bruxelles, den "/>
    <w:docVar w:name="LW_EMISSION_SUFFIX" w:val="&lt;EMPTY&gt;"/>
    <w:docVar w:name="LW_ID_DOCTYPE_NONLW" w:val="CP-027"/>
    <w:docVar w:name="LW_LANGUE" w:val="DA"/>
    <w:docVar w:name="LW_LEVEL_OF_SENSITIVITY" w:val="Standard treatment"/>
    <w:docVar w:name="LW_NOM.INST" w:val="EUROPA-KOMMISSIONEN"/>
    <w:docVar w:name="LW_NOM.INST_JOINTDOC" w:val="&lt;EMPTY&gt;"/>
    <w:docVar w:name="LW_OBJETACTEPRINCIPAL.CP" w:val="om ændring af forordning (EU) nr. 904/2010 for så vidt angår foranstaltninger til styrkelse af det administrative samarbejde vedrørende merværdiafgift"/>
    <w:docVar w:name="LW_PART_NBR" w:val="1"/>
    <w:docVar w:name="LW_PART_NBR_TOTAL" w:val="1"/>
    <w:docVar w:name="LW_REF.INST.NEW" w:val="SWD"/>
    <w:docVar w:name="LW_REF.INST.NEW_ADOPTED" w:val="final"/>
    <w:docVar w:name="LW_REF.INST.NEW_TEXT" w:val="(2017)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JDSDOKUMENT FRA KOMMISSIONENS TJENESTEGRENE_x000b__x000b_RESUME AF KONSEKVENSANALYSEN_x000b_"/>
    <w:docVar w:name="LW_TYPEACTEPRINCIPAL.CP" w:val="Ændret forslag til Rådets forordning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spacing w:after="240" w:line="280" w:lineRule="exact"/>
      <w:jc w:val="both"/>
      <w:outlineLvl w:val="1"/>
    </w:pPr>
    <w:rPr>
      <w:rFonts w:eastAsiaTheme="majorEastAsia"/>
      <w:b/>
      <w:bCs/>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5EF4959E7CFD845856F3BE47146C716" ma:contentTypeVersion="1" ma:contentTypeDescription="Create a new document in this library." ma:contentTypeScope="" ma:versionID="1754e5ff0a4b075aa19c18a670fedc3d">
  <xsd:schema xmlns:xsd="http://www.w3.org/2001/XMLSchema" xmlns:xs="http://www.w3.org/2001/XMLSchema" xmlns:p="http://schemas.microsoft.com/office/2006/metadata/properties" xmlns:ns3="75cd4fff-5666-4db4-b5ad-db4cdbd98c70" targetNamespace="http://schemas.microsoft.com/office/2006/metadata/properties" ma:root="true" ma:fieldsID="858d0a9dde80d806be8ce94973168f65" ns3:_="">
    <xsd:import namespace="75cd4fff-5666-4db4-b5ad-db4cdbd98c70"/>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4fff-5666-4db4-b5ad-db4cdbd98c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5cd4fff-5666-4db4-b5ad-db4cdbd98c70">EN</EC_Collab_DocumentLanguage>
    <EC_Collab_Status xmlns="75cd4fff-5666-4db4-b5ad-db4cdbd98c70">Not Started</EC_Collab_Status>
    <EC_Collab_Reference xmlns="75cd4fff-5666-4db4-b5ad-db4cdbd98c70"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B79A3BAA-65AE-4EC3-9310-36A8AE798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4fff-5666-4db4-b5ad-db4cdbd98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documentManagement/types"/>
    <ds:schemaRef ds:uri="http://purl.org/dc/terms/"/>
    <ds:schemaRef ds:uri="http://purl.org/dc/dcmitype/"/>
    <ds:schemaRef ds:uri="http://schemas.microsoft.com/office/2006/metadata/properties"/>
    <ds:schemaRef ds:uri="75cd4fff-5666-4db4-b5ad-db4cdbd98c7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6494</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2017-11-10T15:48:00Z</dcterms:created>
  <dcterms:modified xsi:type="dcterms:W3CDTF">2017-12-04T17:01:00Z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0x010100258AA79CEB83498886A3A086811232500055EF4959E7CFD845856F3BE47146C716</vt:lpwstr>
  </property>
  <property fmtid="{D5CDD505-2E9C-101B-9397-08002B2CF9AE}" pid="10" name="TemplateUrl">
    <vt:lpwstr/>
  </property>
  <property fmtid="{D5CDD505-2E9C-101B-9397-08002B2CF9AE}" pid="11" name="Level of sensitivity">
    <vt:lpwstr>Standard treatment</vt:lpwstr>
  </property>
</Properties>
</file>