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01E7581-0490-4857-83D3-D1899D6D6CD2"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30"/>
        </w:numPr>
        <w:spacing w:before="360" w:after="24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IEVADS</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rPr>
        <w:t>Efektīvas, labi izstrādātas un līdzsvarotas intelektuālā īpašuma sistēmas ir būtiski svarīgas investīciju veicināšanai inovācijā un izaugsmē</w:t>
      </w:r>
      <w:r>
        <w:rPr>
          <w:rFonts w:ascii="Times New Roman" w:hAnsi="Times New Roman"/>
          <w:noProof/>
          <w:sz w:val="24"/>
        </w:rPr>
        <w:t>. Intelektuālā īpašuma tiesības (IĪT) ir viens no galvenajiem līdzekļiem, ar kuru palīdzību uzņēmumi, autori un izgudrotāji gūst peļņu no investīcijām zināšanās un jaunradē. Pētījumi liecina, ka IĪT ietilpīgas nozares veido aptuveni 42 % no ES IKP (gadā tie ir aptuveni 5,7 triljoni EUR), nodrošina 38 % visu darbvietu</w:t>
      </w:r>
      <w:r>
        <w:rPr>
          <w:rStyle w:val="FootnoteReference"/>
          <w:rFonts w:ascii="Times New Roman" w:hAnsi="Times New Roman"/>
          <w:noProof/>
          <w:sz w:val="24"/>
        </w:rPr>
        <w:footnoteReference w:id="2"/>
      </w:r>
      <w:r>
        <w:rPr>
          <w:rFonts w:ascii="Times New Roman" w:hAnsi="Times New Roman"/>
          <w:noProof/>
          <w:sz w:val="24"/>
        </w:rPr>
        <w:t xml:space="preserve"> un sasniedz 90 % īpatsvaru ES eksporta rādītājos</w:t>
      </w:r>
      <w:r>
        <w:rPr>
          <w:rStyle w:val="FootnoteReference"/>
          <w:rFonts w:ascii="Times New Roman" w:hAnsi="Times New Roman"/>
          <w:noProof/>
          <w:sz w:val="24"/>
        </w:rPr>
        <w:footnoteReference w:id="3"/>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Digitālā revolūcija ir pavērusi ārkārtīgi daudz jaunu iespēju. Ar interneta starpniecību inovatīvas preces, tehnoloģijas un radošais saturs var sasniegt daudz plašāku patērētāju loku, tādējādi ļaujot novatoriem un autoriem iekarot jaunus tirgus un auditoriju. Taču digitālā revolūcija ES intelektuālā īpašuma sistēmu arī pakļauj daudz lielākiem apdraudējumiem. Tiešsaistes vide ļauj daudz plašāk un ātrāk izplatīt preces un saturu, ar kuru tiek pārkāptas IĪT, un patērētājiem bieži vien ir daudz grūtāk atšķirt šādas preces un saturu no autentiskām un legālām precēm un satura. Turklāt IĪT pārkāpēji var slēpties aiz viltus identitātes un bieži vien atrodas ārpus ES — valstīs ar vājām tiesībaizsardzības sistēmām.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Visa iepriekš minētā rezultātā </w:t>
      </w:r>
      <w:r>
        <w:rPr>
          <w:rFonts w:ascii="Times New Roman" w:hAnsi="Times New Roman"/>
          <w:b/>
          <w:noProof/>
          <w:sz w:val="24"/>
        </w:rPr>
        <w:t>visā pasaulē palielinās IĪT pārkāpumu skaits</w:t>
      </w:r>
      <w:r>
        <w:rPr>
          <w:rStyle w:val="FootnoteReference"/>
          <w:rFonts w:ascii="Times New Roman" w:hAnsi="Times New Roman"/>
          <w:noProof/>
          <w:sz w:val="24"/>
        </w:rPr>
        <w:footnoteReference w:id="4"/>
      </w:r>
      <w:r>
        <w:rPr>
          <w:rFonts w:ascii="Times New Roman" w:hAnsi="Times New Roman"/>
          <w:noProof/>
          <w:sz w:val="24"/>
        </w:rPr>
        <w:t>. Patlaban viltotas un pirātiskas preces veido aptuveni 2,5 % no pasaules tirdzniecības apjoma. Tas ir smagi skāris ES rūpniecības nozari: saskaņā ar nesen veiktu pētījumu</w:t>
      </w:r>
      <w:r>
        <w:rPr>
          <w:rStyle w:val="FootnoteReference"/>
          <w:rFonts w:ascii="Times New Roman" w:hAnsi="Times New Roman"/>
          <w:noProof/>
          <w:sz w:val="24"/>
        </w:rPr>
        <w:footnoteReference w:id="5"/>
      </w:r>
      <w:r>
        <w:rPr>
          <w:rFonts w:ascii="Times New Roman" w:hAnsi="Times New Roman"/>
          <w:noProof/>
          <w:sz w:val="24"/>
        </w:rPr>
        <w:t xml:space="preserve"> 5 % no visām ES ievestajām precēm ir viltotas un pirātiskas preces, un šīs nelikumīgās tirdzniecības apjoms tiek lēsts 85 miljardu EUR apmērā. </w:t>
      </w:r>
    </w:p>
    <w:p>
      <w:pPr>
        <w:spacing w:line="240" w:lineRule="auto"/>
        <w:jc w:val="both"/>
        <w:rPr>
          <w:rFonts w:ascii="Times New Roman" w:hAnsi="Times New Roman"/>
          <w:noProof/>
          <w:sz w:val="24"/>
        </w:rPr>
      </w:pPr>
      <w:r>
        <w:rPr>
          <w:rFonts w:ascii="Times New Roman" w:hAnsi="Times New Roman"/>
          <w:noProof/>
          <w:sz w:val="24"/>
        </w:rPr>
        <w:t>Īpašus draudus IĪT pārkāpumi rada tām nozarēm, kurās ES uzņēmumi atrodas vadošajās pozīcijās pasaulē, piemēram, apģērbu, luksuspreču un farmaceitisko līdzekļu ražošanas nozarēm, kuras cieš no ievērojamiem peļņas zaudējumiem un darbvietu skaita samazināšanās. Eiropas Savienības Intelektuālā īpašuma birojs (</w:t>
      </w:r>
      <w:r>
        <w:rPr>
          <w:rFonts w:ascii="Times New Roman" w:hAnsi="Times New Roman"/>
          <w:i/>
          <w:noProof/>
          <w:sz w:val="24"/>
        </w:rPr>
        <w:t>EUIPO</w:t>
      </w:r>
      <w:r>
        <w:rPr>
          <w:rFonts w:ascii="Times New Roman" w:hAnsi="Times New Roman"/>
          <w:noProof/>
          <w:sz w:val="24"/>
        </w:rPr>
        <w:t>) nesen analizēja IĪT pārkāpumu apjomu, mērogu un ietekmi deviņās nozarēs</w:t>
      </w:r>
      <w:r>
        <w:rPr>
          <w:rFonts w:ascii="Times New Roman" w:hAnsi="Times New Roman"/>
          <w:noProof/>
          <w:sz w:val="24"/>
          <w:vertAlign w:val="superscript"/>
        </w:rPr>
        <w:footnoteReference w:id="6"/>
      </w:r>
      <w:r>
        <w:rPr>
          <w:rFonts w:ascii="Times New Roman" w:hAnsi="Times New Roman"/>
          <w:noProof/>
          <w:sz w:val="24"/>
        </w:rPr>
        <w:t xml:space="preserve"> un konstatēja, ka kopējo zaudējumu apjoms ES veido 48 miljardus EUR</w:t>
      </w:r>
      <w:r>
        <w:rPr>
          <w:rFonts w:ascii="Times New Roman" w:hAnsi="Times New Roman"/>
          <w:noProof/>
          <w:sz w:val="24"/>
          <w:vertAlign w:val="superscript"/>
        </w:rPr>
        <w:footnoteReference w:id="7"/>
      </w:r>
      <w:r>
        <w:rPr>
          <w:rFonts w:ascii="Times New Roman" w:hAnsi="Times New Roman"/>
          <w:noProof/>
          <w:sz w:val="24"/>
        </w:rPr>
        <w:t>. Eiropas radošā un kultūras nozare (mūzika, kino, programmatūra, grāmatas) arī ir pakļauta negatīvai ietekmei</w:t>
      </w:r>
      <w:r>
        <w:rPr>
          <w:rFonts w:ascii="Times New Roman" w:hAnsi="Times New Roman"/>
          <w:noProof/>
          <w:sz w:val="24"/>
          <w:vertAlign w:val="superscript"/>
        </w:rPr>
        <w:footnoteReference w:id="8"/>
      </w:r>
      <w:r>
        <w:rPr>
          <w:noProof/>
          <w:sz w:val="16"/>
        </w:rPr>
        <w:t>.</w:t>
      </w:r>
      <w:r>
        <w:rPr>
          <w:rFonts w:ascii="Times New Roman" w:hAnsi="Times New Roman"/>
          <w:noProof/>
          <w:sz w:val="24"/>
        </w:rPr>
        <w:t xml:space="preserve"> Zaudējumi, kas uzņēmumiem rodas viltošanas </w:t>
      </w:r>
      <w:r>
        <w:rPr>
          <w:rFonts w:ascii="Times New Roman" w:hAnsi="Times New Roman"/>
          <w:noProof/>
          <w:sz w:val="24"/>
        </w:rPr>
        <w:lastRenderedPageBreak/>
        <w:t>un pirātisma dēļ, negatīvi ietekmē šo uzņēmumu piedāvāto darbvietu skaitu ES un samazina nodokļu ieņēmumus un sociālā nodrošinājuma iemaksas</w:t>
      </w:r>
      <w:r>
        <w:rPr>
          <w:rStyle w:val="FootnoteReference"/>
          <w:rFonts w:ascii="Times New Roman" w:hAnsi="Times New Roman"/>
          <w:noProof/>
          <w:sz w:val="24"/>
        </w:rPr>
        <w:footnoteReference w:id="9"/>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Savukārt viltošanas un pirātisma sniegtā peļņa bieži vien nonāk noziedzīgu organizāciju rīcībā. Šīs organizācijas parasti darbojas ES teritorijā un ārpus tās, izmanto gan legālas, gan slepenas ražotnes, iefiltrējas piegādes ķēdēs, ekspluatē darbaspēku, nemaksā nodokļus, legalizē nelikumīgi iegūtus līdzekļus un apdraud patērētājus</w:t>
      </w:r>
      <w:r>
        <w:rPr>
          <w:rStyle w:val="FootnoteReference"/>
          <w:rFonts w:ascii="Times New Roman" w:hAnsi="Times New Roman"/>
          <w:noProof/>
          <w:sz w:val="24"/>
        </w:rPr>
        <w:footnoteReference w:id="10"/>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2014. gada IĪT izpildes rīcības plānā</w:t>
      </w:r>
      <w:r>
        <w:rPr>
          <w:rStyle w:val="FootnoteReference"/>
          <w:rFonts w:ascii="Times New Roman" w:hAnsi="Times New Roman"/>
          <w:noProof/>
          <w:sz w:val="24"/>
        </w:rPr>
        <w:footnoteReference w:id="11"/>
      </w:r>
      <w:r>
        <w:rPr>
          <w:rFonts w:ascii="Times New Roman" w:hAnsi="Times New Roman"/>
          <w:noProof/>
          <w:sz w:val="24"/>
        </w:rPr>
        <w:t xml:space="preserve"> tika noteikts, ka galvenā uzmanība Komisijas IĪT izpildes kontroles politikā turpmāk ir jāpievērš pieejai “follow the money” (“sekojiet naudai”), kura ir vērsta uz to, lai apturētu tās komerciāla mēroga IĪT pārkāpēju ienākumu plūsmas, kas to veiktās darbības padara ienesīgas. Labāka IĪT izpildes kontrole veicina Komisijas prioritāšu sasniegšanu, proti, sekmēt darbvietu izveidi, veicināt izaugsmi un uzlabot konkurētspēju. Tai ir būtiska nozīme arī vienotā tirgus izveides pabeigšanā un tā stiprināšanā un dalībvalstīs vērojamās sadrumstalotības mazināšanā. Tādēļ Komisija digitālā vienotā tirgus stratēģijā</w:t>
      </w:r>
      <w:r>
        <w:rPr>
          <w:rStyle w:val="FootnoteReference"/>
          <w:rFonts w:ascii="Times New Roman" w:hAnsi="Times New Roman"/>
          <w:noProof/>
          <w:sz w:val="24"/>
        </w:rPr>
        <w:footnoteReference w:id="12"/>
      </w:r>
      <w:r>
        <w:rPr>
          <w:rFonts w:ascii="Times New Roman" w:hAnsi="Times New Roman"/>
          <w:noProof/>
          <w:sz w:val="24"/>
        </w:rPr>
        <w:t xml:space="preserve"> un vienotā tirgus stratēģijā</w:t>
      </w:r>
      <w:r>
        <w:rPr>
          <w:rStyle w:val="FootnoteReference"/>
          <w:rFonts w:ascii="Times New Roman" w:hAnsi="Times New Roman"/>
          <w:noProof/>
          <w:sz w:val="24"/>
        </w:rPr>
        <w:footnoteReference w:id="13"/>
      </w:r>
      <w:r>
        <w:rPr>
          <w:rFonts w:ascii="Times New Roman" w:hAnsi="Times New Roman"/>
          <w:noProof/>
          <w:sz w:val="24"/>
        </w:rPr>
        <w:t xml:space="preserve"> paziņoja, ka Eiropai ir jādara vairāk, lai </w:t>
      </w:r>
      <w:r>
        <w:rPr>
          <w:rFonts w:ascii="Times New Roman" w:hAnsi="Times New Roman"/>
          <w:noProof/>
          <w:sz w:val="24"/>
        </w:rPr>
        <w:lastRenderedPageBreak/>
        <w:t>garantētu, ka IĪT izpilde kļūst par realitāti arī digitālajā vidē, atbalstot pieeju “sekojiet naudai” un īpašu uzmanību pievēršot maziem un vidējiem uzņēmumiem (MVU).</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Turpinot nesen aizsāktās iniciatīvas autortiesību regulējuma uzlabošanai</w:t>
      </w:r>
      <w:r>
        <w:rPr>
          <w:rFonts w:ascii="Times New Roman" w:hAnsi="Times New Roman"/>
          <w:noProof/>
          <w:sz w:val="24"/>
          <w:vertAlign w:val="superscript"/>
        </w:rPr>
        <w:footnoteReference w:id="14"/>
      </w:r>
      <w:r>
        <w:rPr>
          <w:rFonts w:ascii="Times New Roman" w:hAnsi="Times New Roman"/>
          <w:noProof/>
          <w:sz w:val="24"/>
        </w:rPr>
        <w:t xml:space="preserve">, Komisija ir nākusi klajā ar </w:t>
      </w:r>
      <w:r>
        <w:rPr>
          <w:rFonts w:ascii="Times New Roman" w:hAnsi="Times New Roman"/>
          <w:b/>
          <w:noProof/>
          <w:sz w:val="24"/>
        </w:rPr>
        <w:t>visaptverošu pasākumu kopumu, kura mērķis ir vēl vairāk uzlabot IĪT piemērošanu un izpildi ES dalībvalstīs — gan pašas ES robežās, gan starptautiskā mērogā</w:t>
      </w:r>
      <w:r>
        <w:rPr>
          <w:rStyle w:val="FootnoteReference"/>
          <w:rFonts w:ascii="Times New Roman" w:hAnsi="Times New Roman"/>
          <w:noProof/>
          <w:sz w:val="24"/>
        </w:rPr>
        <w:footnoteReference w:id="15"/>
      </w:r>
      <w:r>
        <w:rPr>
          <w:rFonts w:ascii="Times New Roman" w:hAnsi="Times New Roman"/>
          <w:noProof/>
          <w:sz w:val="24"/>
        </w:rPr>
        <w:t>. Minētie pasākumi ir izklāstīti šajā paziņojumā, kā arī šādos dokumentos:</w:t>
      </w:r>
    </w:p>
    <w:p>
      <w:pPr>
        <w:pStyle w:val="ListParagraph"/>
        <w:numPr>
          <w:ilvl w:val="0"/>
          <w:numId w:val="2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paziņojums, kurā sniegtas norādes par to, kā piemērojama direktīva par intelektuālā īpašuma tiesību piemērošanu (</w:t>
      </w:r>
      <w:r>
        <w:rPr>
          <w:rFonts w:ascii="Times New Roman" w:hAnsi="Times New Roman"/>
          <w:i/>
          <w:noProof/>
          <w:sz w:val="24"/>
        </w:rPr>
        <w:t>IPRED</w:t>
      </w:r>
      <w:r>
        <w:rPr>
          <w:rFonts w:ascii="Times New Roman" w:hAnsi="Times New Roman"/>
          <w:iCs/>
          <w:noProof/>
          <w:sz w:val="24"/>
        </w:rPr>
        <w:t>)</w:t>
      </w:r>
      <w:r>
        <w:rPr>
          <w:rStyle w:val="FootnoteReference"/>
          <w:rFonts w:ascii="Times New Roman" w:hAnsi="Times New Roman" w:cs="Times New Roman"/>
          <w:noProof/>
          <w:sz w:val="24"/>
          <w:szCs w:val="24"/>
        </w:rPr>
        <w:footnoteReference w:id="16"/>
      </w:r>
      <w:r>
        <w:rPr>
          <w:rFonts w:ascii="Times New Roman" w:hAnsi="Times New Roman"/>
          <w:noProof/>
          <w:sz w:val="24"/>
        </w:rPr>
        <w:t xml:space="preserve">, kam pievienots Komisijas dienestu darba dokuments, kas ietver </w:t>
      </w:r>
      <w:r>
        <w:rPr>
          <w:rFonts w:ascii="Times New Roman" w:hAnsi="Times New Roman"/>
          <w:i/>
          <w:noProof/>
          <w:sz w:val="24"/>
        </w:rPr>
        <w:t>IPRED</w:t>
      </w:r>
      <w:r>
        <w:rPr>
          <w:rFonts w:ascii="Times New Roman" w:hAnsi="Times New Roman"/>
          <w:noProof/>
          <w:sz w:val="24"/>
        </w:rPr>
        <w:t xml:space="preserve"> novērtējumu;</w:t>
      </w:r>
    </w:p>
    <w:p>
      <w:pPr>
        <w:pStyle w:val="ListParagraph"/>
        <w:numPr>
          <w:ilvl w:val="0"/>
          <w:numId w:val="2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paziņojums par standartiem būtiskiem patentiem;</w:t>
      </w:r>
    </w:p>
    <w:p>
      <w:pPr>
        <w:pStyle w:val="ListParagraph"/>
        <w:numPr>
          <w:ilvl w:val="0"/>
          <w:numId w:val="2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Komisijas dienestu darba dokuments par to, kā vērtējams Saprašanās memorands par viltotu preču pārdošanu internetā.</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Šajā paziņojumā ir noteikts visu iepriekš minēto IĪT izpildes pasākumu satvars, un tas sastāv no četrām galvenajām sadaļām, kurās ir izklāstīti šādi aspekti:</w:t>
      </w:r>
    </w:p>
    <w:p>
      <w:pPr>
        <w:pStyle w:val="ListParagraph"/>
        <w:numPr>
          <w:ilvl w:val="0"/>
          <w:numId w:val="2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pasākumi, kuru mērķis ir nodrošināt, ka intelektuālā īpašuma īpašnieki ES var vieglāk izmantot vienveidīgu, taisnīgu un iedarbīgu </w:t>
      </w:r>
      <w:r>
        <w:rPr>
          <w:rFonts w:ascii="Times New Roman" w:hAnsi="Times New Roman"/>
          <w:b/>
          <w:noProof/>
          <w:sz w:val="24"/>
        </w:rPr>
        <w:t>tiesiskās aizsardzības</w:t>
      </w:r>
      <w:r>
        <w:rPr>
          <w:rFonts w:ascii="Times New Roman" w:hAnsi="Times New Roman"/>
          <w:noProof/>
          <w:sz w:val="24"/>
        </w:rPr>
        <w:t xml:space="preserve"> sistēmu. Kopā ar norādēm attiecībā uz </w:t>
      </w:r>
      <w:r>
        <w:rPr>
          <w:rFonts w:ascii="Times New Roman" w:hAnsi="Times New Roman"/>
          <w:i/>
          <w:noProof/>
          <w:sz w:val="24"/>
        </w:rPr>
        <w:t>IPRED</w:t>
      </w:r>
      <w:r>
        <w:rPr>
          <w:rFonts w:ascii="Times New Roman" w:hAnsi="Times New Roman"/>
          <w:noProof/>
          <w:sz w:val="24"/>
        </w:rPr>
        <w:t xml:space="preserve"> šī sistēma ietver arī pasākumus un ieteikumus turpmākai juridiskās kapacitātes un paredzamības uzlabošanai ES;</w:t>
      </w:r>
    </w:p>
    <w:p>
      <w:pPr>
        <w:pStyle w:val="ListParagraph"/>
        <w:spacing w:before="120" w:after="120" w:line="240" w:lineRule="auto"/>
        <w:ind w:left="360"/>
        <w:jc w:val="both"/>
        <w:rPr>
          <w:rFonts w:ascii="Times New Roman" w:hAnsi="Times New Roman" w:cs="Times New Roman"/>
          <w:noProof/>
          <w:sz w:val="24"/>
          <w:szCs w:val="24"/>
        </w:rPr>
      </w:pPr>
    </w:p>
    <w:p>
      <w:pPr>
        <w:pStyle w:val="ListParagraph"/>
        <w:numPr>
          <w:ilvl w:val="0"/>
          <w:numId w:val="2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pasākumi, ar kuriem tiks atbalstītas </w:t>
      </w:r>
      <w:r>
        <w:rPr>
          <w:rFonts w:ascii="Times New Roman" w:hAnsi="Times New Roman"/>
          <w:b/>
          <w:noProof/>
          <w:sz w:val="24"/>
        </w:rPr>
        <w:t>nozares virzītas iniciatīvas IĪT pārkāpumu apkarošanai</w:t>
      </w:r>
      <w:r>
        <w:rPr>
          <w:rFonts w:ascii="Times New Roman" w:hAnsi="Times New Roman"/>
          <w:noProof/>
          <w:sz w:val="24"/>
        </w:rPr>
        <w:t>, piemēram, brīvprātīgas vienošanās ar starpniekiem un pasākumi labākai piegādes ķēžu aizsardzībai pret viltošanu;</w:t>
      </w:r>
    </w:p>
    <w:p>
      <w:pPr>
        <w:pStyle w:val="ListParagraph"/>
        <w:spacing w:before="120" w:after="120" w:line="240" w:lineRule="auto"/>
        <w:ind w:left="360" w:firstLine="60"/>
        <w:jc w:val="both"/>
        <w:rPr>
          <w:rFonts w:ascii="Times New Roman" w:hAnsi="Times New Roman" w:cs="Times New Roman"/>
          <w:noProof/>
          <w:sz w:val="24"/>
          <w:szCs w:val="24"/>
        </w:rPr>
      </w:pPr>
    </w:p>
    <w:p>
      <w:pPr>
        <w:pStyle w:val="ListParagraph"/>
        <w:numPr>
          <w:ilvl w:val="0"/>
          <w:numId w:val="2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iniciatīvas, kuru mērķis ir </w:t>
      </w:r>
      <w:r>
        <w:rPr>
          <w:rFonts w:ascii="Times New Roman" w:hAnsi="Times New Roman"/>
          <w:b/>
          <w:noProof/>
          <w:sz w:val="24"/>
        </w:rPr>
        <w:t>stiprināt muitas iestāžu un citu iestāžu spēju panākt intelektuālā īpašuma tiesību ievērošanu</w:t>
      </w:r>
      <w:r>
        <w:rPr>
          <w:rFonts w:ascii="Times New Roman" w:hAnsi="Times New Roman"/>
          <w:noProof/>
          <w:sz w:val="24"/>
        </w:rPr>
        <w:t>;</w:t>
      </w:r>
    </w:p>
    <w:p>
      <w:pPr>
        <w:pStyle w:val="ListParagraph"/>
        <w:spacing w:before="120" w:after="120" w:line="240" w:lineRule="auto"/>
        <w:ind w:left="360"/>
        <w:jc w:val="both"/>
        <w:rPr>
          <w:rFonts w:ascii="Times New Roman" w:hAnsi="Times New Roman" w:cs="Times New Roman"/>
          <w:noProof/>
          <w:sz w:val="24"/>
          <w:szCs w:val="24"/>
        </w:rPr>
      </w:pPr>
    </w:p>
    <w:p>
      <w:pPr>
        <w:pStyle w:val="ListParagraph"/>
        <w:numPr>
          <w:ilvl w:val="0"/>
          <w:numId w:val="29"/>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pasākumi </w:t>
      </w:r>
      <w:r>
        <w:rPr>
          <w:rFonts w:ascii="Times New Roman" w:hAnsi="Times New Roman"/>
          <w:b/>
          <w:noProof/>
          <w:sz w:val="24"/>
        </w:rPr>
        <w:t>tādu centienu pastiprināšanai, kas paredzēti IĪT pārkāpumu apkarošanai globālā mērogā</w:t>
      </w:r>
      <w:r>
        <w:rPr>
          <w:rFonts w:ascii="Times New Roman" w:hAnsi="Times New Roman"/>
          <w:noProof/>
          <w:sz w:val="24"/>
        </w:rPr>
        <w:t>, veicinot paraugprakses izmantošanu un stiprinot sadarbību ar trešām valstīm.</w:t>
      </w:r>
      <w:r>
        <w:rPr>
          <w:rStyle w:val="CommentReference"/>
          <w:noProof/>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Lai gan acīmredzami ir nepieciešams stingrāk vērsties pret IĪT pārkāpumiem, ES vienlaikus būtu vajadzīga arī tāda politika, ar kuras palīdzību nodrošināt, ka </w:t>
      </w:r>
      <w:r>
        <w:rPr>
          <w:rFonts w:ascii="Times New Roman" w:hAnsi="Times New Roman"/>
          <w:b/>
          <w:noProof/>
          <w:sz w:val="24"/>
        </w:rPr>
        <w:t xml:space="preserve">IĪT ievērošana tiek saskaņota ar </w:t>
      </w:r>
      <w:r>
        <w:rPr>
          <w:rFonts w:ascii="Times New Roman" w:hAnsi="Times New Roman"/>
          <w:noProof/>
          <w:sz w:val="24"/>
        </w:rPr>
        <w:t>vajadzību</w:t>
      </w:r>
      <w:r>
        <w:rPr>
          <w:rFonts w:ascii="Times New Roman" w:hAnsi="Times New Roman"/>
          <w:b/>
          <w:noProof/>
          <w:sz w:val="24"/>
        </w:rPr>
        <w:t xml:space="preserve"> netraucēti izvērst jaunās un inovatīvās tehnoloģijas</w:t>
      </w:r>
      <w:r>
        <w:rPr>
          <w:rFonts w:ascii="Times New Roman" w:hAnsi="Times New Roman"/>
          <w:noProof/>
          <w:sz w:val="24"/>
        </w:rPr>
        <w:t>. Īpaši svarīgi tas ir situācijās, kad šādas tehnoloģijas tiek iekļautas standartos. Mūsdienu strauji mainīgajā un savstarpēji savienotajā pasaulē plaši izplatīti standarti, kas balstīti uz tehnoloģijām, kuras aizsargātas ar IĪT, un pazīstami ar nosaukumu standartam būtiski patenti (</w:t>
      </w:r>
      <w:r>
        <w:rPr>
          <w:rFonts w:ascii="Times New Roman" w:hAnsi="Times New Roman"/>
          <w:i/>
          <w:noProof/>
          <w:sz w:val="24"/>
        </w:rPr>
        <w:t>SEP</w:t>
      </w:r>
      <w:r>
        <w:rPr>
          <w:rFonts w:ascii="Times New Roman" w:hAnsi="Times New Roman"/>
          <w:noProof/>
          <w:sz w:val="24"/>
        </w:rPr>
        <w:t>), ir vajadzīgi sadarbspējas nodrošināšanai un jo īpaši lietu interneta sekmīgai izvēršanai.</w:t>
      </w:r>
      <w:r>
        <w:rPr>
          <w:rStyle w:val="Ninguno"/>
          <w:rFonts w:ascii="Times New Roman" w:hAnsi="Times New Roman"/>
          <w:noProof/>
          <w:sz w:val="24"/>
        </w:rPr>
        <w:t xml:space="preserve"> Lai garantētu taisnīgu piekļuvi standartizētām tehnoloģijām, </w:t>
      </w:r>
      <w:r>
        <w:rPr>
          <w:rFonts w:ascii="Times New Roman" w:hAnsi="Times New Roman"/>
          <w:noProof/>
          <w:sz w:val="24"/>
        </w:rPr>
        <w:t xml:space="preserve">vienlaikus nodrošinot, ka patentu īpašnieki saņem atlīdzību par ieguldījumiem pētniecībā un izstrādē un standartizācijas pasākumos un tādējādi tiek motivēti iekļaušanai standartos piedāvāt savas vislabākās tehnoloģijas, </w:t>
      </w:r>
      <w:r>
        <w:rPr>
          <w:rStyle w:val="Ninguno"/>
          <w:rFonts w:ascii="Times New Roman" w:hAnsi="Times New Roman"/>
          <w:noProof/>
          <w:sz w:val="24"/>
        </w:rPr>
        <w:t xml:space="preserve">būtiski svarīgs ir līdzsvarots, efektīvs un ilgtspējīgs </w:t>
      </w:r>
      <w:r>
        <w:rPr>
          <w:rStyle w:val="Ninguno"/>
          <w:rFonts w:ascii="Times New Roman" w:hAnsi="Times New Roman"/>
          <w:i/>
          <w:noProof/>
          <w:sz w:val="24"/>
        </w:rPr>
        <w:t>SEP</w:t>
      </w:r>
      <w:r>
        <w:rPr>
          <w:rStyle w:val="Ninguno"/>
          <w:rFonts w:ascii="Times New Roman" w:hAnsi="Times New Roman"/>
          <w:noProof/>
          <w:sz w:val="24"/>
        </w:rPr>
        <w:t xml:space="preserve"> satvars</w:t>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Tādēļ </w:t>
      </w:r>
      <w:r>
        <w:rPr>
          <w:rFonts w:ascii="Times New Roman" w:hAnsi="Times New Roman"/>
          <w:b/>
          <w:i/>
          <w:iCs/>
          <w:noProof/>
          <w:sz w:val="24"/>
        </w:rPr>
        <w:t>SEP</w:t>
      </w:r>
      <w:r>
        <w:rPr>
          <w:rFonts w:ascii="Times New Roman" w:hAnsi="Times New Roman"/>
          <w:b/>
          <w:noProof/>
          <w:sz w:val="24"/>
        </w:rPr>
        <w:t xml:space="preserve"> piemērojamā pieeja ir izklāstīta atsevišķā paziņojumā</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Tajā ir ietvertas norādes un ieteikumi attiecībā uz to, kā paziņojumu sistēmu padarīt pārredzamāku un efektīvāku, ir izskaidroti daži pamatprincipi, kuri attiecas uz taisnīgu, samērīgu un nediskriminējošu praksi (</w:t>
      </w:r>
      <w:r>
        <w:rPr>
          <w:rFonts w:ascii="Times New Roman" w:hAnsi="Times New Roman"/>
          <w:i/>
          <w:noProof/>
          <w:sz w:val="24"/>
        </w:rPr>
        <w:t>FRAND</w:t>
      </w:r>
      <w:r>
        <w:rPr>
          <w:rFonts w:ascii="Times New Roman" w:hAnsi="Times New Roman"/>
          <w:noProof/>
          <w:sz w:val="24"/>
        </w:rPr>
        <w:t xml:space="preserve"> pieeja), un ir sniegtas arī norādes attiecībā uz to, kā nodrošināt tiesībaizsardzību, vienlaikus samazinot ļaunprātīgas tiesāšanās iespējamību. Lielāka skaidrība šajos jautājumos palīdzēs nodrošināt to, ka ES var ieņemt vadošās pozīcijas globālajā tehnoloģiskajā inovācijā, vienlaikus sekmējot tādu jauno tehnoloģiju izvēršanu ES teritorijā kā lietu internets vai 5G, jo tās kalpo par pamatu digitālā vienotā tirgus izveidei.</w:t>
      </w:r>
    </w:p>
    <w:p>
      <w:pPr>
        <w:pStyle w:val="ListParagraph"/>
        <w:numPr>
          <w:ilvl w:val="0"/>
          <w:numId w:val="30"/>
        </w:numPr>
        <w:spacing w:before="360" w:after="240" w:line="240" w:lineRule="auto"/>
        <w:rPr>
          <w:rFonts w:ascii="Times New Roman" w:hAnsi="Times New Roman" w:cs="Times New Roman"/>
          <w:b/>
          <w:noProof/>
          <w:sz w:val="24"/>
          <w:szCs w:val="24"/>
        </w:rPr>
      </w:pPr>
      <w:r>
        <w:rPr>
          <w:rFonts w:ascii="Times New Roman" w:hAnsi="Times New Roman"/>
          <w:b/>
          <w:noProof/>
          <w:sz w:val="24"/>
        </w:rPr>
        <w:t>CEĻĀ UZ EFEKTĪVĀKU UN PROGNOZĒJAMĀKU TIESISKĀS AIZSARDZĪBAS REŽĪMU ES</w:t>
      </w:r>
    </w:p>
    <w:p>
      <w:pPr>
        <w:pStyle w:val="NormalWeb"/>
        <w:jc w:val="both"/>
        <w:rPr>
          <w:noProof/>
        </w:rPr>
      </w:pPr>
      <w:r>
        <w:rPr>
          <w:noProof/>
        </w:rPr>
        <w:t>Saskaņā ar labāka regulējuma pamatnostādnēm</w:t>
      </w:r>
      <w:r>
        <w:rPr>
          <w:rStyle w:val="FootnoteReference"/>
          <w:noProof/>
        </w:rPr>
        <w:footnoteReference w:id="17"/>
      </w:r>
      <w:r>
        <w:rPr>
          <w:noProof/>
        </w:rPr>
        <w:t xml:space="preserve"> Komisija ir pabeigusi visaptverošu </w:t>
      </w:r>
      <w:r>
        <w:rPr>
          <w:i/>
          <w:noProof/>
        </w:rPr>
        <w:t>IPRED</w:t>
      </w:r>
      <w:r>
        <w:rPr>
          <w:noProof/>
        </w:rPr>
        <w:t xml:space="preserve"> īstenošanas novērtējumu. Tā rezultāti liecina, ka šī direktīva ir palīdzējusi izveidot kopīgu tiesisko regulējumu, kura ietvaros civiltiesās visā ES teritorijā tiek izmantots viens un tas pats instrumentu kopums, un tas iekšējā tirgū kopumā nodrošina augstu aizsardzības līmeni. Direktīva ir arī rosinājusi uzņēmumus izstrādāt Eiropas mēroga izpildes stratēģijas un mudinājusi tiesnešus un juridisko profesiju pārstāvjus apmainīties ar tiesvedības jomā gūto pieredzi. Turklāt novērtējums arī parādīja, ka </w:t>
      </w:r>
      <w:r>
        <w:rPr>
          <w:i/>
          <w:noProof/>
        </w:rPr>
        <w:t>IPRED</w:t>
      </w:r>
      <w:r>
        <w:rPr>
          <w:noProof/>
        </w:rPr>
        <w:t xml:space="preserve"> ir bijusi izmaksu ziņā lietderīga, saskaņota ar citiem ES iejaukšanās pasākumiem, kuriem ir līdzīgi mērķi, un ir radījusi arī pievienoto vērtību ES līmenī. Tādējādi novērtējumā tika secināts, ka </w:t>
      </w:r>
      <w:r>
        <w:rPr>
          <w:i/>
          <w:noProof/>
        </w:rPr>
        <w:t>IPRED</w:t>
      </w:r>
      <w:r>
        <w:rPr>
          <w:noProof/>
        </w:rPr>
        <w:t xml:space="preserve"> joprojām ir piemērota noteikto mērķu sasniegšanai.</w:t>
      </w:r>
    </w:p>
    <w:p>
      <w:pPr>
        <w:pStyle w:val="NormalWeb"/>
        <w:jc w:val="both"/>
        <w:rPr>
          <w:noProof/>
        </w:rPr>
      </w:pPr>
      <w:r>
        <w:rPr>
          <w:noProof/>
        </w:rPr>
        <w:t xml:space="preserve">Taču novērtējumā tika arī konstatēts, ka </w:t>
      </w:r>
      <w:r>
        <w:rPr>
          <w:b/>
          <w:noProof/>
        </w:rPr>
        <w:t xml:space="preserve">atsevišķi </w:t>
      </w:r>
      <w:r>
        <w:rPr>
          <w:b/>
          <w:i/>
          <w:noProof/>
        </w:rPr>
        <w:t>IPRED</w:t>
      </w:r>
      <w:r>
        <w:rPr>
          <w:b/>
          <w:noProof/>
        </w:rPr>
        <w:t xml:space="preserve"> noteikumi </w:t>
      </w:r>
      <w:r>
        <w:rPr>
          <w:noProof/>
        </w:rPr>
        <w:t>(piemēram, attiecībā uz izpildrakstiem, zaudējumiem un tiesāšanās izdevumiem)</w:t>
      </w:r>
      <w:r>
        <w:rPr>
          <w:b/>
          <w:noProof/>
        </w:rPr>
        <w:t xml:space="preserve"> praksē tiek īstenoti un piemēroti atšķirīgos veidos</w:t>
      </w:r>
      <w:r>
        <w:rPr>
          <w:noProof/>
        </w:rPr>
        <w:t xml:space="preserve">. Šīs atšķirības bieži vien ir saistītas ar neskaidrībām un atšķirīgajiem viedokļiem par to, kā noteikumi būtu jāsaprot, jo īpaši saistībā ar jaunās digitālās vides radītajām problēmām. Atšķirību cēlonis varētu būt arī </w:t>
      </w:r>
      <w:r>
        <w:rPr>
          <w:i/>
          <w:noProof/>
        </w:rPr>
        <w:t>IPRED</w:t>
      </w:r>
      <w:r>
        <w:rPr>
          <w:noProof/>
        </w:rPr>
        <w:t xml:space="preserve"> minimālā saskaņošana. Pats galvenais atšķirību iemesls, iespējams, ir tas, ka </w:t>
      </w:r>
      <w:r>
        <w:rPr>
          <w:i/>
          <w:noProof/>
        </w:rPr>
        <w:t>IPRED</w:t>
      </w:r>
      <w:r>
        <w:rPr>
          <w:noProof/>
        </w:rPr>
        <w:t xml:space="preserve"> tiek piemērota ļoti daudzveidīgu valsts civiltiesiskās aizsardzības sistēmu un tiesvedības tradīciju apstākļos. Tāpēc atkarībā no tiesvedības norises vietas rezultāti var būt ļoti atšķirīgi gan pēc būtības, gan efektivitātes vai lietderības ziņā. Tas samazina paredzamību un var apgrūtināt tiesību aizsardzību, jo īpaši pārrobežu kontekstā. </w:t>
      </w:r>
    </w:p>
    <w:p>
      <w:pPr>
        <w:pStyle w:val="NormalWeb"/>
        <w:jc w:val="both"/>
        <w:rPr>
          <w:noProof/>
        </w:rPr>
      </w:pPr>
      <w:r>
        <w:rPr>
          <w:noProof/>
        </w:rPr>
        <w:t xml:space="preserve">Šos konstatējumus apstiprina arī rezultāti, kas tika iegūti sabiedriskajā apspriešanā par </w:t>
      </w:r>
      <w:r>
        <w:rPr>
          <w:i/>
          <w:noProof/>
        </w:rPr>
        <w:t>IPRED</w:t>
      </w:r>
      <w:r>
        <w:rPr>
          <w:noProof/>
        </w:rPr>
        <w:t xml:space="preserve"> novērtēšanu</w:t>
      </w:r>
      <w:r>
        <w:rPr>
          <w:rStyle w:val="FootnoteReference"/>
          <w:noProof/>
        </w:rPr>
        <w:footnoteReference w:id="18"/>
      </w:r>
      <w:r>
        <w:rPr>
          <w:noProof/>
        </w:rPr>
        <w:t xml:space="preserve">. Lai gan vairākums ieinteresēto personu norādīja, ka spēkā esošie noteikumi patiesi ir palīdzējuši aizsargāt intelektuālo īpašumu un novērst IĪT pārkāpumus, daudzi tomēr aicināja nodrošināt lielāku skaidrību attiecībā uz to, kā </w:t>
      </w:r>
      <w:r>
        <w:rPr>
          <w:i/>
          <w:noProof/>
        </w:rPr>
        <w:t>IPRED</w:t>
      </w:r>
      <w:r>
        <w:rPr>
          <w:noProof/>
        </w:rPr>
        <w:t xml:space="preserve"> būtu jāpiemēro praksē. Tiesību īpašnieki un starpnieki jo īpaši norādīja, ka </w:t>
      </w:r>
      <w:r>
        <w:rPr>
          <w:i/>
          <w:noProof/>
        </w:rPr>
        <w:t>IPRED</w:t>
      </w:r>
      <w:r>
        <w:rPr>
          <w:noProof/>
        </w:rPr>
        <w:t xml:space="preserve"> paredzētie pasākumi, procedūras un aizsardzības līdzekļi visās dalībvalstīs netiek piemēroti konsekventā veidā, kā rezultātā ES pastāv dažādi aizsardzības līmeņi. Lai gan intelektuālā īpašuma tiesību ievērošana pati par sevi ir uzskatāma par pamattiesībām</w:t>
      </w:r>
      <w:r>
        <w:rPr>
          <w:rStyle w:val="FootnoteReference"/>
          <w:noProof/>
        </w:rPr>
        <w:footnoteReference w:id="19"/>
      </w:r>
      <w:r>
        <w:rPr>
          <w:noProof/>
        </w:rPr>
        <w:t>, pilsoņi tomēr pauda bažas par savu pamattiesību ievērošanu IĪT aizsardzības procedūrās.</w:t>
      </w:r>
    </w:p>
    <w:p>
      <w:pPr>
        <w:pStyle w:val="NormalWeb"/>
        <w:jc w:val="both"/>
        <w:rPr>
          <w:b/>
          <w:bCs/>
          <w:i/>
          <w:noProof/>
        </w:rPr>
      </w:pPr>
      <w:r>
        <w:rPr>
          <w:b/>
          <w:bCs/>
          <w:i/>
          <w:noProof/>
        </w:rPr>
        <w:t xml:space="preserve">Norādes attiecībā uz </w:t>
      </w:r>
      <w:r>
        <w:rPr>
          <w:b/>
          <w:bCs/>
          <w:iCs/>
          <w:noProof/>
        </w:rPr>
        <w:t>IPRED</w:t>
      </w:r>
    </w:p>
    <w:p>
      <w:pPr>
        <w:pStyle w:val="NormalWeb"/>
        <w:jc w:val="both"/>
        <w:rPr>
          <w:noProof/>
        </w:rPr>
      </w:pPr>
      <w:r>
        <w:rPr>
          <w:noProof/>
        </w:rPr>
        <w:t xml:space="preserve">Lai nodrošinātu konsekventāku un efektīvāku </w:t>
      </w:r>
      <w:r>
        <w:rPr>
          <w:i/>
          <w:noProof/>
        </w:rPr>
        <w:t>IPRED</w:t>
      </w:r>
      <w:r>
        <w:rPr>
          <w:noProof/>
        </w:rPr>
        <w:t xml:space="preserve"> piemērošanu, Komisija atsevišķa paziņojuma formā izdeva </w:t>
      </w:r>
      <w:r>
        <w:rPr>
          <w:b/>
          <w:noProof/>
        </w:rPr>
        <w:t xml:space="preserve">norādes par </w:t>
      </w:r>
      <w:r>
        <w:rPr>
          <w:b/>
          <w:i/>
          <w:noProof/>
        </w:rPr>
        <w:t>IPRED</w:t>
      </w:r>
      <w:r>
        <w:rPr>
          <w:b/>
          <w:noProof/>
        </w:rPr>
        <w:t xml:space="preserve"> paredzēto pasākumu, procedūru un tiesiskās aizsardzības līdzekļu interpretēšanu un piemērošanu</w:t>
      </w:r>
      <w:r>
        <w:rPr>
          <w:rStyle w:val="FootnoteReference"/>
          <w:noProof/>
        </w:rPr>
        <w:footnoteReference w:id="20"/>
      </w:r>
      <w:r>
        <w:rPr>
          <w:noProof/>
        </w:rPr>
        <w:t xml:space="preserve">. Atsaucoties uz Tiesas judikatūru un pieejamo paraugpraksi, norāžu dokumentā ir izklāstīts Komisijas viedoklis par tiem </w:t>
      </w:r>
      <w:r>
        <w:rPr>
          <w:i/>
          <w:noProof/>
        </w:rPr>
        <w:t>IPRED</w:t>
      </w:r>
      <w:r>
        <w:rPr>
          <w:noProof/>
        </w:rPr>
        <w:t xml:space="preserve"> noteikumiem, kuri ir radījuši interpretācijas problēmas. Minētajā dokumentā, kurā atspoguļoti novērtējuma un sabiedriskās apspriešanas rezultāti, ir aplūkoti galvenie </w:t>
      </w:r>
      <w:r>
        <w:rPr>
          <w:i/>
          <w:noProof/>
        </w:rPr>
        <w:t>IPRED</w:t>
      </w:r>
      <w:r>
        <w:rPr>
          <w:noProof/>
        </w:rPr>
        <w:t xml:space="preserve"> aspekti, proti:</w:t>
      </w:r>
    </w:p>
    <w:p>
      <w:pPr>
        <w:pStyle w:val="ListParagraph"/>
        <w:numPr>
          <w:ilvl w:val="0"/>
          <w:numId w:val="2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tās darbības joma; </w:t>
      </w:r>
    </w:p>
    <w:p>
      <w:pPr>
        <w:pStyle w:val="ListParagraph"/>
        <w:numPr>
          <w:ilvl w:val="0"/>
          <w:numId w:val="2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skaidrojums par to, ko nozīmē prasība, ka minētajiem pasākumiem, procedūrām un aizsardzības līdzekļiem cita starpā ir jābūt “taisnīgiem”; </w:t>
      </w:r>
    </w:p>
    <w:p>
      <w:pPr>
        <w:pStyle w:val="ListParagraph"/>
        <w:numPr>
          <w:ilvl w:val="0"/>
          <w:numId w:val="2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noteikumi attiecībā uz pierādījumiem, tiesībām uz informāciju, tiesībām uz pagaidu un piesardzības pasākumiem un izpildrakstiem;</w:t>
      </w:r>
    </w:p>
    <w:p>
      <w:pPr>
        <w:pStyle w:val="ListParagraph"/>
        <w:numPr>
          <w:ilvl w:val="0"/>
          <w:numId w:val="2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kompensācija par nodarīto kaitējumu (zaudējumi); kā arī </w:t>
      </w:r>
    </w:p>
    <w:p>
      <w:pPr>
        <w:pStyle w:val="ListParagraph"/>
        <w:numPr>
          <w:ilvl w:val="0"/>
          <w:numId w:val="2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tiesāšanās izdevumu atmaksa. </w:t>
      </w:r>
    </w:p>
    <w:p>
      <w:pPr>
        <w:pStyle w:val="NormalWeb"/>
        <w:jc w:val="both"/>
        <w:rPr>
          <w:noProof/>
        </w:rPr>
      </w:pPr>
      <w:r>
        <w:rPr>
          <w:noProof/>
        </w:rPr>
        <w:t xml:space="preserve">Dokumentā ir sniegtas norādes arī par to, kā </w:t>
      </w:r>
      <w:r>
        <w:rPr>
          <w:i/>
          <w:noProof/>
        </w:rPr>
        <w:t>IPRED</w:t>
      </w:r>
      <w:r>
        <w:rPr>
          <w:noProof/>
        </w:rPr>
        <w:t xml:space="preserve"> paredzētos pasākumus piemērot tā, lai panāktu pareizo līdzsvaru starp dažādām pamattiesībām, kas var tikt aplūkotas intelektuālā īpašuma lietu izskatīšanas laikā, vienlaikus izvairoties no nesamērīgiem tiesvedības rezultātiem un ļaunprātīgas tiesāšanās.</w:t>
      </w:r>
    </w:p>
    <w:p>
      <w:pPr>
        <w:pStyle w:val="NormalWeb"/>
        <w:jc w:val="both"/>
        <w:rPr>
          <w:noProof/>
        </w:rPr>
      </w:pPr>
      <w:r>
        <w:rPr>
          <w:noProof/>
        </w:rPr>
        <w:t xml:space="preserve">Tiesvedība intelektuālā īpašuma lietās var notikt vienlaikus vairākās dalībvalstīs, jo īpaši šajā digitālajā laikmetā. Piemēram, autortiesību īpašniekiem, kuri vēlas apkarot nelegāla satura izplatīšanu tiešsaistē, prasības par vienu un to pašu pārkāpumu var nākties iesniegt vairākās dalībvalstīs vienlaikus. Tomēr, viena un tā paša pārkāpuma gadījumā iesniedzot pieteikumu tiesiskās aizsardzības saņemšanai vairāk nekā vienā jurisdikcijā, parasti rodas ievērojamas izmaksas un nākas kārtot ilgstošas procedūras, jo īpaši gadījumos, kad nepastāv vienotas ES intelektuālā īpašuma tiesības un kad atšķirīgo materiālo tiesību normu dēļ dažādus izņēmumus un ierobežojumus dalībvalstīs var piemērot atšķirīgi. Lai gan norādes attiecībā uz </w:t>
      </w:r>
      <w:r>
        <w:rPr>
          <w:i/>
          <w:noProof/>
        </w:rPr>
        <w:t>IPRED</w:t>
      </w:r>
      <w:r>
        <w:rPr>
          <w:noProof/>
        </w:rPr>
        <w:t xml:space="preserve"> neatrisina un nemaz nevar atrisināt visas šajā jomā pastāvošās problēmas</w:t>
      </w:r>
      <w:r>
        <w:rPr>
          <w:noProof/>
          <w:vertAlign w:val="superscript"/>
        </w:rPr>
        <w:footnoteReference w:id="21"/>
      </w:r>
      <w:r>
        <w:rPr>
          <w:noProof/>
        </w:rPr>
        <w:t xml:space="preserve">, tām tomēr būtu jāatvieglo tiesību īpašnieku iesaistīšanās </w:t>
      </w:r>
      <w:r>
        <w:rPr>
          <w:b/>
          <w:noProof/>
        </w:rPr>
        <w:t>pārrobežu tiesvedībā</w:t>
      </w:r>
      <w:r>
        <w:rPr>
          <w:noProof/>
        </w:rPr>
        <w:t xml:space="preserve">, palīdzot panākt saskaņotāku </w:t>
      </w:r>
      <w:r>
        <w:rPr>
          <w:i/>
          <w:noProof/>
        </w:rPr>
        <w:t>IPRED</w:t>
      </w:r>
      <w:r>
        <w:rPr>
          <w:noProof/>
        </w:rPr>
        <w:t xml:space="preserve"> interpretēšanu un piemērošanu.</w:t>
      </w:r>
    </w:p>
    <w:p>
      <w:pPr>
        <w:pStyle w:val="NormalWeb"/>
        <w:jc w:val="both"/>
        <w:rPr>
          <w:noProof/>
        </w:rPr>
      </w:pPr>
      <w:r>
        <w:rPr>
          <w:noProof/>
        </w:rPr>
        <w:t>Norādes nekādi neskar tiesībaizsardzības pasākumus, kurus Komisija varētu īstenot saskaņā ar LESD 258. pantu un kuri atbilst norāžu dokumentā izklāstītajai interpretācijai.</w:t>
      </w:r>
    </w:p>
    <w:p>
      <w:pPr>
        <w:spacing w:line="240" w:lineRule="auto"/>
        <w:jc w:val="both"/>
        <w:rPr>
          <w:rFonts w:ascii="Times New Roman" w:hAnsi="Times New Roman" w:cs="Times New Roman"/>
          <w:noProof/>
          <w:sz w:val="24"/>
          <w:szCs w:val="24"/>
        </w:rPr>
      </w:pPr>
      <w:r>
        <w:rPr>
          <w:rFonts w:ascii="Times New Roman" w:hAnsi="Times New Roman"/>
          <w:b/>
          <w:noProof/>
          <w:sz w:val="24"/>
        </w:rPr>
        <w:t>Starpnieku</w:t>
      </w:r>
      <w:r>
        <w:rPr>
          <w:rFonts w:ascii="Times New Roman" w:hAnsi="Times New Roman"/>
          <w:noProof/>
          <w:sz w:val="24"/>
        </w:rPr>
        <w:t xml:space="preserve">, jo īpaši tiešsaistes starpnieku, uzdevumi un atbildība gan novērtējumā, gan sabiedriskajā apspriešanā tika minēti kā jautājumi, kas rada ievērojamas bažas ieinteresēto personu vidū. Kā paskaidrots norādēs, iespēja izdot pret starpnieku vērstu izpildrakstu saskaņā ar </w:t>
      </w:r>
      <w:r>
        <w:rPr>
          <w:rFonts w:ascii="Times New Roman" w:hAnsi="Times New Roman"/>
          <w:i/>
          <w:noProof/>
          <w:sz w:val="24"/>
        </w:rPr>
        <w:t>IPRED</w:t>
      </w:r>
      <w:r>
        <w:rPr>
          <w:rFonts w:ascii="Times New Roman" w:hAnsi="Times New Roman"/>
          <w:noProof/>
          <w:sz w:val="24"/>
        </w:rPr>
        <w:t xml:space="preserve"> nebūt nav atkarīga no starpnieka atbildības par (iespējamo) konkrēto pārkāpumu</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Direktīva par elektronisko tirdzniecību</w:t>
      </w:r>
      <w:r>
        <w:rPr>
          <w:rFonts w:ascii="Times New Roman" w:hAnsi="Times New Roman"/>
          <w:noProof/>
          <w:sz w:val="24"/>
          <w:vertAlign w:val="superscript"/>
        </w:rPr>
        <w:footnoteReference w:id="23"/>
      </w:r>
      <w:r>
        <w:rPr>
          <w:rFonts w:ascii="Times New Roman" w:hAnsi="Times New Roman"/>
          <w:noProof/>
          <w:sz w:val="24"/>
        </w:rPr>
        <w:t xml:space="preserve"> faktiski paredz nosacījumus, saskaņā ar kuriem noteiktus tiešsaistes starpniekus var atbrīvot no atbildības. Lai gan Komisija </w:t>
      </w:r>
      <w:r>
        <w:rPr>
          <w:rStyle w:val="Ninguno"/>
          <w:rFonts w:ascii="Times New Roman" w:hAnsi="Times New Roman"/>
          <w:noProof/>
          <w:sz w:val="24"/>
        </w:rPr>
        <w:t>2016. gada paziņojumā par tiešsaistes platformām</w:t>
      </w:r>
      <w:r>
        <w:rPr>
          <w:rStyle w:val="Ninguno"/>
          <w:rFonts w:ascii="Times New Roman" w:hAnsi="Times New Roman"/>
          <w:noProof/>
          <w:sz w:val="24"/>
          <w:vertAlign w:val="superscript"/>
        </w:rPr>
        <w:footnoteReference w:id="24"/>
      </w:r>
      <w:r>
        <w:rPr>
          <w:rStyle w:val="Ninguno"/>
          <w:rFonts w:ascii="Times New Roman" w:hAnsi="Times New Roman"/>
          <w:noProof/>
          <w:sz w:val="24"/>
        </w:rPr>
        <w:t xml:space="preserve"> pauda viedokli, ka </w:t>
      </w:r>
      <w:r>
        <w:rPr>
          <w:rFonts w:ascii="Times New Roman" w:hAnsi="Times New Roman"/>
          <w:noProof/>
          <w:sz w:val="24"/>
        </w:rPr>
        <w:t>minētajā direktīvā noteiktais regulējums joprojām ir piemērots noteikto mērķu sasniegšanai, Komisija nesen izdeva konkrētas norādes</w:t>
      </w:r>
      <w:r>
        <w:rPr>
          <w:rStyle w:val="FootnoteReference"/>
          <w:rFonts w:ascii="Times New Roman" w:hAnsi="Times New Roman"/>
          <w:noProof/>
          <w:sz w:val="24"/>
        </w:rPr>
        <w:footnoteReference w:id="25"/>
      </w:r>
      <w:r>
        <w:rPr>
          <w:rFonts w:ascii="Times New Roman" w:hAnsi="Times New Roman"/>
          <w:noProof/>
          <w:sz w:val="24"/>
        </w:rPr>
        <w:t>, kas izstrādātas, lai vienlaikus nodrošinātu nelegāla tiešsaistes satura, tostarp tāda satura, ar kuru tiek pārkāptas IĪT, ātru un efektīvu atklāšanu un izņemšanu no interneta un nepieciešamos tiesiskās aizsardzības pasākumus, piemēram, īstenojot tā dēvētās paziņošanas un rīcības procedūras. Komisijas priekšlikumā direktīvai par autortiesībām digitālajā vienotajā tirgū ir paredzēti konkrēti īpaši instrumenti un mehānismi, kuru nolūks ir izveidot autortiesību ziņā labi funkcionējošu tirgu, jo īpaši tādi pienācīgi pasākumi, kurus noteikti tiešsaistes pakalpojumu sniedzēji īsteno, lai sadarbībā ar tiesību īpašniekiem novērstu ar autortiesībām aizsargāta satura pieejamību bez šo tiesību īpašnieku piekrišanas.</w:t>
      </w:r>
    </w:p>
    <w:p>
      <w:pPr>
        <w:spacing w:line="240" w:lineRule="auto"/>
        <w:jc w:val="both"/>
        <w:rPr>
          <w:rFonts w:ascii="Times New Roman" w:hAnsi="Times New Roman" w:cs="Times New Roman"/>
          <w:b/>
          <w:i/>
          <w:noProof/>
          <w:sz w:val="24"/>
          <w:szCs w:val="24"/>
        </w:rPr>
      </w:pPr>
      <w:r>
        <w:rPr>
          <w:rFonts w:ascii="Times New Roman" w:hAnsi="Times New Roman"/>
          <w:b/>
          <w:i/>
          <w:noProof/>
          <w:sz w:val="24"/>
        </w:rPr>
        <w:t>Spēcīgākas “par IĪT izpildi informētas zināšanu kopienas” izveide: tiesiskās aizsardzības uzlabošana ES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Novērtējums parādīja, ka daudzi tiesību īpašnieki sūdzas par grūtībām, kas saistītas ar piekļuvi tiesībaizsardzības iestādēm, par ilgām un dārgām procedūrām un neparedzamiem rezultātiem. Novērtējumā tika konstatēts arī pārredzamības un paredzamības trūkums attiecībā uz to, kā tiek vadīta tiesvedība un kāds ir tās (iespējamais) iznākums. Kopumā var secināt, ka tādi faktori kā valstu civiltiesību tradīciju un tiesu prakses atšķirības joprojām kavē paredzamas un konsekventas sistēmas izveidi IĪT izpildei ES teritorijā.</w:t>
      </w:r>
    </w:p>
    <w:p>
      <w:pPr>
        <w:pStyle w:val="NormalWeb"/>
        <w:jc w:val="both"/>
        <w:rPr>
          <w:noProof/>
        </w:rPr>
      </w:pPr>
      <w:r>
        <w:rPr>
          <w:noProof/>
        </w:rPr>
        <w:t xml:space="preserve">Šajā kontekstā Komisija papildus izstrādātajām norādēm attiecībā uz </w:t>
      </w:r>
      <w:r>
        <w:rPr>
          <w:i/>
          <w:noProof/>
        </w:rPr>
        <w:t>IPRED</w:t>
      </w:r>
      <w:r>
        <w:rPr>
          <w:noProof/>
        </w:rPr>
        <w:t xml:space="preserve"> </w:t>
      </w:r>
      <w:r>
        <w:rPr>
          <w:b/>
          <w:noProof/>
        </w:rPr>
        <w:t>aicina dalībvalstis pastiprināt centienus nodrošināt efektīvus un paredzamus civiltiesiskās aizsardzības līdzekļus</w:t>
      </w:r>
      <w:r>
        <w:rPr>
          <w:noProof/>
        </w:rPr>
        <w:t xml:space="preserve">, kas vērsti pret IĪT pārkāpumiem ES, saskaņā ar </w:t>
      </w:r>
      <w:r>
        <w:rPr>
          <w:i/>
          <w:noProof/>
        </w:rPr>
        <w:t>IPRED</w:t>
      </w:r>
      <w:r>
        <w:rPr>
          <w:noProof/>
        </w:rPr>
        <w:t xml:space="preserve"> un nākotnē atbalstīs šos centienus. Lielāka pārredzamība un paredzamība noteikti būtu liels ieguvums, jo īpaši MVU. Tas atvieglotu MVU piekļuvi tiesu iestādēm un palīdzētu sekmēt izmaksu ziņā pieejamu apdrošināšanas shēmu izvēršanu tiesvedības vajadzībām IĪT jomā</w:t>
      </w:r>
      <w:r>
        <w:rPr>
          <w:rStyle w:val="FootnoteReference"/>
          <w:noProof/>
        </w:rPr>
        <w:footnoteReference w:id="26"/>
      </w:r>
      <w:r>
        <w:rPr>
          <w:noProof/>
        </w:rPr>
        <w:t>.</w:t>
      </w:r>
    </w:p>
    <w:p>
      <w:pPr>
        <w:pStyle w:val="NormalWeb"/>
        <w:jc w:val="both"/>
        <w:rPr>
          <w:noProof/>
        </w:rPr>
      </w:pPr>
      <w:r>
        <w:rPr>
          <w:noProof/>
        </w:rPr>
        <w:t xml:space="preserve">Pirmais solis šajā virzienā būs Komisijas ciešā sadarbība ar dalībvalstīm un ieinteresētajām personām, lai iepriekšminēto norāžu dokumentu vajadzības gadījumā papildinātu ar </w:t>
      </w:r>
      <w:r>
        <w:rPr>
          <w:b/>
          <w:noProof/>
        </w:rPr>
        <w:t>turpmākām vēl precīzākām norādēm</w:t>
      </w:r>
      <w:r>
        <w:rPr>
          <w:noProof/>
        </w:rPr>
        <w:t>, kuru mērķis būs atbalstīt vienveidīgu un efektīvu IĪT izpildi ES. Šajā sakarā Komisija kopā ar valstu ekspertiem, tostarp valstu tiesnešiem un citām ieinteresētajām personām, noteiks dažus konkrētus jautājumus un problemātiskās jomas, kurās lieti noderētu vēl plašākas konkrētas norādes, kuras balstītos uz paraugpraksi. Kā konkrētu piemēru šeit var minēt zaudējumu aprēķināšanu un pierādījumus, kas iesniedzami, lai varētu saņemt kompensāciju par IĪT pārkāpumu radīto kaitējumu.</w:t>
      </w:r>
    </w:p>
    <w:p>
      <w:pPr>
        <w:pStyle w:val="NormalWeb"/>
        <w:jc w:val="both"/>
        <w:rPr>
          <w:noProof/>
        </w:rPr>
      </w:pPr>
      <w:r>
        <w:rPr>
          <w:noProof/>
        </w:rPr>
        <w:t>Komisija visas norādes par IĪT izpildi plāno publicēt tiešsaistē, cita starpā arī portālā “Tava Eiropa”</w:t>
      </w:r>
      <w:r>
        <w:rPr>
          <w:rStyle w:val="FootnoteReference"/>
          <w:noProof/>
        </w:rPr>
        <w:footnoteReference w:id="27"/>
      </w:r>
      <w:r>
        <w:rPr>
          <w:noProof/>
        </w:rPr>
        <w:t>, lai praktiska rakstura informācija par IĪT tiesisko aizsardzību ES būtu pieejama ne vien tiesnešiem un juridisko profesiju pārstāvjiem, bet visām ieinteresētajām personām.</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Turklāt, kā parādīja </w:t>
      </w:r>
      <w:r>
        <w:rPr>
          <w:rFonts w:ascii="Times New Roman" w:hAnsi="Times New Roman"/>
          <w:i/>
          <w:noProof/>
          <w:sz w:val="24"/>
        </w:rPr>
        <w:t>IPRED</w:t>
      </w:r>
      <w:r>
        <w:rPr>
          <w:rFonts w:ascii="Times New Roman" w:hAnsi="Times New Roman"/>
          <w:noProof/>
          <w:sz w:val="24"/>
        </w:rPr>
        <w:t xml:space="preserve"> novērtējums, efektīvai un lietderīgai </w:t>
      </w:r>
      <w:r>
        <w:rPr>
          <w:rFonts w:ascii="Times New Roman" w:hAnsi="Times New Roman"/>
          <w:i/>
          <w:noProof/>
          <w:sz w:val="24"/>
        </w:rPr>
        <w:t>IPRED</w:t>
      </w:r>
      <w:r>
        <w:rPr>
          <w:rFonts w:ascii="Times New Roman" w:hAnsi="Times New Roman"/>
          <w:noProof/>
          <w:sz w:val="24"/>
        </w:rPr>
        <w:t xml:space="preserve"> paredzēto pasākumu, procedūru un aizsardzības līdzekļu izmantošanai ļoti svarīgi ir </w:t>
      </w:r>
      <w:r>
        <w:rPr>
          <w:rFonts w:ascii="Times New Roman" w:hAnsi="Times New Roman"/>
          <w:b/>
          <w:noProof/>
          <w:sz w:val="24"/>
        </w:rPr>
        <w:t>tiesneši, kas specializējušies IĪT un jo īpaši IĪT izpildes jautājumos</w:t>
      </w:r>
      <w:r>
        <w:rPr>
          <w:rFonts w:ascii="Times New Roman" w:hAnsi="Times New Roman"/>
          <w:noProof/>
          <w:sz w:val="24"/>
        </w:rPr>
        <w:t>. Šāda specializēšanās var nodrošināt ievērojamas priekšrocības, jo īpaši ātrāku, efektīvāku un konsekventāku lēmumu pieņemšanu, kas savukārt nodrošina lielāku juridisko noteiktību. Tādēļ Komisija aicina dalībvalstis sekmēt šādu specializēšanos.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Vēl viens elements, kas nepieciešams efektīvākas un konsekventākas IĪT izpildes nodrošināšanai ES, ir </w:t>
      </w:r>
      <w:r>
        <w:rPr>
          <w:rFonts w:ascii="Times New Roman" w:hAnsi="Times New Roman"/>
          <w:b/>
          <w:noProof/>
          <w:sz w:val="24"/>
        </w:rPr>
        <w:t>tiesnešu apmācības</w:t>
      </w:r>
      <w:r>
        <w:rPr>
          <w:rFonts w:ascii="Times New Roman" w:hAnsi="Times New Roman"/>
          <w:noProof/>
          <w:sz w:val="24"/>
        </w:rPr>
        <w:t xml:space="preserve"> pieejamība un </w:t>
      </w:r>
      <w:r>
        <w:rPr>
          <w:rFonts w:ascii="Times New Roman" w:hAnsi="Times New Roman"/>
          <w:b/>
          <w:noProof/>
          <w:sz w:val="24"/>
        </w:rPr>
        <w:t>paraugprakses izstrāde</w:t>
      </w:r>
      <w:r>
        <w:rPr>
          <w:rFonts w:ascii="Times New Roman" w:hAnsi="Times New Roman"/>
          <w:noProof/>
          <w:sz w:val="24"/>
        </w:rPr>
        <w:t>. Lai atbalstītu dalībvalstu centienus šajā jomā, Komisija pastiprinās sadarbību ar Novērošanas centru, lai izstrādātu visaptverošu tiesnešiem paredzētu semināru un apmācību programmu. Tādējādi tiktu sekmēta kontaktu veidošana un savstarpēja mācīšanās to tiesnešu starpā, kuri izskata IĪT pārkāpumus.</w:t>
      </w:r>
      <w:r>
        <w:rPr>
          <w:noProof/>
        </w:rPr>
        <w:t xml:space="preserve"> </w:t>
      </w:r>
      <w:r>
        <w:rPr>
          <w:rFonts w:ascii="Times New Roman" w:hAnsi="Times New Roman"/>
          <w:noProof/>
          <w:sz w:val="24"/>
        </w:rPr>
        <w:t>Šajā sakarībā jānorāda, ka 2018. gadā ir ieplānoti trīs šādi semināri.</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Visbeidzot, IĪT izpildes lietās pieņemto spriedumu </w:t>
      </w:r>
      <w:r>
        <w:rPr>
          <w:rFonts w:ascii="Times New Roman" w:hAnsi="Times New Roman"/>
          <w:b/>
          <w:noProof/>
          <w:sz w:val="24"/>
        </w:rPr>
        <w:t>pārredzamība</w:t>
      </w:r>
      <w:r>
        <w:rPr>
          <w:rFonts w:ascii="Times New Roman" w:hAnsi="Times New Roman"/>
          <w:noProof/>
          <w:sz w:val="24"/>
        </w:rPr>
        <w:t xml:space="preserve"> ir būtisks priekšnosacījums zināšanu apmaiņai vienotajā tirgū, lielākai paredzamībai un pārrobežu diskusijām starp IĪT jomas praktiķiem. Taču līdz šim tikai dažas dalībvalstis ir publicējušas ar IĪT saistītu judikatūru tam īpaši paredzētās tīmekļa vietnēs, un noteikumi par šādas judikatūras pieejamību un publicēšanu ir ļoti dažādi. Tādēļ Komisija aicina dalībvalstis </w:t>
      </w:r>
      <w:r>
        <w:rPr>
          <w:rFonts w:ascii="Times New Roman" w:hAnsi="Times New Roman"/>
          <w:b/>
          <w:noProof/>
          <w:sz w:val="24"/>
        </w:rPr>
        <w:t>sistemātiski publicēt</w:t>
      </w:r>
      <w:r>
        <w:rPr>
          <w:rFonts w:ascii="Times New Roman" w:hAnsi="Times New Roman"/>
          <w:noProof/>
          <w:sz w:val="24"/>
        </w:rPr>
        <w:t xml:space="preserve"> ar IĪT pārkāpumiem saistītās lietās pieņemtos tiesu lēmumus — vismaz tos lēmumus, kas pieņemti apelācijas tiesās un vēl augstāku instanču tiesās</w:t>
      </w:r>
      <w:r>
        <w:rPr>
          <w:rFonts w:ascii="Times New Roman" w:hAnsi="Times New Roman"/>
          <w:noProof/>
          <w:sz w:val="24"/>
          <w:vertAlign w:val="superscript"/>
        </w:rPr>
        <w:footnoteReference w:id="28"/>
      </w:r>
      <w:r>
        <w:rPr>
          <w:rFonts w:ascii="Times New Roman" w:hAnsi="Times New Roman"/>
          <w:noProof/>
          <w:sz w:val="24"/>
        </w:rPr>
        <w:t xml:space="preserve">. Savukārt Komisija kopā ar </w:t>
      </w:r>
      <w:r>
        <w:rPr>
          <w:rFonts w:ascii="Times New Roman" w:hAnsi="Times New Roman"/>
          <w:i/>
          <w:noProof/>
          <w:sz w:val="24"/>
        </w:rPr>
        <w:t>EUIPO</w:t>
      </w:r>
      <w:r>
        <w:rPr>
          <w:rFonts w:ascii="Times New Roman" w:hAnsi="Times New Roman"/>
          <w:noProof/>
          <w:sz w:val="24"/>
        </w:rPr>
        <w:t xml:space="preserve"> un Novērošanas centru pastiprināti strādās pie </w:t>
      </w:r>
      <w:r>
        <w:rPr>
          <w:rFonts w:ascii="Times New Roman" w:hAnsi="Times New Roman"/>
          <w:i/>
          <w:noProof/>
          <w:sz w:val="24"/>
        </w:rPr>
        <w:t>EUIPO</w:t>
      </w:r>
      <w:r>
        <w:rPr>
          <w:rFonts w:ascii="Times New Roman" w:hAnsi="Times New Roman"/>
          <w:noProof/>
          <w:sz w:val="24"/>
        </w:rPr>
        <w:t xml:space="preserve"> izveidotās </w:t>
      </w:r>
      <w:r>
        <w:rPr>
          <w:rFonts w:ascii="Times New Roman" w:hAnsi="Times New Roman"/>
          <w:b/>
          <w:noProof/>
          <w:sz w:val="24"/>
        </w:rPr>
        <w:t>judikatūras datubāzes</w:t>
      </w:r>
      <w:r>
        <w:rPr>
          <w:rFonts w:ascii="Times New Roman" w:hAnsi="Times New Roman"/>
          <w:noProof/>
          <w:sz w:val="24"/>
        </w:rPr>
        <w:t>, lai padarītu to iespējami vispusīgāku un lietotājiem ērtāku.</w:t>
      </w:r>
    </w:p>
    <w:p>
      <w:pPr>
        <w:pStyle w:val="Default"/>
        <w:spacing w:before="120" w:after="120"/>
        <w:jc w:val="both"/>
        <w:rPr>
          <w:noProof/>
          <w:sz w:val="23"/>
          <w:szCs w:val="23"/>
        </w:rPr>
      </w:pPr>
      <w:r>
        <w:rPr>
          <w:noProof/>
        </w:rPr>
        <w:t xml:space="preserve">Papildus efektīvākām tiesiskās aizsardzības sistēmām ir jāapsver arī iespēja izveidot papildu </w:t>
      </w:r>
      <w:r>
        <w:rPr>
          <w:b/>
          <w:noProof/>
        </w:rPr>
        <w:t>strīdu alternatīvas izšķiršanas</w:t>
      </w:r>
      <w:r>
        <w:rPr>
          <w:noProof/>
        </w:rPr>
        <w:t xml:space="preserve"> mehānismus. Strīdu alternatīvas izšķiršanas mehānismu izmantošana mediācijā un arbitrāžā var kalpot kā alternatīvs līdzeklis IĪT izpildei. Lai gan IĪT prasību izskatīšanā šī iespēja joprojām tiek izmantota visai reti, strīdu alternatīvas izšķiršanas risinājumiem tomēr ir arī savas priekšrocības (piemēram, pārrobežu problēmas var atrisināt daudz vieglāk, un strīdu alternatīvas izšķiršanas process var būt ātrāks un lētāks nekā tradicionālā tiesvedība). Komisija kopā ar </w:t>
      </w:r>
      <w:r>
        <w:rPr>
          <w:i/>
          <w:noProof/>
        </w:rPr>
        <w:t>EUIPO</w:t>
      </w:r>
      <w:r>
        <w:rPr>
          <w:noProof/>
        </w:rPr>
        <w:t xml:space="preserve"> patlaban apzina pašreizējos strīdu alternatīvas izšķiršanas mehānismus un analizē ieguvumus, ko sniegtu mediācijas centra izveide </w:t>
      </w:r>
      <w:r>
        <w:rPr>
          <w:i/>
          <w:noProof/>
        </w:rPr>
        <w:t>EUIPO</w:t>
      </w:r>
      <w:r>
        <w:rPr>
          <w:noProof/>
        </w:rPr>
        <w:t xml:space="preserve"> paspārnē, lai tajā izskatītu preču zīmju un dizainparaugu jautājumus. Tā plāno sadarboties arī ar topošo Vienoto patentu tiesu, lai sekmētu mediācijas un arbitrāžas sniegto iespēju izmantošanu patentu lietu izskatīšanā. Šai sadarbībai vajadzētu palīdzēt izvērst ES intelektuālā īpašuma starpniecības un arbitrāžas tīklu, kā norādīts Jaunuzņēmumu un augošo uzņēmumu atbalsta iniciatīvā</w:t>
      </w:r>
      <w:r>
        <w:rPr>
          <w:rStyle w:val="FootnoteReference"/>
          <w:noProof/>
        </w:rPr>
        <w:footnoteReference w:id="29"/>
      </w:r>
      <w:r>
        <w:rPr>
          <w:noProof/>
          <w:sz w:val="23"/>
        </w:rPr>
        <w:t>.</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Lai vēl vairāk uzlabotu tiesiskās aizsardzības sistēmu Eiropas Savienībā, Komisija:</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sniedz norādes attiecībā uz to, kā interpretēt un piemērot IĪT piemērošanas direktīvas (</w:t>
      </w:r>
      <w:r>
        <w:rPr>
          <w:b/>
          <w:i/>
          <w:noProof/>
          <w:sz w:val="23"/>
        </w:rPr>
        <w:t>IPRED</w:t>
      </w:r>
      <w:r>
        <w:rPr>
          <w:b/>
          <w:noProof/>
          <w:sz w:val="23"/>
        </w:rPr>
        <w:t>) galvenos noteikumus;</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xml:space="preserve">– kopā ar dalībvalstu ekspertiem un tiesnešiem strādās pie turpmāku vēl mērķtiecīgāku pamatnostādņu izstrādes, lai, pamatojoties uz paraugpraksi, nodrošinātu vēl detalizētākus un praktiskus norādījumus attiecībā uz konkrētiem </w:t>
      </w:r>
      <w:r>
        <w:rPr>
          <w:b/>
          <w:i/>
          <w:noProof/>
          <w:sz w:val="23"/>
        </w:rPr>
        <w:t>IPRED</w:t>
      </w:r>
      <w:r>
        <w:rPr>
          <w:b/>
          <w:noProof/>
          <w:sz w:val="23"/>
        </w:rPr>
        <w:t xml:space="preserve"> reglamentētajiem jautājumiem; </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nodrošinās iepriekš minēto pamatnostādņu un paraugprakses piemēru pieejamību tiešsaistē, cita starpā arī portālā “Tava Eiropa”;</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aicina dalībvalstis sekmēt tiesnešu specializēšanos IĪT un IĪT izpildes jautājumos un sistemātiski publicēt IĪT izpildes lietās pieņemtos spriedumus;</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xml:space="preserve">– kopā ar </w:t>
      </w:r>
      <w:r>
        <w:rPr>
          <w:b/>
          <w:i/>
          <w:noProof/>
          <w:sz w:val="23"/>
        </w:rPr>
        <w:t>EUIPO</w:t>
      </w:r>
      <w:r>
        <w:rPr>
          <w:b/>
          <w:noProof/>
          <w:sz w:val="23"/>
        </w:rPr>
        <w:t xml:space="preserve"> veiks turpmākus pasākumus, lai sekmētu strīdu alternatīvas izšķiršanas iespēju plašāku izmantošanu ar intelektuālo īpašumu saistītu strīdu risināšanā, tostarp apzinot pašreizējos strīdu alternatīvas izšķiršanas mehānismus un analizējot ieguvumus, ko sniegtu mediācijas centra izveide </w:t>
      </w:r>
      <w:r>
        <w:rPr>
          <w:b/>
          <w:i/>
          <w:noProof/>
          <w:sz w:val="23"/>
        </w:rPr>
        <w:t>EUIPO</w:t>
      </w:r>
      <w:r>
        <w:rPr>
          <w:b/>
          <w:noProof/>
          <w:sz w:val="23"/>
        </w:rPr>
        <w:t xml:space="preserve"> paspārnē.</w:t>
      </w:r>
    </w:p>
    <w:p>
      <w:pPr>
        <w:pStyle w:val="ListParagraph"/>
        <w:numPr>
          <w:ilvl w:val="0"/>
          <w:numId w:val="30"/>
        </w:numPr>
        <w:spacing w:before="360" w:after="240" w:line="240" w:lineRule="auto"/>
        <w:rPr>
          <w:rFonts w:ascii="Times New Roman" w:hAnsi="Times New Roman" w:cs="Times New Roman"/>
          <w:b/>
          <w:caps/>
          <w:noProof/>
          <w:sz w:val="24"/>
          <w:szCs w:val="24"/>
        </w:rPr>
      </w:pPr>
      <w:r>
        <w:rPr>
          <w:rFonts w:ascii="Times New Roman" w:hAnsi="Times New Roman"/>
          <w:b/>
          <w:noProof/>
          <w:sz w:val="24"/>
        </w:rPr>
        <w:t>NOZARES VIRZĪTU INICIATĪVU PASTIPRINĀŠANA, LAI NOVĒRSTU</w:t>
      </w:r>
      <w:r>
        <w:rPr>
          <w:rFonts w:ascii="Times New Roman" w:hAnsi="Times New Roman"/>
          <w:b/>
          <w:caps/>
          <w:noProof/>
          <w:sz w:val="24"/>
        </w:rPr>
        <w:t xml:space="preserve"> UN APKAROTU IĪT PĀRKĀPUMUS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Cīņā pret IĪT pārkāpumiem kopīgi būtu jāiesaistās visiem dalībniekiem — gan publiskajiem, gan privātajiem — un būtu jāizmanto ne vien tiesiskās aizsardzības līdzekļi, bet visi iespējamie rīki. Komisija vairāku gadu garumā ir sadarbojusies ar nozaru pārstāvjiem, lai atbalstītu un veicinātu nozares virzītus pasākumus, kas vērsti pret IĪT pārkāpumiem. Galvenā doma ir sekmēt </w:t>
      </w:r>
      <w:r>
        <w:rPr>
          <w:rFonts w:ascii="Times New Roman" w:hAnsi="Times New Roman"/>
          <w:b/>
          <w:noProof/>
          <w:sz w:val="24"/>
        </w:rPr>
        <w:t>uzticamības pārbaužu veikšanu</w:t>
      </w:r>
      <w:r>
        <w:rPr>
          <w:rFonts w:ascii="Times New Roman" w:hAnsi="Times New Roman"/>
          <w:noProof/>
          <w:sz w:val="24"/>
        </w:rPr>
        <w:t xml:space="preserve"> no visu to personu puses, kuras varētu būt iesaistītas tādu produktu vai satura izstrādes darbībās un darījumos ar tiem, ar kuriem, iespējams, tiek pārkāptas IĪT, — šīs personas ir piegādātāji, reklāmas aģentūras, maksājumu pakalpojumu sniedzēji, kā arī paši tiesību īpašnieki. Neraugoties uz ievērojamo progresu, ir iespējams darīt daudz vairāk un ir jādara daudz vairāk, lai pārtrauktu tādu preču un prakses izplatīšanu, ar kuru tiek pārkāptas IĪT.</w:t>
      </w:r>
    </w:p>
    <w:p>
      <w:pPr>
        <w:spacing w:before="120" w:after="120" w:line="240" w:lineRule="auto"/>
        <w:jc w:val="both"/>
        <w:rPr>
          <w:rFonts w:ascii="Times New Roman" w:hAnsi="Times New Roman" w:cs="Times New Roman"/>
          <w:b/>
          <w:i/>
          <w:noProof/>
          <w:sz w:val="24"/>
          <w:szCs w:val="24"/>
        </w:rPr>
      </w:pPr>
      <w:r>
        <w:rPr>
          <w:rFonts w:ascii="Times New Roman" w:hAnsi="Times New Roman"/>
          <w:b/>
          <w:i/>
          <w:noProof/>
          <w:sz w:val="24"/>
        </w:rPr>
        <w:t xml:space="preserve">Brīvprātīgu vienošanos potenciāla pilnvērtīga izmantošana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Komisija mudina biežāk organizēt ieinteresēto personu dialogus, lai sekmētu efektīvu sadarbību starp nozaru partneriem cīņā pret IĪT pārkāpumiem un lai izplatītu nozares paraugpraksi. Pirmais Saprašanās memorands starp tiesību īpašniekiem un interneta platformām</w:t>
      </w:r>
      <w:r>
        <w:t xml:space="preserve"> </w:t>
      </w:r>
      <w:r>
        <w:rPr>
          <w:rStyle w:val="Ninguno"/>
          <w:rFonts w:ascii="Times New Roman" w:hAnsi="Times New Roman"/>
          <w:noProof/>
          <w:sz w:val="24"/>
        </w:rPr>
        <w:t>tika noslēgts 2011. gadā, un 2016. gadā tas tika atjaunināts</w:t>
      </w:r>
      <w:r>
        <w:rPr>
          <w:rStyle w:val="Ninguno"/>
          <w:rFonts w:ascii="Times New Roman" w:hAnsi="Times New Roman"/>
          <w:noProof/>
          <w:sz w:val="24"/>
          <w:vertAlign w:val="superscript"/>
        </w:rPr>
        <w:footnoteReference w:id="30"/>
      </w:r>
      <w:r>
        <w:rPr>
          <w:rStyle w:val="Ninguno"/>
          <w:rFonts w:ascii="Times New Roman" w:hAnsi="Times New Roman"/>
          <w:noProof/>
          <w:sz w:val="24"/>
        </w:rPr>
        <w:t>.</w:t>
      </w:r>
      <w:r>
        <w:rPr>
          <w:rFonts w:ascii="Times New Roman" w:hAnsi="Times New Roman"/>
          <w:noProof/>
          <w:sz w:val="24"/>
        </w:rPr>
        <w:t xml:space="preserve"> Tajā ir izklāstīta uz sadarbību vērsta pieeja viltotu preču pārdošanas apkarošanai. Jāatzīmē, ka kopš tā pieņemšanas ir panākti vēl divi jauni sasniegumi: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Pirmkārt, šī pirmā viltošanai veltītā saprašanās memoranda kontekstā ir ieviesti </w:t>
      </w:r>
      <w:r>
        <w:rPr>
          <w:rFonts w:ascii="Times New Roman" w:hAnsi="Times New Roman"/>
          <w:b/>
          <w:noProof/>
          <w:sz w:val="24"/>
        </w:rPr>
        <w:t>galvenie darbības rādītāji</w:t>
      </w:r>
      <w:r>
        <w:rPr>
          <w:rFonts w:ascii="Times New Roman" w:hAnsi="Times New Roman"/>
          <w:noProof/>
          <w:sz w:val="24"/>
        </w:rPr>
        <w:t xml:space="preserve"> (GDR), kuri paredzēti tam, lai novērtētu brīvprātīgās vienošanās sniegtos rezultātus un konstatētu iespējamās jomas, kurās nepieciešami turpmāki uzlabojumi. Rezultāti, kas gūti pirmajā uzraudzības ciklā, kurā tika izmantoti šie GDR, liecina, ka </w:t>
      </w:r>
      <w:r>
        <w:rPr>
          <w:rFonts w:ascii="Times New Roman" w:hAnsi="Times New Roman"/>
          <w:b/>
          <w:noProof/>
          <w:sz w:val="24"/>
        </w:rPr>
        <w:t>saprašanās memorands ir izrādījies efektīvs un jau ir nodrošinājis būtiskus rezultātus</w:t>
      </w:r>
      <w:r>
        <w:rPr>
          <w:rFonts w:ascii="Times New Roman" w:hAnsi="Times New Roman"/>
          <w:noProof/>
          <w:sz w:val="24"/>
        </w:rPr>
        <w:t>. Tie parāda, ka brīvprātīga sadarbība var būtiski palīdzēt samazināt viltošanu tiešsaistē un var sniegt efektīvus risinājumus.</w:t>
      </w:r>
      <w:r>
        <w:rPr>
          <w:rFonts w:ascii="Times New Roman" w:hAnsi="Times New Roman"/>
          <w:noProof/>
          <w:color w:val="FF0000"/>
          <w:sz w:val="24"/>
        </w:rPr>
        <w:t xml:space="preserve"> </w:t>
      </w:r>
      <w:r>
        <w:rPr>
          <w:rFonts w:ascii="Times New Roman" w:hAnsi="Times New Roman"/>
          <w:noProof/>
          <w:sz w:val="24"/>
        </w:rPr>
        <w:t xml:space="preserve">Kopš saprašanās memoranda stāšanās spēkā no tiešsaistes platformām ir izņemts ievērojams apjoms viltotu produktu piedāvājumu — galvenokārt tādēļ, ka daudz </w:t>
      </w:r>
      <w:r>
        <w:rPr>
          <w:rStyle w:val="Ninguno"/>
          <w:rFonts w:ascii="Times New Roman" w:hAnsi="Times New Roman"/>
          <w:noProof/>
          <w:sz w:val="24"/>
        </w:rPr>
        <w:t>aktīvāk tiek veikti preventīvi pasākumi</w:t>
      </w:r>
      <w:r>
        <w:rPr>
          <w:rFonts w:ascii="Times New Roman" w:hAnsi="Times New Roman"/>
          <w:noProof/>
          <w:sz w:val="24"/>
        </w:rPr>
        <w:t>. Taču, tā kā preces, ar kurām tiek pārkāptas IĪT, aizvien biežāk atrod ceļu uz vienoto tirgu, Komisija mudina visas saprašanās memoranda puses un jaunos dalībniekus pastiprināt to centienus šajā jomā</w:t>
      </w:r>
      <w:r>
        <w:rPr>
          <w:rStyle w:val="FootnoteReference"/>
          <w:rFonts w:ascii="Times New Roman" w:hAnsi="Times New Roman"/>
          <w:noProof/>
          <w:sz w:val="24"/>
        </w:rPr>
        <w:footnoteReference w:id="31"/>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Otrkārt, ieinteresētās personas Komisijas vadībā patlaban pabeidz darbu pie tāda jauna </w:t>
      </w:r>
      <w:r>
        <w:rPr>
          <w:rFonts w:ascii="Times New Roman" w:hAnsi="Times New Roman"/>
          <w:b/>
          <w:noProof/>
          <w:sz w:val="24"/>
        </w:rPr>
        <w:t xml:space="preserve">saprašanās memoranda </w:t>
      </w:r>
      <w:r>
        <w:rPr>
          <w:rFonts w:ascii="Times New Roman" w:hAnsi="Times New Roman"/>
          <w:noProof/>
          <w:sz w:val="24"/>
        </w:rPr>
        <w:t>noslēgšanas</w:t>
      </w:r>
      <w:r>
        <w:rPr>
          <w:rFonts w:ascii="Times New Roman" w:hAnsi="Times New Roman"/>
          <w:b/>
          <w:noProof/>
          <w:sz w:val="24"/>
        </w:rPr>
        <w:t>, kas veltīts reklāmas aizliegšanai tīmekļa vietnēs, kuras pārkāpj IĪT</w:t>
      </w:r>
      <w:r>
        <w:rPr>
          <w:rFonts w:ascii="Times New Roman" w:hAnsi="Times New Roman"/>
          <w:noProof/>
          <w:sz w:val="24"/>
        </w:rPr>
        <w:t>. Ieņēmumi no reklāmas šādām vietnēm ir būtisks ienākumu avots, un pasākumiem, par kuriem jāpanāk vienošanās, vajadzētu palīdzēt pārtraukt šī IĪT pārkāpējiem būtiskā atbalsta avota pieejamību. Populāru zīmolu un labi zināmu maksājumu pakalpojumu reklāmu izvietošana vietnēs, kuras pārkāpj IĪT, patērētājiem var radīt iespaidu, ka viņu apmeklētā vietne likumīgi nodrošina piekļuvi saturam, precēm vai pakalpojumiem, lai gan patiesībā tas tā nebūt nav. Tas var maldināt patērētājus, graujot viņu uzticību un tādējādi kaitējot zīmola vērtībai.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Patlaban notiek darbs arī pie saprašanās memoranda, kas veltīts </w:t>
      </w:r>
      <w:r>
        <w:rPr>
          <w:rFonts w:ascii="Times New Roman" w:hAnsi="Times New Roman"/>
          <w:b/>
          <w:noProof/>
          <w:sz w:val="24"/>
        </w:rPr>
        <w:t>transporta un kuģniecības nozarēm</w:t>
      </w:r>
      <w:r>
        <w:rPr>
          <w:rFonts w:ascii="Times New Roman" w:hAnsi="Times New Roman"/>
          <w:noProof/>
          <w:sz w:val="24"/>
        </w:rPr>
        <w:t xml:space="preserve">. Tā mērķis ir novērst šo uzņēmumu sniegto pakalpojumu izmantošanu no komerciālo viltotāju puses viltotu preču ievešanai ES teritorijā. Paredzams, ka vēl viens izstrādes procesā esošais saprašanās memorands būs veltīts </w:t>
      </w:r>
      <w:r>
        <w:rPr>
          <w:rFonts w:ascii="Times New Roman" w:hAnsi="Times New Roman"/>
          <w:b/>
          <w:noProof/>
          <w:sz w:val="24"/>
        </w:rPr>
        <w:t>maksājumu pakalpojumu</w:t>
      </w:r>
      <w:r>
        <w:rPr>
          <w:rFonts w:ascii="Times New Roman" w:hAnsi="Times New Roman"/>
          <w:noProof/>
          <w:sz w:val="24"/>
        </w:rPr>
        <w:t xml:space="preserve"> sniedzējiem, kuri nereti ir būtiski svarīgi tādu piedāvājumu izvietošanai tiešsaistē, ar kuriem tiek pārkāptas IĪT.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Komisija atbalsta šo brīvprātīgo vienošanos turpmāku attīstību, jo īpaši tiešsaistes vidē, un centīsies nodrošināt, ka visas iesaistītās puses rīkojas godprātīgi un pilnībā ievērojot ES tiesību aktus un jo īpaši LESD 101. un 102. pantu. Tā arī centīsies nodrošināt pienācīga līdzsvara panākšanu starp dažādajām iesaistīto pušu interesēm un patērētāju tiesību pienācīgu ievērošanu. Tāpat Komisija sekmēs visu sektoru un nozaru pārstāvju plašu līdzdalību šādās vienošanās.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Komisija uzskata, ka šādu saprašanās memorandu uzraudzības pamatā ir jābūt galvenajiem darbības rādītājiem. Lai atlasītu paraugprakses piemērus, noteiktu jomas, kurās nepieciešami turpmāki uzlabojumi, un izvērtētu nepieciešamību pēc likumdošanas pasākumiem ES līmenī, Komisija regulāri sagatavos ziņojumus par šo vienošanos iedarbīgumu.</w:t>
      </w:r>
    </w:p>
    <w:p>
      <w:pPr>
        <w:spacing w:before="120" w:after="120" w:line="240" w:lineRule="auto"/>
        <w:jc w:val="both"/>
        <w:rPr>
          <w:rFonts w:ascii="Times New Roman" w:eastAsia="Times New Roman" w:hAnsi="Times New Roman" w:cs="Times New Roman"/>
          <w:b/>
          <w:bCs/>
          <w:i/>
          <w:smallCaps/>
          <w:noProof/>
          <w:sz w:val="24"/>
          <w:szCs w:val="24"/>
        </w:rPr>
      </w:pPr>
      <w:r>
        <w:rPr>
          <w:rFonts w:ascii="Times New Roman" w:hAnsi="Times New Roman"/>
          <w:b/>
          <w:i/>
          <w:noProof/>
          <w:sz w:val="24"/>
        </w:rPr>
        <w:t>Piegādes ķēžu aizsardzība pret IĪT pārkāpumu draudiem</w:t>
      </w:r>
    </w:p>
    <w:p>
      <w:pPr>
        <w:spacing w:after="0" w:line="240" w:lineRule="auto"/>
        <w:jc w:val="both"/>
        <w:rPr>
          <w:rFonts w:ascii="Times New Roman" w:eastAsia="Times New Roman" w:hAnsi="Times New Roman" w:cs="Times New Roman"/>
          <w:noProof/>
          <w:sz w:val="24"/>
          <w:szCs w:val="20"/>
        </w:rPr>
      </w:pPr>
      <w:r>
        <w:rPr>
          <w:rFonts w:ascii="Times New Roman" w:hAnsi="Times New Roman"/>
          <w:noProof/>
          <w:sz w:val="24"/>
        </w:rPr>
        <w:t>Vēl viena Komisijas, nozares pārstāvju un citu partneru kopīgā darba virziena mērķis ir aizsargāt piegādes ķēdes pret viltošanas un citu IĪT pārkāpumu draudiem. Arī šajā jomā problēmu kļūst aizvien vairāk. Darbseminārā par uzticamības pārbaudēm un piegādes ķēdes integritāti IĪT aizsardzības nodrošināšanai 2015. gadā</w:t>
      </w:r>
      <w:r>
        <w:rPr>
          <w:rStyle w:val="FootnoteReference"/>
          <w:rFonts w:ascii="Times New Roman" w:hAnsi="Times New Roman"/>
          <w:noProof/>
          <w:sz w:val="24"/>
        </w:rPr>
        <w:footnoteReference w:id="32"/>
      </w:r>
      <w:r>
        <w:rPr>
          <w:rFonts w:ascii="Times New Roman" w:hAnsi="Times New Roman"/>
          <w:noProof/>
          <w:sz w:val="24"/>
        </w:rPr>
        <w:t xml:space="preserve"> tika secināts, ka uzņēmumiem aizvien biežāk nākas saskarties ar gadījumiem, kad to piegādes ķēdēs nonāk viltoti produkti (piemēram, viltotas elektroniskās detaļas). Tas lielākoties ir iespējams tādēļ, ka piegādes ķēdes kļūst aizvien sarežģītākas, un uzņēmumiem, jo īpaši MVU, bieži vien ir grūti uzraudzīt savus piegādātājus un apakšpiegādātājus. Turklāt jauno tehnoloģiju un interneta parādīšanās noteikumu pārkāpējiem ir palīdzējusi uzlabot viltošanas metodes un iefiltrēties likumīgās piegādes ķēdēs. Ir atlasīti paraugprakses piemēri piegādes ķēdes pārredzamības nodrošināšanai (risku pārvaldība, uzņēmumu sociālā atbildība), taču IĪT pārkāpumu atklāšanai un apkarošanai tie netiek regulāri izmantoti. Uzticamības pārbaužu trūkums vājina piegādes ķēdes drošību un ļauj tirgot viltotas preces, kas kaitē uzņēmumiem un apdraud iedzīvotājus.</w:t>
      </w:r>
    </w:p>
    <w:p>
      <w:pPr>
        <w:spacing w:after="0" w:line="240" w:lineRule="auto"/>
        <w:jc w:val="both"/>
        <w:rPr>
          <w:rFonts w:ascii="Times New Roman" w:eastAsia="Times New Roman" w:hAnsi="Times New Roman" w:cs="Times New Roman"/>
          <w:noProof/>
          <w:sz w:val="24"/>
          <w:szCs w:val="20"/>
        </w:rPr>
      </w:pPr>
    </w:p>
    <w:p>
      <w:pPr>
        <w:spacing w:line="240" w:lineRule="auto"/>
        <w:jc w:val="both"/>
        <w:rPr>
          <w:rFonts w:ascii="Times New Roman" w:hAnsi="Times New Roman" w:cs="Times New Roman"/>
          <w:noProof/>
          <w:sz w:val="24"/>
          <w:szCs w:val="24"/>
        </w:rPr>
      </w:pPr>
      <w:r>
        <w:rPr>
          <w:rFonts w:ascii="Times New Roman" w:hAnsi="Times New Roman"/>
          <w:noProof/>
          <w:sz w:val="24"/>
        </w:rPr>
        <w:t>Komisija uzskata, ka steidzami ir nepieciešams vēl vairāk aizsargāt piegādes ķēdes no viltojumiem. To var panākt, izmēģinot jaunus instrumentus un palīdzot veidot un izplatīt paraugpraksi.</w:t>
      </w:r>
    </w:p>
    <w:p>
      <w:pPr>
        <w:spacing w:line="240" w:lineRule="auto"/>
        <w:jc w:val="both"/>
        <w:rPr>
          <w:rFonts w:ascii="Times New Roman" w:hAnsi="Times New Roman" w:cs="Times New Roman"/>
          <w:noProof/>
          <w:sz w:val="24"/>
          <w:szCs w:val="24"/>
        </w:rPr>
      </w:pPr>
      <w:r>
        <w:rPr>
          <w:rFonts w:ascii="Times New Roman" w:hAnsi="Times New Roman"/>
          <w:noProof/>
          <w:sz w:val="24"/>
        </w:rPr>
        <w:t>Preču izsekojamība ir piegādes ķēdes drošības, patērētāju drošības un produktu kvalitātes stūrakmens. Tāpēc Komisija centīsies pastiprināt sadarbību starp tiesību īpašniekiem un tādiem svarīgiem tirgus dalībniekiem kā standartu organizācijas un drošības risinājumu sniedzēji, lai sekmētu izsekojamības tehnoloģiju izplatīšanu</w:t>
      </w:r>
      <w:r>
        <w:rPr>
          <w:rStyle w:val="FootnoteReference"/>
          <w:rFonts w:ascii="Times New Roman" w:hAnsi="Times New Roman"/>
          <w:noProof/>
          <w:sz w:val="24"/>
        </w:rPr>
        <w:footnoteReference w:id="33"/>
      </w:r>
      <w:r>
        <w:rPr>
          <w:rFonts w:ascii="Times New Roman" w:hAnsi="Times New Roman"/>
          <w:noProof/>
          <w:sz w:val="24"/>
        </w:rPr>
        <w:t xml:space="preserve"> un atbalstītu tādu jaunu izsekojamības un autentifikācijas sistēmu rašanos kā </w:t>
      </w:r>
      <w:r>
        <w:rPr>
          <w:rFonts w:ascii="Times New Roman" w:hAnsi="Times New Roman"/>
          <w:b/>
          <w:noProof/>
          <w:sz w:val="24"/>
        </w:rPr>
        <w:t>blokķēžu tehnoloģija</w:t>
      </w:r>
      <w:r>
        <w:rPr>
          <w:rFonts w:ascii="Times New Roman" w:hAnsi="Times New Roman"/>
          <w:noProof/>
          <w:sz w:val="24"/>
        </w:rPr>
        <w:t>. Šis kopīgotais digitālais reģistrs, kurā reģistrē aktīvus, darījumus un tirgus dalībniekus, sniedz vērtīgu informāciju par produktu izcelsmi un vēsturi, lai tos varētu vieglāk izsekot un autentificēt. Tādējādi risinājumi, kuru pamatā ir blokķēžu tehnoloģija, varētu pavērt iespējas ātri atklāt viltotas detaļas vai produktus, kas iekļuvuši likumīgās piegādes ķēdēs, kā arī novērst šo preču iespējamo novirzīšanu uz nelegāliem tirgiem</w:t>
      </w:r>
      <w:r>
        <w:rPr>
          <w:rStyle w:val="FootnoteReference"/>
          <w:rFonts w:ascii="Times New Roman" w:hAnsi="Times New Roman"/>
          <w:noProof/>
          <w:sz w:val="24"/>
        </w:rPr>
        <w:footnoteReference w:id="34"/>
      </w:r>
      <w:r>
        <w:rPr>
          <w:rFonts w:ascii="Times New Roman" w:hAnsi="Times New Roman"/>
          <w:noProof/>
          <w:sz w:val="24"/>
        </w:rPr>
        <w:t xml:space="preserve">. Sava projekta </w:t>
      </w:r>
      <w:r>
        <w:rPr>
          <w:rFonts w:ascii="Times New Roman" w:hAnsi="Times New Roman"/>
          <w:i/>
          <w:noProof/>
          <w:sz w:val="24"/>
        </w:rPr>
        <w:t>#Blockchain4EU: Blockchain for Industrial Transformations</w:t>
      </w:r>
      <w:r>
        <w:rPr>
          <w:rFonts w:ascii="Times New Roman" w:hAnsi="Times New Roman"/>
          <w:noProof/>
          <w:sz w:val="24"/>
        </w:rPr>
        <w:t xml:space="preserve"> (</w:t>
      </w:r>
      <w:r>
        <w:rPr>
          <w:rFonts w:ascii="Times New Roman" w:hAnsi="Times New Roman"/>
          <w:i/>
          <w:noProof/>
          <w:sz w:val="24"/>
        </w:rPr>
        <w:t>#Blockchain4EU</w:t>
      </w:r>
      <w:r>
        <w:rPr>
          <w:rFonts w:ascii="Times New Roman" w:hAnsi="Times New Roman"/>
          <w:noProof/>
          <w:sz w:val="24"/>
        </w:rPr>
        <w:t xml:space="preserve">: blokķēžu tehnoloģija rūpniecības strukturālajām pārmaiņām) ietvaros Komisija analizē, kā blokķēžu tehnoloģiju var izmantot piegādes ķēžu pārredzamības uzlabošanai un labākai IĪT aizsardzībai. Komisija sadarbībā ar Novērošanas centru turpinās arī kartēt un izmēģināt (jo īpaši ar </w:t>
      </w:r>
      <w:r>
        <w:rPr>
          <w:rFonts w:ascii="Times New Roman" w:hAnsi="Times New Roman"/>
          <w:i/>
          <w:noProof/>
          <w:sz w:val="24"/>
        </w:rPr>
        <w:t>Blockathon</w:t>
      </w:r>
      <w:r>
        <w:rPr>
          <w:rFonts w:ascii="Times New Roman" w:hAnsi="Times New Roman"/>
          <w:noProof/>
          <w:sz w:val="24"/>
        </w:rPr>
        <w:t xml:space="preserve"> starpniecību) dažādus iespējamos blokķēžu tehnoloģijas lietojumus cīņā pret viltotām precēm un noteiks iespējamos juridiskos un ekonomiskos šķēršļus, kas varētu kavēt tās ieviešanu</w:t>
      </w:r>
      <w:r>
        <w:rPr>
          <w:rStyle w:val="FootnoteReference"/>
          <w:rFonts w:ascii="Times New Roman" w:hAnsi="Times New Roman"/>
          <w:noProof/>
          <w:sz w:val="24"/>
        </w:rPr>
        <w:footnoteReference w:id="35"/>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Turklāt joprojām ir iespējams arī palielināt informētību un plašāk izplatīt paraugpraksi. Nozaru pārstāvji ir jāinformē par nepieciešamību aizsargāt to piegādes ķēdes un jāmudina veikt pasākumus labākas aizsardzības nodrošināšanai. Noderīgu instrumentu šajā kontekstā var sniegt </w:t>
      </w:r>
      <w:r>
        <w:rPr>
          <w:rFonts w:ascii="Times New Roman" w:hAnsi="Times New Roman"/>
          <w:b/>
          <w:noProof/>
          <w:sz w:val="24"/>
        </w:rPr>
        <w:t>intelektuālā īpašuma aizsardzības turpmāka iekļaušana akreditācijas procesos</w:t>
      </w:r>
      <w:r>
        <w:rPr>
          <w:rFonts w:ascii="Times New Roman" w:hAnsi="Times New Roman"/>
          <w:noProof/>
          <w:sz w:val="24"/>
        </w:rPr>
        <w:t>. Piemēram, 2017. gada 10. maijā tika pieņemts jaunais ISO standarts attiecībā uz ilgtspējīgu publisko iepirkumu (ISO 20400), kurā pirmo reizi iekļauta tieša atsauce uz pasākumiem, kas paredzēti IĪT pārkāpumu apkarošanai. Komisija tagad centīsies turpināt popularizēt šo standartu dažādās uzņēmumiem paredzētās informatīvās sesijās</w:t>
      </w:r>
      <w:r>
        <w:rPr>
          <w:rStyle w:val="FootnoteReference"/>
          <w:rFonts w:ascii="Times New Roman" w:hAnsi="Times New Roman"/>
          <w:noProof/>
          <w:sz w:val="24"/>
        </w:rPr>
        <w:footnoteReference w:id="36"/>
      </w:r>
      <w:r>
        <w:rPr>
          <w:rFonts w:ascii="Times New Roman" w:hAnsi="Times New Roman"/>
          <w:noProof/>
          <w:sz w:val="24"/>
        </w:rPr>
        <w:t xml:space="preserve"> vai arī lielākos IĪT izpildei veltītos pasākumos</w:t>
      </w:r>
      <w:r>
        <w:rPr>
          <w:rStyle w:val="FootnoteReference"/>
          <w:rFonts w:ascii="Times New Roman" w:hAnsi="Times New Roman"/>
          <w:noProof/>
          <w:sz w:val="24"/>
        </w:rPr>
        <w:footnoteReference w:id="37"/>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Turklāt Komisija arī vairāk pievērsīsies jautājumam par to, kā intelektuālā īpašuma standartu ievērošanu nākotnē varētu iekļaut </w:t>
      </w:r>
      <w:r>
        <w:rPr>
          <w:rFonts w:ascii="Times New Roman" w:hAnsi="Times New Roman"/>
          <w:b/>
          <w:noProof/>
          <w:sz w:val="24"/>
        </w:rPr>
        <w:t>“atzītā uzņēmēja” (</w:t>
      </w:r>
      <w:r>
        <w:rPr>
          <w:rFonts w:ascii="Times New Roman" w:hAnsi="Times New Roman"/>
          <w:b/>
          <w:i/>
          <w:noProof/>
          <w:sz w:val="24"/>
        </w:rPr>
        <w:t>AEO</w:t>
      </w:r>
      <w:r>
        <w:rPr>
          <w:rFonts w:ascii="Times New Roman" w:hAnsi="Times New Roman"/>
          <w:b/>
          <w:noProof/>
          <w:sz w:val="24"/>
        </w:rPr>
        <w:t>) statusa</w:t>
      </w:r>
      <w:r>
        <w:rPr>
          <w:rStyle w:val="FootnoteReference"/>
          <w:rFonts w:ascii="Times New Roman" w:hAnsi="Times New Roman"/>
          <w:bCs/>
          <w:noProof/>
          <w:sz w:val="24"/>
        </w:rPr>
        <w:footnoteReference w:id="38"/>
      </w:r>
      <w:r>
        <w:rPr>
          <w:rFonts w:ascii="Times New Roman" w:hAnsi="Times New Roman"/>
          <w:b/>
          <w:noProof/>
          <w:sz w:val="24"/>
        </w:rPr>
        <w:t xml:space="preserve"> </w:t>
      </w:r>
      <w:r>
        <w:rPr>
          <w:rFonts w:ascii="Times New Roman" w:hAnsi="Times New Roman"/>
          <w:noProof/>
          <w:sz w:val="24"/>
        </w:rPr>
        <w:t xml:space="preserve">iegūšanas procesā. </w:t>
      </w:r>
      <w:r>
        <w:rPr>
          <w:rFonts w:ascii="Times New Roman" w:hAnsi="Times New Roman"/>
          <w:i/>
          <w:noProof/>
          <w:sz w:val="24"/>
        </w:rPr>
        <w:t>AEO</w:t>
      </w:r>
      <w:r>
        <w:rPr>
          <w:rFonts w:ascii="Times New Roman" w:hAnsi="Times New Roman"/>
          <w:noProof/>
          <w:sz w:val="24"/>
        </w:rPr>
        <w:t xml:space="preserve"> koncepta pamatā ir Pasaules Muitas organizācijas (PMO) muitas un uzņēmēju partnerība. </w:t>
      </w:r>
      <w:r>
        <w:rPr>
          <w:rFonts w:ascii="Times New Roman" w:hAnsi="Times New Roman"/>
          <w:i/>
          <w:noProof/>
          <w:sz w:val="24"/>
        </w:rPr>
        <w:t>AEO</w:t>
      </w:r>
      <w:r>
        <w:rPr>
          <w:rFonts w:ascii="Times New Roman" w:hAnsi="Times New Roman"/>
          <w:noProof/>
          <w:sz w:val="24"/>
        </w:rPr>
        <w:t xml:space="preserve"> statusu uzņēmumiem piešķir muitas iestādes, un tas uzņēmējiem sniedz zināmus atvieglojumus muitas procedūrās. Šo statusu var saņemt visi piegādes ķēdes dalībnieki, kuri atbilst noteiktiem kvalitātes kritērijiem, kas izklāstīti ES muitas noteikumos, un cieši sadarbojas ar muitas iestādēm, lai nodrošinātu piegādes ķēžu drošību un integritāti. Viltošanas apkarošana šajā kontekstā varētu iegūt vēl lielāku nozīmi. Lai palielinātu piegādes ķēdes drošību, uzņēmēji tiek mudināti izvēlēties uzticamus partnerus, kuri jau ir ieviesuši efektīvas atbilstības nodrošināšanas shēmas, piemēram, </w:t>
      </w:r>
      <w:r>
        <w:rPr>
          <w:rFonts w:ascii="Times New Roman" w:hAnsi="Times New Roman"/>
          <w:i/>
          <w:noProof/>
          <w:sz w:val="24"/>
        </w:rPr>
        <w:t>AEO</w:t>
      </w:r>
      <w:r>
        <w:rPr>
          <w:rFonts w:ascii="Times New Roman" w:hAnsi="Times New Roman"/>
          <w:noProof/>
          <w:sz w:val="24"/>
        </w:rPr>
        <w: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Visbeidzot, īpaša uzmanība būtu jāpievērš </w:t>
      </w:r>
      <w:r>
        <w:rPr>
          <w:rFonts w:ascii="Times New Roman" w:hAnsi="Times New Roman"/>
          <w:b/>
          <w:noProof/>
          <w:sz w:val="24"/>
        </w:rPr>
        <w:t>MVU situācijai</w:t>
      </w:r>
      <w:r>
        <w:rPr>
          <w:rFonts w:ascii="Times New Roman" w:hAnsi="Times New Roman"/>
          <w:noProof/>
          <w:sz w:val="24"/>
        </w:rPr>
        <w:t xml:space="preserve">, jo to rīcībā bieži vien ir visai ierobežoti līdzekļi, kurus tie var veltīt savu piegādes ķēžu aizsardzībai. </w:t>
      </w:r>
      <w:r>
        <w:rPr>
          <w:rFonts w:ascii="Times New Roman" w:hAnsi="Times New Roman"/>
          <w:i/>
          <w:noProof/>
          <w:sz w:val="24"/>
        </w:rPr>
        <w:t>EUIPO</w:t>
      </w:r>
      <w:r>
        <w:rPr>
          <w:rFonts w:ascii="Times New Roman" w:hAnsi="Times New Roman"/>
          <w:noProof/>
          <w:sz w:val="24"/>
        </w:rPr>
        <w:t xml:space="preserve"> ir uzsācis īpašu pētījumu, kas veltīts šiem jautājumiem, lai atlasītu paraugprakses piemērus un piedāvātu konkrētus risinājumus.</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rPr>
      </w:pPr>
      <w:r>
        <w:rPr>
          <w:rFonts w:ascii="Times New Roman" w:hAnsi="Times New Roman"/>
          <w:b/>
          <w:noProof/>
          <w:sz w:val="24"/>
        </w:rPr>
        <w:t>Komisija aicina nozares pārstāvjus veikt vajadzīgās uzticamības pārbaudes, lai apkarotu IĪT pārkāpumus. Lai nozaru pārstāvjiem sniegtu atbalstu šajos centienos un sekmētu paraugprakses izveidi, Komisija:</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rPr>
      </w:pPr>
      <w:r>
        <w:rPr>
          <w:rFonts w:ascii="Times New Roman" w:hAnsi="Times New Roman"/>
          <w:b/>
          <w:noProof/>
          <w:sz w:val="24"/>
        </w:rPr>
        <w:t>– vēl vairāk sadarbosies ar ieinteresētajām personām, lai uzlabotu un paplašinātu brīvprātīgu vienošanos noslēgšanu ar mērķi apkarot IĪT pārkāpumus. Tā centīsies sekmēt mērķtiecīgu saprašanās memorandu noslēgšanu starp tiesību īpašniekiem, interneta platformām, reklāmas uzņēmumiem, kravu nosūtītājiem un maksājumu pakalpojumu sniedzējiem;</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rPr>
      </w:pPr>
      <w:r>
        <w:rPr>
          <w:rFonts w:ascii="Times New Roman" w:hAnsi="Times New Roman"/>
          <w:b/>
          <w:noProof/>
          <w:sz w:val="24"/>
        </w:rPr>
        <w:t>– turpinās uzraudzīt šādu saprašanās memorandu darbību un efektivitāti un ziņos par šīs uzraudzības rezultātiem;</w:t>
      </w:r>
    </w:p>
    <w:p>
      <w:pPr>
        <w:pBdr>
          <w:top w:val="single" w:sz="4" w:space="1" w:color="auto"/>
          <w:left w:val="single" w:sz="4" w:space="4" w:color="auto"/>
          <w:bottom w:val="single" w:sz="4" w:space="1" w:color="auto"/>
          <w:right w:val="single" w:sz="4" w:space="4" w:color="auto"/>
        </w:pBdr>
        <w:spacing w:before="120" w:after="120" w:line="240" w:lineRule="auto"/>
        <w:jc w:val="both"/>
        <w:rPr>
          <w:b/>
          <w:noProof/>
        </w:rPr>
      </w:pPr>
      <w:r>
        <w:rPr>
          <w:rFonts w:ascii="Times New Roman" w:hAnsi="Times New Roman"/>
          <w:b/>
          <w:noProof/>
          <w:sz w:val="24"/>
        </w:rPr>
        <w:t>– turpinās veicināt uzticamības pārbaužu veikšanu piegādes ķēdēs, izpētīs jauno tehnoloģiju, piemēram, blokķēžu tehnoloģijas, potenciālu un mudinās izmantot pastāvošās akreditācijas procedūras IĪT ievērošanas shēmu ieviešanai.</w:t>
      </w:r>
    </w:p>
    <w:p>
      <w:pPr>
        <w:pStyle w:val="ListParagraph"/>
        <w:numPr>
          <w:ilvl w:val="0"/>
          <w:numId w:val="30"/>
        </w:numPr>
        <w:spacing w:before="360" w:after="240" w:line="240" w:lineRule="auto"/>
        <w:rPr>
          <w:rFonts w:ascii="Times New Roman" w:hAnsi="Times New Roman" w:cs="Times New Roman"/>
          <w:b/>
          <w:caps/>
          <w:noProof/>
          <w:sz w:val="24"/>
          <w:szCs w:val="24"/>
        </w:rPr>
      </w:pPr>
      <w:r>
        <w:rPr>
          <w:rFonts w:ascii="Times New Roman" w:hAnsi="Times New Roman"/>
          <w:b/>
          <w:noProof/>
          <w:sz w:val="24"/>
        </w:rPr>
        <w:t>IĪT PĀRKĀPUMU APKAROŠANA PASTIPRINĀTAS ADMINISTRATĪVĀS SADARBĪBAS CEĻĀ</w:t>
      </w:r>
      <w:r>
        <w:rPr>
          <w:rFonts w:ascii="Times New Roman" w:hAnsi="Times New Roman"/>
          <w:b/>
          <w:caps/>
          <w:noProof/>
          <w:sz w:val="24"/>
        </w:rPr>
        <w:t xml:space="preserve"> </w:t>
      </w:r>
    </w:p>
    <w:p>
      <w:pPr>
        <w:spacing w:before="120" w:after="120" w:line="240" w:lineRule="auto"/>
        <w:jc w:val="both"/>
        <w:rPr>
          <w:rFonts w:ascii="Times New Roman" w:hAnsi="Times New Roman"/>
          <w:b/>
          <w:noProof/>
          <w:sz w:val="24"/>
        </w:rPr>
      </w:pPr>
      <w:r>
        <w:rPr>
          <w:rFonts w:ascii="Times New Roman" w:hAnsi="Times New Roman"/>
          <w:noProof/>
          <w:sz w:val="24"/>
        </w:rPr>
        <w:t>Šobrīd ir pieejama ļoti plaša informācija par viltoto un pirātisko preču vērtību un to radīto ietekmi</w:t>
      </w:r>
      <w:r>
        <w:rPr>
          <w:rStyle w:val="FootnoteReference"/>
          <w:rFonts w:ascii="Times New Roman" w:hAnsi="Times New Roman"/>
          <w:noProof/>
          <w:sz w:val="24"/>
        </w:rPr>
        <w:footnoteReference w:id="39"/>
      </w:r>
      <w:r>
        <w:rPr>
          <w:rFonts w:ascii="Times New Roman" w:hAnsi="Times New Roman"/>
          <w:noProof/>
          <w:sz w:val="24"/>
        </w:rPr>
        <w:t>, par noziedzīgo organizāciju izcelsmi un maršrutiem, kurus tās izmanto šo preču ievešanai ES teritorijā</w:t>
      </w:r>
      <w:r>
        <w:rPr>
          <w:rStyle w:val="FootnoteReference"/>
          <w:rFonts w:ascii="Times New Roman" w:hAnsi="Times New Roman"/>
          <w:noProof/>
          <w:sz w:val="24"/>
        </w:rPr>
        <w:footnoteReference w:id="40"/>
      </w:r>
      <w:r>
        <w:rPr>
          <w:rFonts w:ascii="Times New Roman" w:hAnsi="Times New Roman"/>
          <w:noProof/>
          <w:sz w:val="24"/>
        </w:rPr>
        <w:t>. Pateicoties apjomīgam datu vākšanas darbam</w:t>
      </w:r>
      <w:r>
        <w:rPr>
          <w:rStyle w:val="FootnoteReference"/>
          <w:rFonts w:ascii="Times New Roman" w:hAnsi="Times New Roman"/>
          <w:noProof/>
          <w:sz w:val="24"/>
        </w:rPr>
        <w:footnoteReference w:id="41"/>
      </w:r>
      <w:r>
        <w:rPr>
          <w:rFonts w:ascii="Times New Roman" w:hAnsi="Times New Roman"/>
          <w:noProof/>
          <w:sz w:val="24"/>
        </w:rPr>
        <w:t>, ir noteiktas visvairāk skartās nozares, ir zināmi izmantotie maršruti un ir pieejami pierādījumi. Tāpēc tagad ir pienācis laiks apvienot spēkus Eiropas Savienībā un pastiprināt cīņu pret IĪT pārkāpumiem pie ES robežām un citur.</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Lai uzlabotu IĪT ievērošanu ES teritorijā, Komisija centīsies </w:t>
      </w:r>
      <w:r>
        <w:rPr>
          <w:rFonts w:ascii="Times New Roman" w:hAnsi="Times New Roman"/>
          <w:b/>
          <w:noProof/>
          <w:sz w:val="24"/>
        </w:rPr>
        <w:t>veicināt sadarbību starp visām attiecīgajām iestādēm</w:t>
      </w:r>
      <w:r>
        <w:rPr>
          <w:rFonts w:ascii="Times New Roman" w:hAnsi="Times New Roman"/>
          <w:noProof/>
          <w:sz w:val="24"/>
        </w:rPr>
        <w:t>. Vispirms tā pētīs, kā viltošanas un pirātisma apkarošanā varētu ciešāk iesaistīt ekonomikas un tirdzniecības kontroles iestādes, kā arī citas patērētāju aizsardzības iestādes. Dažās valstīs tas jau ir paveikts, citās vēl nē. Pamatojoties uz dažās jomās un dalībvalstīs pastāvošo paraugpraksi, Komisija ar dalībvalstīm apspriedīs to, kā nodrošināt visu kompetento iestāžu pienācīgu iesaistīšanos. Komisija turpinās sekmēt paraugprakses apmaiņu dalībvalstu starpā, piemēram, lauksaimniecības pārtikas nozarē, lai jo īpaši nodrošinātu ar ģeogrāfiskās izcelsmes norādēm saistīto tiesību kontroli un izpildi, kā arī turpinās dalībvalstu kontroles struktūru revīzijas programmu.</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Savukārt sadarbībā ar </w:t>
      </w:r>
      <w:r>
        <w:rPr>
          <w:rFonts w:ascii="Times New Roman" w:hAnsi="Times New Roman"/>
          <w:i/>
          <w:noProof/>
          <w:sz w:val="24"/>
        </w:rPr>
        <w:t>EUIPO</w:t>
      </w:r>
      <w:r>
        <w:rPr>
          <w:rFonts w:ascii="Times New Roman" w:hAnsi="Times New Roman"/>
          <w:noProof/>
          <w:sz w:val="24"/>
        </w:rPr>
        <w:t xml:space="preserve"> un Eiropolu Komisija apzinās dažādās datubāzes, kas tiek izmantotas viltošanas apkarošanai, lai noteiktu, kādu datu vēl trūkst un kādas ir iespējas uzlabot datu apmaiņu starp attiecīgajām iestādēm.</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Pamatojoties un savāktajiem pierādījumiem un datiem, Komisija kopā ar </w:t>
      </w:r>
      <w:r>
        <w:rPr>
          <w:rFonts w:ascii="Times New Roman" w:hAnsi="Times New Roman"/>
          <w:i/>
          <w:noProof/>
          <w:sz w:val="24"/>
        </w:rPr>
        <w:t>EUIPO</w:t>
      </w:r>
      <w:r>
        <w:rPr>
          <w:rFonts w:ascii="Times New Roman" w:hAnsi="Times New Roman"/>
          <w:noProof/>
          <w:sz w:val="24"/>
        </w:rPr>
        <w:t xml:space="preserve"> centīsies arī sadarboties ar dalībvalstīm, lai </w:t>
      </w:r>
      <w:r>
        <w:rPr>
          <w:rFonts w:ascii="Times New Roman" w:hAnsi="Times New Roman"/>
          <w:b/>
          <w:noProof/>
          <w:sz w:val="24"/>
        </w:rPr>
        <w:t>vēl vairāk palielinātu sabiedrības informētību</w:t>
      </w:r>
      <w:r>
        <w:rPr>
          <w:rFonts w:ascii="Times New Roman" w:hAnsi="Times New Roman"/>
          <w:noProof/>
          <w:sz w:val="24"/>
        </w:rPr>
        <w:t xml:space="preserve"> par intelektuālā īpašuma nozīmi un IĪT pārkāpumu negatīvajām sekām.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Lai </w:t>
      </w:r>
      <w:r>
        <w:rPr>
          <w:rFonts w:ascii="Times New Roman" w:hAnsi="Times New Roman"/>
          <w:b/>
          <w:noProof/>
          <w:sz w:val="24"/>
        </w:rPr>
        <w:t>apkarotu viltošanu un pirātismu pie Savienības robežām</w:t>
      </w:r>
      <w:r>
        <w:rPr>
          <w:rFonts w:ascii="Times New Roman" w:hAnsi="Times New Roman"/>
          <w:noProof/>
          <w:sz w:val="24"/>
        </w:rPr>
        <w:t xml:space="preserve">, Komisija turpinās palīdzēt dalībvalstīm </w:t>
      </w:r>
      <w:r>
        <w:rPr>
          <w:rFonts w:ascii="Times New Roman" w:hAnsi="Times New Roman"/>
          <w:b/>
          <w:noProof/>
          <w:sz w:val="24"/>
        </w:rPr>
        <w:t xml:space="preserve">muitas pasākumu izpildes </w:t>
      </w:r>
      <w:r>
        <w:rPr>
          <w:rFonts w:ascii="Times New Roman" w:hAnsi="Times New Roman"/>
          <w:noProof/>
          <w:sz w:val="24"/>
        </w:rPr>
        <w:t>nodrošināšanā. Patlaban tā izvērtē, kā laikposmā no 2013. līdz 2017. gadam ir darbojies Muitas rīcības plāns IĪT pārkāpumu apkarošanai</w:t>
      </w:r>
      <w:r>
        <w:rPr>
          <w:rStyle w:val="FootnoteReference"/>
          <w:rFonts w:ascii="Times New Roman" w:hAnsi="Times New Roman"/>
          <w:noProof/>
          <w:sz w:val="24"/>
        </w:rPr>
        <w:footnoteReference w:id="42"/>
      </w:r>
      <w:r>
        <w:rPr>
          <w:rFonts w:ascii="Times New Roman" w:hAnsi="Times New Roman"/>
          <w:noProof/>
          <w:sz w:val="24"/>
        </w:rPr>
        <w:t>. Vēl 2017. gada laikā tā sagatavos ziņojumu un veiks vajadzīgos pasākumus, galveno uzmanību pievēršot šādām prioritātēm:</w:t>
      </w:r>
    </w:p>
    <w:p>
      <w:pPr>
        <w:pStyle w:val="ListParagraph"/>
        <w:numPr>
          <w:ilvl w:val="0"/>
          <w:numId w:val="2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cs="Times New Roman"/>
          <w:noProof/>
          <w:sz w:val="24"/>
          <w:szCs w:val="24"/>
        </w:rPr>
        <w:t>nodrošināt</w:t>
      </w:r>
      <w:r>
        <w:rPr>
          <w:rFonts w:ascii="Times New Roman" w:hAnsi="Times New Roman"/>
          <w:noProof/>
          <w:sz w:val="24"/>
        </w:rPr>
        <w:t xml:space="preserve"> tādu tiesību aktu vienveidīgu piemērošanu visā ES teritorijā, kas atiecas uz IĪT izpildi uz robežām;</w:t>
      </w:r>
    </w:p>
    <w:p>
      <w:pPr>
        <w:pStyle w:val="ListParagraph"/>
        <w:numPr>
          <w:ilvl w:val="0"/>
          <w:numId w:val="2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cs="Times New Roman"/>
          <w:noProof/>
          <w:sz w:val="24"/>
          <w:szCs w:val="24"/>
        </w:rPr>
        <w:t>stiprināt</w:t>
      </w:r>
      <w:r>
        <w:rPr>
          <w:rFonts w:ascii="Times New Roman" w:hAnsi="Times New Roman"/>
          <w:noProof/>
          <w:sz w:val="24"/>
        </w:rPr>
        <w:t xml:space="preserve"> muitas iestāžu sadarbību un informācijas apmaiņu ar policiju un citām izpildes kontroles iestādēm;</w:t>
      </w:r>
    </w:p>
    <w:p>
      <w:pPr>
        <w:pStyle w:val="ListParagraph"/>
        <w:numPr>
          <w:ilvl w:val="0"/>
          <w:numId w:val="26"/>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 </w:t>
      </w:r>
      <w:r>
        <w:rPr>
          <w:rFonts w:ascii="Times New Roman" w:hAnsi="Times New Roman" w:cs="Times New Roman"/>
          <w:noProof/>
          <w:sz w:val="24"/>
          <w:szCs w:val="24"/>
        </w:rPr>
        <w:t>izstrādāt</w:t>
      </w:r>
      <w:r>
        <w:rPr>
          <w:rFonts w:ascii="Times New Roman" w:hAnsi="Times New Roman"/>
          <w:noProof/>
          <w:sz w:val="24"/>
        </w:rPr>
        <w:t xml:space="preserve"> riska pārvaldības instrumentus IĪT izpildes vajadzībām.</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Turklāt Komisija atgādina par dalībvalstu pienākumu transponēt jaunos ES noteikumus, kas izklāstīti direktīvā par preču zīmēm, tostarp regulējumu, kas attiecas uz valsts iestādēm. Šie noteikumi cita starpā palīdz apturēt viltotu preču (tostarp tranzītā pārvadāto preču) plūsmu</w:t>
      </w:r>
      <w:r>
        <w:rPr>
          <w:rStyle w:val="FootnoteReference"/>
          <w:rFonts w:ascii="Times New Roman" w:hAnsi="Times New Roman"/>
          <w:noProof/>
          <w:sz w:val="24"/>
        </w:rPr>
        <w:footnoteReference w:id="43"/>
      </w:r>
      <w:r>
        <w:rPr>
          <w:rFonts w:ascii="Times New Roman" w:hAnsi="Times New Roman"/>
          <w:noProof/>
          <w:sz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Viltotas preces parasti neatbilst ES tiesību aktiem par produktiem un var apdraudēt patērētāju drošību. Tā kā šajā paziņojumā galvenā uzmanība ir pievērsta tam, kā panākt IĪT reglamentējošo ES tiesību aktu labāku izpildi, precēm piemērojamo citu ES tiesību aktu izpilde tiks aplūkota gaidāmajā tiesību aktu kopumā par precēm, kā norādīts vienotā tirgus stratēģijā.</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3"/>
          <w:szCs w:val="23"/>
        </w:rPr>
      </w:pPr>
      <w:r>
        <w:rPr>
          <w:rFonts w:ascii="Times New Roman" w:hAnsi="Times New Roman"/>
          <w:b/>
          <w:noProof/>
          <w:color w:val="000000"/>
          <w:sz w:val="23"/>
        </w:rPr>
        <w:t>Komisija:</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3"/>
          <w:szCs w:val="23"/>
        </w:rPr>
      </w:pPr>
      <w:r>
        <w:rPr>
          <w:rFonts w:ascii="Times New Roman" w:hAnsi="Times New Roman"/>
          <w:b/>
          <w:noProof/>
          <w:color w:val="000000"/>
          <w:sz w:val="23"/>
        </w:rPr>
        <w:t xml:space="preserve">– sadarbībā ar </w:t>
      </w:r>
      <w:r>
        <w:rPr>
          <w:rFonts w:ascii="Times New Roman" w:hAnsi="Times New Roman"/>
          <w:b/>
          <w:i/>
          <w:noProof/>
          <w:color w:val="000000"/>
          <w:sz w:val="23"/>
        </w:rPr>
        <w:t>EUIPO</w:t>
      </w:r>
      <w:r>
        <w:rPr>
          <w:rFonts w:ascii="Times New Roman" w:hAnsi="Times New Roman"/>
          <w:b/>
          <w:noProof/>
          <w:color w:val="000000"/>
          <w:sz w:val="23"/>
        </w:rPr>
        <w:t xml:space="preserve"> nodrošinās, ka attiecīgajām ES izpildes kontroles iestādēm cīņā pret viltošanu un pirātismu ir pieejami sadarbības instrumenti, tostarp instrumenti labākai tirgus uzraudzībai;</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3"/>
          <w:szCs w:val="23"/>
        </w:rPr>
      </w:pPr>
      <w:r>
        <w:rPr>
          <w:rFonts w:ascii="Times New Roman" w:hAnsi="Times New Roman"/>
          <w:b/>
          <w:noProof/>
          <w:color w:val="000000"/>
          <w:sz w:val="23"/>
        </w:rPr>
        <w:t xml:space="preserve">– sadarbībā ar </w:t>
      </w:r>
      <w:r>
        <w:rPr>
          <w:rFonts w:ascii="Times New Roman" w:hAnsi="Times New Roman"/>
          <w:b/>
          <w:i/>
          <w:noProof/>
          <w:color w:val="000000"/>
          <w:sz w:val="23"/>
        </w:rPr>
        <w:t>EUIPO</w:t>
      </w:r>
      <w:r>
        <w:rPr>
          <w:rFonts w:ascii="Times New Roman" w:hAnsi="Times New Roman"/>
          <w:b/>
          <w:noProof/>
          <w:color w:val="000000"/>
          <w:sz w:val="23"/>
        </w:rPr>
        <w:t xml:space="preserve"> pastiprinās centienus nodrošināt, ka sabiedrība ir labāk informēta par riskiem, kas saistīti ar IĪT pārkāpumiem;</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3"/>
          <w:szCs w:val="23"/>
        </w:rPr>
      </w:pPr>
      <w:r>
        <w:rPr>
          <w:rFonts w:ascii="Times New Roman" w:hAnsi="Times New Roman"/>
          <w:b/>
          <w:noProof/>
          <w:color w:val="000000"/>
          <w:sz w:val="23"/>
        </w:rPr>
        <w:t>– piedāvās mērķtiecīgāku palīdzību valstu muitas iestādēm, pamatojoties uz pašreizējā Muitas rīcības plāna īstenošanas rezultātiem, un kopā ar Padomi 2018. gadā strādās pie jauna Muitas rīcības plāna.</w:t>
      </w:r>
    </w:p>
    <w:p>
      <w:pPr>
        <w:pStyle w:val="ListParagraph"/>
        <w:numPr>
          <w:ilvl w:val="0"/>
          <w:numId w:val="30"/>
        </w:numPr>
        <w:spacing w:before="360" w:after="240" w:line="240" w:lineRule="auto"/>
        <w:rPr>
          <w:rFonts w:ascii="Times New Roman" w:hAnsi="Times New Roman"/>
          <w:b/>
          <w:noProof/>
          <w:sz w:val="24"/>
          <w:szCs w:val="24"/>
        </w:rPr>
      </w:pPr>
      <w:r>
        <w:rPr>
          <w:rFonts w:ascii="Times New Roman" w:hAnsi="Times New Roman"/>
          <w:b/>
          <w:noProof/>
          <w:sz w:val="24"/>
        </w:rPr>
        <w:t>INTELEKTUĀLĀ ĪPAŠUMA TIESĪBU PĀRKĀPUMU APKAROŠANA VISĀ PASAULĒ</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Viltošana un pirātisms lielākoties ir globāla mēroga problēmas, kas prasa globāla mēroga risinājumus. Lai novērstu IĪT pārkāpumus globālajās piegādes ķēdēs, ES teritorijā veiktie pasākumi būtu jāpapildina ar starptautiskiem centieniem. </w:t>
      </w:r>
    </w:p>
    <w:p>
      <w:pPr>
        <w:pStyle w:val="NormalWeb"/>
        <w:jc w:val="both"/>
        <w:rPr>
          <w:b/>
          <w:noProof/>
          <w:sz w:val="23"/>
          <w:szCs w:val="23"/>
        </w:rPr>
      </w:pPr>
      <w:r>
        <w:rPr>
          <w:noProof/>
        </w:rPr>
        <w:t>Komisija sekmē to, lai ES pieeja IĪT izpildei tiktu izmantota visā pasaulē: divpusējā kārtā — tirdzniecības nolīgumos un IĪT dialogos ar galvenajiem tirdzniecības partneriem; un daudzpusējā kārtā — tādās starptautiskās organizācijās kā Pasaules Intelektuālā īpašuma organizācija (</w:t>
      </w:r>
      <w:r>
        <w:rPr>
          <w:i/>
          <w:noProof/>
        </w:rPr>
        <w:t>WIPO</w:t>
      </w:r>
      <w:r>
        <w:rPr>
          <w:noProof/>
        </w:rPr>
        <w:t xml:space="preserve">), Pasaules Tirdzniecības organizācijas (PTO) </w:t>
      </w:r>
      <w:r>
        <w:rPr>
          <w:i/>
          <w:noProof/>
        </w:rPr>
        <w:t>TRIPS</w:t>
      </w:r>
      <w:r>
        <w:rPr>
          <w:noProof/>
        </w:rPr>
        <w:t xml:space="preserve"> padome un ESAO, kā arī tādās struktūrās kā </w:t>
      </w:r>
      <w:r>
        <w:rPr>
          <w:i/>
          <w:noProof/>
        </w:rPr>
        <w:t>ICANN</w:t>
      </w:r>
      <w:r>
        <w:rPr>
          <w:rStyle w:val="FootnoteReference"/>
          <w:noProof/>
        </w:rPr>
        <w:footnoteReference w:id="44"/>
      </w:r>
      <w:r>
        <w:rPr>
          <w:noProof/>
        </w:rPr>
        <w:t>. Mērķis ir stiprināt un standartizēt IĪT izpildi starptautiskā mērogā un uzlabot informētību par viltošanas un pirātisma radīto kaitējumu.</w:t>
      </w:r>
    </w:p>
    <w:p>
      <w:pPr>
        <w:autoSpaceDE w:val="0"/>
        <w:autoSpaceDN w:val="0"/>
        <w:adjustRightInd w:val="0"/>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Komisija ciešā sadarbībā ar </w:t>
      </w:r>
      <w:r>
        <w:rPr>
          <w:rFonts w:ascii="Times New Roman" w:hAnsi="Times New Roman"/>
          <w:i/>
          <w:noProof/>
          <w:sz w:val="24"/>
        </w:rPr>
        <w:t>EUIPO</w:t>
      </w:r>
      <w:r>
        <w:rPr>
          <w:rFonts w:ascii="Times New Roman" w:hAnsi="Times New Roman"/>
          <w:noProof/>
          <w:sz w:val="24"/>
        </w:rPr>
        <w:t xml:space="preserve"> uzsāk trīs </w:t>
      </w:r>
      <w:r>
        <w:rPr>
          <w:rFonts w:ascii="Times New Roman" w:hAnsi="Times New Roman"/>
          <w:b/>
          <w:noProof/>
          <w:sz w:val="24"/>
        </w:rPr>
        <w:t xml:space="preserve">tehniskās sadarbības programmas IĪT jomā </w:t>
      </w:r>
      <w:r>
        <w:rPr>
          <w:rFonts w:ascii="Times New Roman" w:hAnsi="Times New Roman"/>
          <w:noProof/>
          <w:sz w:val="24"/>
        </w:rPr>
        <w:t>(</w:t>
      </w:r>
      <w:r>
        <w:rPr>
          <w:rFonts w:ascii="Times New Roman" w:hAnsi="Times New Roman"/>
          <w:i/>
          <w:noProof/>
          <w:sz w:val="24"/>
        </w:rPr>
        <w:t>“IP Key”</w:t>
      </w:r>
      <w:r>
        <w:rPr>
          <w:rFonts w:ascii="Times New Roman" w:hAnsi="Times New Roman"/>
          <w:noProof/>
          <w:sz w:val="24"/>
        </w:rPr>
        <w:t xml:space="preserve">) ar Ķīnu, Dienvidaustrumāziju un Latīņameriku. Tas tiek darīts, pamatojoties uz pozitīvo pieredzi, kas gūta, īstenojot iepriekšējās sadarbības programmas ar Ķīnu un </w:t>
      </w:r>
      <w:r>
        <w:rPr>
          <w:rFonts w:ascii="Times New Roman" w:hAnsi="Times New Roman"/>
          <w:i/>
          <w:noProof/>
          <w:sz w:val="24"/>
        </w:rPr>
        <w:t>ASEAN</w:t>
      </w:r>
      <w:r>
        <w:rPr>
          <w:rFonts w:ascii="Times New Roman" w:hAnsi="Times New Roman"/>
          <w:noProof/>
          <w:sz w:val="24"/>
        </w:rPr>
        <w:t xml:space="preserve"> valstīm. Šīm trim programmām paredzētais kopējais budžets 2017.–2020. gadā būs 20 miljoni EUR. Šo programmu ietvaros tiks atbalstīta iedarbīgas IĪT aizsardzības sistēmas izveide programmās iesaistītajās valstīs, pamatojoties uz ES paraugpraksi, tādējādi palīdzot ES uzņēmumiem aizsargāt savas IĪT šajos tirgos. </w:t>
      </w:r>
    </w:p>
    <w:p>
      <w:pPr>
        <w:autoSpaceDE w:val="0"/>
        <w:autoSpaceDN w:val="0"/>
        <w:adjustRightInd w:val="0"/>
        <w:spacing w:after="0" w:line="240" w:lineRule="auto"/>
        <w:jc w:val="both"/>
        <w:rPr>
          <w:rFonts w:ascii="Times New Roman" w:eastAsia="Calibri"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Īstenojot stratēģiju intelektuālā īpašuma tiesību aizsardzībai un izpildei trešās valstīs</w:t>
      </w:r>
      <w:r>
        <w:rPr>
          <w:rStyle w:val="FootnoteReference"/>
          <w:rFonts w:ascii="Times New Roman" w:hAnsi="Times New Roman"/>
          <w:noProof/>
          <w:sz w:val="24"/>
        </w:rPr>
        <w:footnoteReference w:id="45"/>
      </w:r>
      <w:r>
        <w:rPr>
          <w:rFonts w:ascii="Times New Roman" w:hAnsi="Times New Roman"/>
          <w:noProof/>
          <w:sz w:val="24"/>
        </w:rPr>
        <w:t xml:space="preserve">, Komisija publicēs atjauninātu </w:t>
      </w:r>
      <w:r>
        <w:rPr>
          <w:rFonts w:ascii="Times New Roman" w:hAnsi="Times New Roman"/>
          <w:b/>
          <w:noProof/>
          <w:sz w:val="24"/>
        </w:rPr>
        <w:t>ziņojumu par IĪT aizsardzību un izpildi trešās valstīs</w:t>
      </w:r>
      <w:r>
        <w:rPr>
          <w:rFonts w:ascii="Times New Roman" w:hAnsi="Times New Roman"/>
          <w:noProof/>
          <w:sz w:val="24"/>
        </w:rPr>
        <w:t>. Ziņojumā būs iekļauts jaunu prioritāro valstu saraksts. Komisija pastiprinās savu darbību prioritārajās valstīs un savus resursus veltīs konkrētām problemātiskām jomām, tostarp brīvās tirdzniecības zonām un ģeogrāfiskās izcelsmes norādēm.</w:t>
      </w:r>
    </w:p>
    <w:p>
      <w:pPr>
        <w:autoSpaceDE w:val="0"/>
        <w:autoSpaceDN w:val="0"/>
        <w:adjustRightInd w:val="0"/>
        <w:spacing w:after="0" w:line="240" w:lineRule="auto"/>
        <w:jc w:val="both"/>
        <w:rPr>
          <w:rFonts w:ascii="Times New Roman" w:hAnsi="Times New Roman" w:cs="Times New Roman"/>
          <w:noProof/>
          <w:sz w:val="24"/>
          <w:szCs w:val="24"/>
        </w:rPr>
      </w:pPr>
    </w:p>
    <w:p>
      <w:pPr>
        <w:spacing w:line="240" w:lineRule="auto"/>
        <w:jc w:val="both"/>
        <w:rPr>
          <w:rFonts w:ascii="Times New Roman" w:hAnsi="Times New Roman" w:cs="Times New Roman"/>
          <w:noProof/>
          <w:sz w:val="24"/>
          <w:szCs w:val="24"/>
        </w:rPr>
      </w:pPr>
      <w:r>
        <w:rPr>
          <w:rFonts w:ascii="Times New Roman" w:hAnsi="Times New Roman"/>
          <w:noProof/>
          <w:color w:val="222222"/>
          <w:sz w:val="24"/>
        </w:rPr>
        <w:t xml:space="preserve">Komisija sadarbībā ar </w:t>
      </w:r>
      <w:r>
        <w:rPr>
          <w:rFonts w:ascii="Times New Roman" w:hAnsi="Times New Roman"/>
          <w:i/>
          <w:noProof/>
          <w:color w:val="222222"/>
          <w:sz w:val="24"/>
        </w:rPr>
        <w:t>EUIPO</w:t>
      </w:r>
      <w:r>
        <w:rPr>
          <w:rFonts w:ascii="Times New Roman" w:hAnsi="Times New Roman"/>
          <w:noProof/>
          <w:color w:val="222222"/>
          <w:sz w:val="24"/>
        </w:rPr>
        <w:t xml:space="preserve"> izveidos </w:t>
      </w:r>
      <w:r>
        <w:rPr>
          <w:rFonts w:ascii="Times New Roman" w:hAnsi="Times New Roman"/>
          <w:b/>
          <w:noProof/>
          <w:color w:val="222222"/>
          <w:sz w:val="24"/>
        </w:rPr>
        <w:t>intelektuālā īpašuma tirgu kontrolsarakstu</w:t>
      </w:r>
      <w:r>
        <w:rPr>
          <w:rFonts w:ascii="Times New Roman" w:hAnsi="Times New Roman"/>
          <w:noProof/>
          <w:color w:val="222222"/>
          <w:sz w:val="24"/>
        </w:rPr>
        <w:t xml:space="preserve">. </w:t>
      </w:r>
      <w:r>
        <w:rPr>
          <w:rFonts w:ascii="Times New Roman" w:hAnsi="Times New Roman"/>
          <w:noProof/>
          <w:sz w:val="24"/>
        </w:rPr>
        <w:t>Kontrolsarakstā būs uzskaitīti tiešsaistes un reālie tirgi, kas atrodas ārpus ES teritorijas un par kuriem ir pieejama informācija, ka tie ir iesaistīti būtiskos IĪT pārkāpumos, jo īpaši viltošanā un pirātismā, vai tos atbalsta, tādējādi kaitējot ES patērētājiem. Šā darba galarezultāts būs saraksts, kurā uzskaitīti visproblemātiskākie tirgi un sniegts to galveno īpatnību apraksts. Komisija nodrošinās vajadzīgo informāciju un aizsardzības pasākumus attiecībā uz šā saraksta saturu un mērķi. Komisija arī uzraudzīs visus pasākumus un darbības, ko attiecībā uz sarakstā iekļautajiem tirgiem īsteno vietējās iestādes, kā arī pasākumus un darbības, ko IĪT pārkāpumu apkarošanas nolūkā īsteno tirgus dalībnieki un īpašnieki.</w:t>
      </w:r>
    </w:p>
    <w:p>
      <w:pPr>
        <w:spacing w:line="240" w:lineRule="auto"/>
        <w:jc w:val="both"/>
        <w:rPr>
          <w:rFonts w:ascii="Times New Roman" w:hAnsi="Times New Roman" w:cs="Times New Roman"/>
          <w:noProof/>
          <w:sz w:val="24"/>
          <w:szCs w:val="24"/>
        </w:rPr>
      </w:pPr>
      <w:r>
        <w:rPr>
          <w:rFonts w:ascii="Times New Roman" w:hAnsi="Times New Roman"/>
          <w:noProof/>
          <w:sz w:val="24"/>
        </w:rPr>
        <w:t>Šajā sakarā Komisija organizēs sabiedrisko apspriešanu, lai savāktu informāciju par šiem tirgiem. Atlasot sarakstā iekļaujamos tirgus, tiks izmantoti dati, kurus pārbaudījis Novērošanas centrs. Pirmo intelektuālā īpašuma tirgu kontrolsarakstu ir paredzēts publicēt 2018. gada otrajā pusē, un tas tiks regulāri atjaunināts.</w:t>
      </w:r>
    </w:p>
    <w:p>
      <w:pPr>
        <w:spacing w:line="240" w:lineRule="auto"/>
        <w:jc w:val="both"/>
        <w:rPr>
          <w:noProof/>
        </w:rPr>
      </w:pPr>
      <w:r>
        <w:rPr>
          <w:rFonts w:ascii="Times New Roman" w:hAnsi="Times New Roman"/>
          <w:noProof/>
          <w:sz w:val="24"/>
        </w:rPr>
        <w:t>Komisija arī turpinās aicināt izmantot tiešsaistē pieejamo informāciju par intelektuālā īpašuma aizsardzību, tostarp pretviltošanas ātrās informācijas vākšanas sistēmas datubāzi (</w:t>
      </w:r>
      <w:r>
        <w:rPr>
          <w:rFonts w:ascii="Times New Roman" w:hAnsi="Times New Roman"/>
          <w:i/>
          <w:noProof/>
          <w:sz w:val="24"/>
        </w:rPr>
        <w:t>ACRIS</w:t>
      </w:r>
      <w:r>
        <w:rPr>
          <w:rFonts w:ascii="Times New Roman" w:hAnsi="Times New Roman"/>
          <w:noProof/>
          <w:sz w:val="24"/>
        </w:rPr>
        <w:t>), kurā apkopota informācija par IĪT pārkāpumiem, ar kuriem ES uzņēmumi saskārušies valstīs ārpus ES teritorijas. Lai tiešsaistē pieejamo informāciju padarītu vieglāk pieejamu un lietotājam ērtāku, Komisija plāno izveidot portālu, kurš centralizēs piekļuvi visām ar intelektuālā īpašuma jautājumiem saistītām tīmekļvietnēm un datubāzēm.</w:t>
      </w:r>
    </w:p>
    <w:p>
      <w:pPr>
        <w:pStyle w:val="Default"/>
        <w:pBdr>
          <w:top w:val="single" w:sz="4" w:space="1" w:color="auto"/>
          <w:left w:val="single" w:sz="4" w:space="4" w:color="auto"/>
          <w:bottom w:val="single" w:sz="4" w:space="1" w:color="auto"/>
          <w:right w:val="single" w:sz="4" w:space="4" w:color="auto"/>
        </w:pBdr>
        <w:spacing w:before="120" w:after="120"/>
        <w:jc w:val="both"/>
        <w:rPr>
          <w:b/>
          <w:noProof/>
        </w:rPr>
      </w:pPr>
      <w:r>
        <w:rPr>
          <w:b/>
          <w:noProof/>
        </w:rPr>
        <w:t>Lai pastiprinātu cīņu pret IĪT pārkāpumiem valstīs ārpus Savienības, Komisija:</w:t>
      </w:r>
    </w:p>
    <w:p>
      <w:pPr>
        <w:pStyle w:val="Default"/>
        <w:pBdr>
          <w:top w:val="single" w:sz="4" w:space="1" w:color="auto"/>
          <w:left w:val="single" w:sz="4" w:space="4" w:color="auto"/>
          <w:bottom w:val="single" w:sz="4" w:space="1" w:color="auto"/>
          <w:right w:val="single" w:sz="4" w:space="4" w:color="auto"/>
        </w:pBdr>
        <w:spacing w:before="120" w:after="120"/>
        <w:jc w:val="both"/>
        <w:rPr>
          <w:b/>
          <w:noProof/>
        </w:rPr>
      </w:pPr>
      <w:r>
        <w:rPr>
          <w:b/>
          <w:noProof/>
          <w:sz w:val="23"/>
        </w:rPr>
        <w:t xml:space="preserve">– 2018. gada pirmajā ceturksnī publicēs jaunu ziņojumu par intelektuālā īpašuma tiesību aizsardzību un izpildi trešās valstīs, nosakot jaunas jomas (t. i., brīvās tirdzniecības zonas, ģeogrāfiskās </w:t>
      </w:r>
      <w:r>
        <w:rPr>
          <w:b/>
          <w:noProof/>
        </w:rPr>
        <w:t>izcelsmes norādes);</w:t>
      </w:r>
    </w:p>
    <w:p>
      <w:pPr>
        <w:pStyle w:val="Default"/>
        <w:pBdr>
          <w:top w:val="single" w:sz="4" w:space="1" w:color="auto"/>
          <w:left w:val="single" w:sz="4" w:space="4" w:color="auto"/>
          <w:bottom w:val="single" w:sz="4" w:space="1" w:color="auto"/>
          <w:right w:val="single" w:sz="4" w:space="4" w:color="auto"/>
        </w:pBdr>
        <w:spacing w:before="120" w:after="120"/>
        <w:jc w:val="both"/>
        <w:rPr>
          <w:b/>
          <w:noProof/>
        </w:rPr>
      </w:pPr>
      <w:r>
        <w:rPr>
          <w:b/>
          <w:noProof/>
          <w:sz w:val="23"/>
        </w:rPr>
        <w:t xml:space="preserve">– 2018. gada otrajā pusē izveidos </w:t>
      </w:r>
      <w:r>
        <w:rPr>
          <w:b/>
          <w:noProof/>
        </w:rPr>
        <w:t>intelektuālā īpašuma tirgu kontrolsarakstu, kurā uzskaitīti tiešsaistes un reālie tirgi, kas ir iesaistīti būtiskos IĪT pārkāpumos vai tos atbalsta;</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rPr>
        <w:t xml:space="preserve">– pamatojoties uz gada darba plāniem, īstenos tehniskās sadarbības programmas (“IP Key” programmas) ar Ķīnu, Dienvidaustrumāziju un Latīņameriku. </w:t>
      </w:r>
    </w:p>
    <w:p>
      <w:pPr>
        <w:pStyle w:val="ListParagraph"/>
        <w:numPr>
          <w:ilvl w:val="0"/>
          <w:numId w:val="30"/>
        </w:numPr>
        <w:spacing w:before="360" w:after="240" w:line="240" w:lineRule="auto"/>
        <w:rPr>
          <w:rFonts w:ascii="Times New Roman" w:hAnsi="Times New Roman" w:cs="Times New Roman"/>
          <w:b/>
          <w:caps/>
          <w:noProof/>
          <w:sz w:val="24"/>
          <w:szCs w:val="24"/>
        </w:rPr>
      </w:pPr>
      <w:r>
        <w:rPr>
          <w:rFonts w:ascii="Times New Roman" w:hAnsi="Times New Roman"/>
          <w:b/>
          <w:noProof/>
          <w:sz w:val="24"/>
        </w:rPr>
        <w:t>NOBEIGUMS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Šajā paziņojumā ir aprakstīts visaptverošs tādu pasākumu un darbību kopums, kuru mērķis ir nodrošināt koordinētas un iedarbīgas pieejas izmantošanu visās ES politikas jomās, lai vēl vairāk pastiprinātu cīņu pret IĪT pārkāpumiem. Lai nodrošinātu maksimālu pārredzamību, Komisija sadarbojas ar </w:t>
      </w:r>
      <w:r>
        <w:rPr>
          <w:rFonts w:ascii="Times New Roman" w:hAnsi="Times New Roman"/>
          <w:i/>
          <w:noProof/>
          <w:sz w:val="24"/>
        </w:rPr>
        <w:t>EUIPO</w:t>
      </w:r>
      <w:r>
        <w:rPr>
          <w:rFonts w:ascii="Times New Roman" w:hAnsi="Times New Roman"/>
          <w:noProof/>
          <w:sz w:val="24"/>
        </w:rPr>
        <w:t>, lai panāktu, ka informācija par visiem pasākumiem un darbībām ir pieejama vienā interneta portālā.</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Viltošanas un pirātisma apmēri un to ietekme uz sabiedrību rada vajadzību pēc iedarbīgiem izpildes kontroles risinājumiem, kas ietver ātras un koordinētas iejaukšanās pasākumus no daudzu un dažādu tādu dalībnieku (gan publisko, gan privāto) puses, kuri darbojas visos līmeņos, sākot ar vietējo un beidzot ar pasaules līmeni.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Tādēļ Komisija mudina visas puses īstenot šajā paziņojumā izklāstītās norādes, ieteikumus un darbības. Tā uzraudzīs panākto progresu un attiecīgi izvērtēs nepieciešamību pēc papildu pasākumiem.</w:t>
      </w:r>
    </w:p>
    <w:p>
      <w:pPr>
        <w:rPr>
          <w:noProof/>
        </w:rPr>
      </w:pPr>
      <w:r>
        <w:rPr>
          <w:noProof/>
        </w:rPr>
        <w:br w:type="page"/>
      </w:r>
    </w:p>
    <w:p>
      <w:pPr>
        <w:spacing w:before="120" w:after="120" w:line="240" w:lineRule="auto"/>
        <w:jc w:val="center"/>
        <w:rPr>
          <w:rFonts w:ascii="Times New Roman" w:hAnsi="Times New Roman" w:cs="Times New Roman"/>
          <w:b/>
          <w:noProof/>
          <w:sz w:val="24"/>
          <w:szCs w:val="24"/>
        </w:rPr>
      </w:pPr>
      <w:r>
        <w:rPr>
          <w:rFonts w:ascii="Times New Roman" w:hAnsi="Times New Roman"/>
          <w:b/>
          <w:noProof/>
          <w:sz w:val="24"/>
        </w:rPr>
        <w:t>Galveno darbību pārskats</w:t>
      </w:r>
    </w:p>
    <w:tbl>
      <w:tblPr>
        <w:tblStyle w:val="TableGrid"/>
        <w:tblW w:w="9420" w:type="dxa"/>
        <w:tblLook w:val="04A0" w:firstRow="1" w:lastRow="0" w:firstColumn="1" w:lastColumn="0" w:noHBand="0" w:noVBand="1"/>
      </w:tblPr>
      <w:tblGrid>
        <w:gridCol w:w="3230"/>
        <w:gridCol w:w="4402"/>
        <w:gridCol w:w="1788"/>
      </w:tblGrid>
      <w:tr>
        <w:tc>
          <w:tcPr>
            <w:tcW w:w="4800" w:type="dxa"/>
            <w:tcBorders>
              <w:bottom w:val="single" w:sz="4" w:space="0" w:color="auto"/>
            </w:tcBorders>
          </w:tcPr>
          <w:p>
            <w:pPr>
              <w:spacing w:before="120" w:after="120"/>
              <w:jc w:val="center"/>
              <w:rPr>
                <w:rFonts w:ascii="Times New Roman" w:hAnsi="Times New Roman" w:cs="Times New Roman"/>
                <w:b/>
                <w:noProof/>
                <w:sz w:val="24"/>
                <w:szCs w:val="24"/>
              </w:rPr>
            </w:pPr>
            <w:r>
              <w:rPr>
                <w:rFonts w:ascii="Times New Roman" w:hAnsi="Times New Roman"/>
                <w:b/>
                <w:noProof/>
                <w:sz w:val="24"/>
              </w:rPr>
              <w:t>DARBĪBA</w:t>
            </w:r>
          </w:p>
        </w:tc>
        <w:tc>
          <w:tcPr>
            <w:tcW w:w="2310" w:type="dxa"/>
            <w:tcBorders>
              <w:bottom w:val="single" w:sz="4" w:space="0" w:color="auto"/>
            </w:tcBorders>
          </w:tcPr>
          <w:p>
            <w:pPr>
              <w:spacing w:before="120" w:after="120"/>
              <w:jc w:val="center"/>
              <w:rPr>
                <w:rFonts w:ascii="Times New Roman" w:hAnsi="Times New Roman" w:cs="Times New Roman"/>
                <w:b/>
                <w:noProof/>
                <w:sz w:val="24"/>
                <w:szCs w:val="24"/>
              </w:rPr>
            </w:pPr>
            <w:r>
              <w:rPr>
                <w:rFonts w:ascii="Times New Roman" w:hAnsi="Times New Roman"/>
                <w:b/>
                <w:noProof/>
                <w:sz w:val="24"/>
              </w:rPr>
              <w:t>DARBĪBAS VEICĒJI</w:t>
            </w:r>
          </w:p>
        </w:tc>
        <w:tc>
          <w:tcPr>
            <w:tcW w:w="2310" w:type="dxa"/>
            <w:tcBorders>
              <w:bottom w:val="single" w:sz="4" w:space="0" w:color="auto"/>
            </w:tcBorders>
          </w:tcPr>
          <w:p>
            <w:pPr>
              <w:spacing w:before="120" w:after="120"/>
              <w:jc w:val="center"/>
              <w:rPr>
                <w:rFonts w:ascii="Times New Roman" w:hAnsi="Times New Roman" w:cs="Times New Roman"/>
                <w:b/>
                <w:noProof/>
                <w:sz w:val="24"/>
                <w:szCs w:val="24"/>
              </w:rPr>
            </w:pPr>
            <w:r>
              <w:rPr>
                <w:rFonts w:ascii="Times New Roman" w:hAnsi="Times New Roman"/>
                <w:b/>
                <w:noProof/>
                <w:sz w:val="24"/>
              </w:rPr>
              <w:t>IZPILDES TERMIŅŠ</w:t>
            </w:r>
          </w:p>
        </w:tc>
      </w:tr>
      <w:tr>
        <w:tc>
          <w:tcPr>
            <w:tcW w:w="9420" w:type="dxa"/>
            <w:gridSpan w:val="3"/>
          </w:tcPr>
          <w:p>
            <w:pPr>
              <w:tabs>
                <w:tab w:val="left" w:pos="709"/>
              </w:tabs>
              <w:spacing w:before="120" w:after="120"/>
              <w:ind w:left="709" w:hanging="709"/>
              <w:jc w:val="both"/>
              <w:rPr>
                <w:rFonts w:ascii="Times New Roman" w:hAnsi="Times New Roman" w:cs="Times New Roman"/>
                <w:noProof/>
                <w:sz w:val="24"/>
                <w:szCs w:val="24"/>
              </w:rPr>
            </w:pPr>
            <w:r>
              <w:rPr>
                <w:rFonts w:ascii="Times New Roman" w:hAnsi="Times New Roman"/>
                <w:b/>
                <w:noProof/>
                <w:sz w:val="24"/>
              </w:rPr>
              <w:t>1.</w:t>
            </w:r>
            <w:r>
              <w:rPr>
                <w:noProof/>
              </w:rPr>
              <w:tab/>
            </w:r>
            <w:r>
              <w:rPr>
                <w:rFonts w:ascii="Times New Roman" w:hAnsi="Times New Roman"/>
                <w:b/>
                <w:noProof/>
              </w:rPr>
              <w:t>CEĻĀ UZ EFEKTĪVĀKU UN PROGNOZĒJAMĀKU TIESISKĀS AIZSARDZĪBAS REŽĪMU ES</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Norādes attiecībā uz to, kā interpretēt un piemērot IĪT piemērošanas direktīvas (</w:t>
            </w:r>
            <w:r>
              <w:rPr>
                <w:rFonts w:ascii="Times New Roman" w:hAnsi="Times New Roman"/>
                <w:i/>
                <w:noProof/>
                <w:sz w:val="24"/>
              </w:rPr>
              <w:t>IPRED</w:t>
            </w:r>
            <w:r>
              <w:rPr>
                <w:rFonts w:ascii="Times New Roman" w:hAnsi="Times New Roman"/>
                <w:noProof/>
                <w:sz w:val="24"/>
              </w:rPr>
              <w:t>) galvenos noteikumus.</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Komisija</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Paveikts</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Sadarbība ar valstu ekspertiem un tiesnešiem, lai izstrādātu turpmākas vēl precīzākas pamatnostādnes, kas balstītas uz paraugpraksi.</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Komisija/Dalībvalstis/Novērošanas centrs</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Līdz 2019. gadam</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Iepriekš minēto pamatnostādņu un paraugprakses piemēru pieejamība tiešsaistē, cita starpā arī portālā “Tava Eiropa”.</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Komisija/Novērošanas centrs</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Līdz 2019. gadam</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Sekmēt:</w:t>
            </w:r>
          </w:p>
          <w:p>
            <w:pPr>
              <w:spacing w:before="120" w:after="120"/>
              <w:jc w:val="both"/>
              <w:rPr>
                <w:rFonts w:ascii="Times New Roman" w:hAnsi="Times New Roman" w:cs="Times New Roman"/>
                <w:noProof/>
                <w:sz w:val="24"/>
                <w:szCs w:val="24"/>
              </w:rPr>
            </w:pPr>
            <w:r>
              <w:rPr>
                <w:rFonts w:ascii="Times New Roman" w:hAnsi="Times New Roman"/>
                <w:noProof/>
                <w:sz w:val="24"/>
              </w:rPr>
              <w:t>– tiesnešu specializēšanos IĪT un IĪT izpildes jautājumos;</w:t>
            </w:r>
          </w:p>
          <w:p>
            <w:pPr>
              <w:spacing w:before="120" w:after="120"/>
              <w:jc w:val="both"/>
              <w:rPr>
                <w:rFonts w:ascii="Times New Roman" w:hAnsi="Times New Roman" w:cs="Times New Roman"/>
                <w:noProof/>
                <w:sz w:val="24"/>
                <w:szCs w:val="24"/>
              </w:rPr>
            </w:pPr>
            <w:r>
              <w:rPr>
                <w:rFonts w:ascii="Times New Roman" w:hAnsi="Times New Roman"/>
                <w:noProof/>
                <w:sz w:val="24"/>
              </w:rPr>
              <w:t>– IĪT izpildes lietās pieņemto spriedumu sistemātisku publicēšanu.</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Dalībvalstis</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w:t>
            </w:r>
          </w:p>
        </w:tc>
      </w:tr>
      <w:tr>
        <w:tc>
          <w:tcPr>
            <w:tcW w:w="480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Sekmēt strīdu alternatīvas izšķiršanas iespēju plašāku izmantošanu ar intelektuālo īpašumu saistītu strīdu risināšanā, tostarp apzinot pašreizējos strīdu alternatīvas izšķiršanas mehānismus un analizējot ieguvumus, ko sniegtu mediācijas centra izveide </w:t>
            </w:r>
            <w:r>
              <w:rPr>
                <w:rFonts w:ascii="Times New Roman" w:hAnsi="Times New Roman"/>
                <w:i/>
                <w:noProof/>
                <w:sz w:val="24"/>
              </w:rPr>
              <w:t>EUIPO</w:t>
            </w:r>
            <w:r>
              <w:rPr>
                <w:rFonts w:ascii="Times New Roman" w:hAnsi="Times New Roman"/>
                <w:noProof/>
                <w:sz w:val="24"/>
              </w:rPr>
              <w:t xml:space="preserve"> paspārnē.</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Komisija/</w:t>
            </w:r>
            <w:r>
              <w:rPr>
                <w:rFonts w:ascii="Times New Roman" w:hAnsi="Times New Roman"/>
                <w:i/>
                <w:noProof/>
                <w:sz w:val="24"/>
              </w:rPr>
              <w:t>EUIPO</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Līdz 2019. gadam</w:t>
            </w:r>
          </w:p>
        </w:tc>
      </w:tr>
      <w:tr>
        <w:tc>
          <w:tcPr>
            <w:tcW w:w="9420" w:type="dxa"/>
            <w:gridSpan w:val="3"/>
          </w:tcPr>
          <w:p>
            <w:pPr>
              <w:spacing w:before="120" w:after="120"/>
              <w:ind w:left="709" w:hanging="709"/>
              <w:jc w:val="both"/>
              <w:rPr>
                <w:rFonts w:ascii="Times New Roman" w:hAnsi="Times New Roman" w:cs="Times New Roman"/>
                <w:noProof/>
                <w:sz w:val="24"/>
                <w:szCs w:val="24"/>
              </w:rPr>
            </w:pPr>
            <w:r>
              <w:rPr>
                <w:rFonts w:ascii="Times New Roman" w:hAnsi="Times New Roman"/>
                <w:b/>
                <w:caps/>
                <w:noProof/>
                <w:sz w:val="24"/>
              </w:rPr>
              <w:t>2.</w:t>
            </w:r>
            <w:r>
              <w:rPr>
                <w:noProof/>
              </w:rPr>
              <w:tab/>
            </w:r>
            <w:r>
              <w:rPr>
                <w:rFonts w:ascii="Times New Roman" w:hAnsi="Times New Roman"/>
                <w:b/>
                <w:caps/>
                <w:noProof/>
              </w:rPr>
              <w:t>NOZARES VIRZĪTU INICIATĪVU PASTIPRINĀŠANA, LAI NOVĒRSTU UN APKAROTU IĪT PĀRKĀPUMUS</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Uzlabot un paplašināt brīvprātīgu vienošanos noslēgšanu ar mērķi apkarot IĪT pārkāpumus, jo sevišķi noslēdzot īpaši šim mērķim izstrādātus saprašanās memorandus starp tiesību īpašniekiem, interneta platformām, reklāmas uzņēmumiem, kravu nosūtītājiem un maksājumu pakalpojumu sniedzējiem.</w:t>
            </w: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r>
              <w:rPr>
                <w:rFonts w:ascii="Times New Roman" w:hAnsi="Times New Roman"/>
                <w:noProof/>
                <w:sz w:val="24"/>
              </w:rPr>
              <w:t>Sekmēt saprašanās memorandu noslēgšanu; uzraudzīt to darbību un efektivitāti un ziņot par to rezultātiem.</w:t>
            </w:r>
          </w:p>
        </w:tc>
        <w:tc>
          <w:tcPr>
            <w:tcW w:w="2310" w:type="dxa"/>
          </w:tcPr>
          <w:p>
            <w:pPr>
              <w:spacing w:before="120" w:after="120"/>
              <w:jc w:val="both"/>
              <w:rPr>
                <w:rFonts w:ascii="Times New Roman" w:hAnsi="Times New Roman" w:cs="Times New Roman"/>
                <w:noProof/>
                <w:sz w:val="24"/>
                <w:szCs w:val="24"/>
                <w:lang w:val="pl-PL"/>
              </w:rPr>
            </w:pPr>
            <w:r>
              <w:rPr>
                <w:rFonts w:ascii="Times New Roman" w:hAnsi="Times New Roman"/>
                <w:noProof/>
                <w:sz w:val="24"/>
                <w:lang w:val="pl-PL"/>
              </w:rPr>
              <w:t>Komisija/Nozares pārstāvji</w:t>
            </w:r>
          </w:p>
          <w:p>
            <w:pPr>
              <w:spacing w:before="120" w:after="120"/>
              <w:jc w:val="both"/>
              <w:rPr>
                <w:rFonts w:ascii="Times New Roman" w:hAnsi="Times New Roman" w:cs="Times New Roman"/>
                <w:noProof/>
                <w:sz w:val="24"/>
                <w:szCs w:val="24"/>
                <w:lang w:val="pl-PL"/>
              </w:rPr>
            </w:pPr>
          </w:p>
          <w:p>
            <w:pPr>
              <w:spacing w:before="120" w:after="120"/>
              <w:jc w:val="both"/>
              <w:rPr>
                <w:rFonts w:ascii="Times New Roman" w:hAnsi="Times New Roman" w:cs="Times New Roman"/>
                <w:noProof/>
                <w:sz w:val="24"/>
                <w:szCs w:val="24"/>
                <w:lang w:val="pl-PL"/>
              </w:rPr>
            </w:pPr>
          </w:p>
          <w:p>
            <w:pPr>
              <w:spacing w:before="120" w:after="120"/>
              <w:jc w:val="both"/>
              <w:rPr>
                <w:rFonts w:ascii="Times New Roman" w:hAnsi="Times New Roman" w:cs="Times New Roman"/>
                <w:noProof/>
                <w:sz w:val="24"/>
                <w:szCs w:val="24"/>
                <w:lang w:val="pl-PL"/>
              </w:rPr>
            </w:pPr>
          </w:p>
          <w:p>
            <w:pPr>
              <w:spacing w:before="120" w:after="120"/>
              <w:jc w:val="both"/>
              <w:rPr>
                <w:rFonts w:ascii="Times New Roman" w:hAnsi="Times New Roman" w:cs="Times New Roman"/>
                <w:noProof/>
                <w:sz w:val="24"/>
                <w:szCs w:val="24"/>
                <w:lang w:val="pl-PL"/>
              </w:rPr>
            </w:pPr>
          </w:p>
          <w:p>
            <w:pPr>
              <w:spacing w:before="120" w:after="120"/>
              <w:jc w:val="both"/>
              <w:rPr>
                <w:rFonts w:ascii="Times New Roman" w:hAnsi="Times New Roman" w:cs="Times New Roman"/>
                <w:noProof/>
                <w:sz w:val="24"/>
                <w:szCs w:val="24"/>
                <w:lang w:val="pl-PL"/>
              </w:rPr>
            </w:pPr>
          </w:p>
          <w:p>
            <w:pPr>
              <w:spacing w:before="120" w:after="120"/>
              <w:jc w:val="both"/>
              <w:rPr>
                <w:rFonts w:ascii="Times New Roman" w:hAnsi="Times New Roman" w:cs="Times New Roman"/>
                <w:noProof/>
                <w:sz w:val="24"/>
                <w:szCs w:val="24"/>
                <w:lang w:val="pl-PL"/>
              </w:rPr>
            </w:pPr>
            <w:r>
              <w:rPr>
                <w:rFonts w:ascii="Times New Roman" w:hAnsi="Times New Roman"/>
                <w:noProof/>
                <w:sz w:val="24"/>
                <w:lang w:val="pl-PL"/>
              </w:rPr>
              <w:t>Komisija/Novērošanas centrs</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Līdz 2019. gadam</w:t>
            </w: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r>
              <w:rPr>
                <w:rFonts w:ascii="Times New Roman" w:hAnsi="Times New Roman"/>
                <w:noProof/>
                <w:sz w:val="24"/>
              </w:rPr>
              <w:t>Līdz 2019. gadam</w:t>
            </w:r>
          </w:p>
        </w:tc>
      </w:tr>
      <w:tr>
        <w:tc>
          <w:tcPr>
            <w:tcW w:w="480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Veicināt uzticamības pārbaužu veikšanu piegādes ķēdēs, lai apkarotu IĪT pārkāpumus, izpētīt jauno tehnoloģiju, piemēram, blokķēžu tehnoloģijas, potenciālu un mudināt izmantot pastāvošās akreditācijas procedūras, lai ieviestu IĪT ievērošanas shēmas.</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Komisija/Dalībvalstis/</w:t>
            </w:r>
            <w:r>
              <w:rPr>
                <w:rFonts w:ascii="Times New Roman" w:hAnsi="Times New Roman"/>
                <w:i/>
                <w:noProof/>
                <w:sz w:val="24"/>
              </w:rPr>
              <w:t>EUIPO</w:t>
            </w:r>
            <w:r>
              <w:rPr>
                <w:rFonts w:ascii="Times New Roman" w:hAnsi="Times New Roman"/>
                <w:noProof/>
                <w:sz w:val="24"/>
              </w:rPr>
              <w:t>/Novērošanas centrs</w:t>
            </w:r>
          </w:p>
          <w:p>
            <w:pPr>
              <w:spacing w:before="120" w:after="120"/>
              <w:jc w:val="both"/>
              <w:rPr>
                <w:rFonts w:ascii="Times New Roman" w:hAnsi="Times New Roman" w:cs="Times New Roman"/>
                <w:noProof/>
                <w:sz w:val="24"/>
                <w:szCs w:val="24"/>
              </w:rPr>
            </w:pP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Līdz 2019. gadam</w:t>
            </w:r>
          </w:p>
        </w:tc>
      </w:tr>
      <w:tr>
        <w:tc>
          <w:tcPr>
            <w:tcW w:w="9420" w:type="dxa"/>
            <w:gridSpan w:val="3"/>
          </w:tcPr>
          <w:p>
            <w:pPr>
              <w:spacing w:before="120" w:after="120"/>
              <w:ind w:left="709" w:hanging="709"/>
              <w:jc w:val="both"/>
              <w:rPr>
                <w:rFonts w:ascii="Times New Roman" w:hAnsi="Times New Roman" w:cs="Times New Roman"/>
                <w:noProof/>
                <w:sz w:val="24"/>
                <w:szCs w:val="24"/>
              </w:rPr>
            </w:pPr>
            <w:r>
              <w:rPr>
                <w:rFonts w:ascii="Times New Roman" w:hAnsi="Times New Roman"/>
                <w:b/>
                <w:smallCaps/>
                <w:noProof/>
                <w:sz w:val="28"/>
              </w:rPr>
              <w:t>3.</w:t>
            </w:r>
            <w:r>
              <w:rPr>
                <w:noProof/>
              </w:rPr>
              <w:tab/>
            </w:r>
            <w:r>
              <w:rPr>
                <w:rFonts w:ascii="Times New Roman" w:hAnsi="Times New Roman"/>
                <w:b/>
                <w:smallCaps/>
                <w:noProof/>
              </w:rPr>
              <w:t>IĪT PĀRKĀPUMU APKAROŠANA PASTIPRINĀTAS ADMINISTRATĪVĀS SADARBĪBAS CEĻĀ</w:t>
            </w:r>
            <w:r>
              <w:rPr>
                <w:rFonts w:ascii="Times New Roman" w:hAnsi="Times New Roman"/>
                <w:b/>
                <w:smallCaps/>
                <w:noProof/>
                <w:sz w:val="28"/>
              </w:rPr>
              <w:t xml:space="preserve"> </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Pastiprināt centienus un nodrošināt, ka sabiedrība ir labāk informēta par riskiem, kas saistīti ar IĪT pārkāpumiem.</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Komisija/</w:t>
            </w:r>
            <w:r>
              <w:rPr>
                <w:rFonts w:ascii="Times New Roman" w:hAnsi="Times New Roman"/>
                <w:i/>
                <w:noProof/>
                <w:sz w:val="24"/>
              </w:rPr>
              <w:t>EUIPO</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Līdz 2019. gadam</w:t>
            </w:r>
          </w:p>
        </w:tc>
      </w:tr>
      <w:tr>
        <w:tc>
          <w:tcPr>
            <w:tcW w:w="480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Piedāvāt mērķtiecīgāku palīdzību valstu muitas iestādēm, pamatojoties uz pašreizējā Muitas rīcības plāna īstenošanas rezultātiem, un kopā ar Padomes prezidentvalsti strādāt pie jauna Muitas rīcības plāna.</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Komisija/Padome</w:t>
            </w: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2018. gads</w:t>
            </w:r>
          </w:p>
        </w:tc>
      </w:tr>
      <w:tr>
        <w:tc>
          <w:tcPr>
            <w:tcW w:w="9420" w:type="dxa"/>
            <w:gridSpan w:val="3"/>
          </w:tcPr>
          <w:p>
            <w:pPr>
              <w:spacing w:before="120" w:after="120"/>
              <w:jc w:val="both"/>
              <w:rPr>
                <w:rFonts w:ascii="Times New Roman" w:hAnsi="Times New Roman" w:cs="Times New Roman"/>
                <w:noProof/>
                <w:sz w:val="24"/>
                <w:szCs w:val="24"/>
              </w:rPr>
            </w:pPr>
            <w:r>
              <w:rPr>
                <w:rFonts w:ascii="Times New Roman" w:hAnsi="Times New Roman"/>
                <w:b/>
                <w:noProof/>
                <w:sz w:val="24"/>
              </w:rPr>
              <w:t xml:space="preserve">4. </w:t>
            </w:r>
            <w:r>
              <w:rPr>
                <w:noProof/>
              </w:rPr>
              <w:tab/>
            </w:r>
            <w:r>
              <w:rPr>
                <w:rFonts w:ascii="Times New Roman" w:hAnsi="Times New Roman"/>
                <w:b/>
                <w:noProof/>
                <w:sz w:val="24"/>
              </w:rPr>
              <w:t xml:space="preserve">INTELEKTUĀLĀ ĪPAŠUMA TIESĪBU PĀRKĀPUMU APKAROŠANA VISĀ PASAULĒ </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 xml:space="preserve">Publicēt jaunu ziņojumu par intelektuālā īpašuma tiesību aizsardzību un izpildi trešās valstīs, nosakot jaunas prioritārās jomas (t. i., brīvās tirdzniecības zonas, ģeogrāfiskās izcelsmes norādes). </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Komisija</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2018. gada pirmais pusgads</w:t>
            </w:r>
          </w:p>
          <w:p>
            <w:pPr>
              <w:spacing w:before="120" w:after="120"/>
              <w:jc w:val="both"/>
              <w:rPr>
                <w:rFonts w:ascii="Times New Roman" w:hAnsi="Times New Roman" w:cs="Times New Roman"/>
                <w:noProof/>
                <w:sz w:val="24"/>
                <w:szCs w:val="24"/>
              </w:rPr>
            </w:pP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Izveidot intelektuālā īpašuma tirgu kontrolsarakstu, kurā uzskaitīti tiešsaistes un reālie tirgi, kas ir iesaistīti būtiskos IĪT pārkāpumos vai tos atbalsta</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Komisija</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2018. gads</w:t>
            </w:r>
          </w:p>
          <w:p>
            <w:pPr>
              <w:spacing w:before="120" w:after="120"/>
              <w:jc w:val="both"/>
              <w:rPr>
                <w:rFonts w:ascii="Times New Roman" w:hAnsi="Times New Roman" w:cs="Times New Roman"/>
                <w:noProof/>
                <w:sz w:val="24"/>
                <w:szCs w:val="24"/>
              </w:rPr>
            </w:pP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Pamatojoties uz gada darba plāniem, īstenot tehniskās sadarbības programmas (“IP Key” programmas) ar Ķīnu, Dienvidaustrumāziju un Latīņameriku.</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Komisija/ Novērošanas centrs</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2018.–2019. gads</w:t>
            </w:r>
          </w:p>
        </w:tc>
      </w:tr>
    </w:tbl>
    <w:p>
      <w:pPr>
        <w:spacing w:before="120" w:after="120"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103"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3692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Ņemot vērā gan tiešo, gan netiešo nodarbinātību.</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EUIPO</w:t>
      </w:r>
      <w:r>
        <w:rPr>
          <w:rFonts w:ascii="Times New Roman" w:hAnsi="Times New Roman"/>
        </w:rPr>
        <w:t xml:space="preserve"> (Eiropas Savienības Intelektuālā īpašuma birojs), </w:t>
      </w:r>
      <w:r>
        <w:rPr>
          <w:rFonts w:ascii="Times New Roman" w:hAnsi="Times New Roman"/>
          <w:i/>
        </w:rPr>
        <w:t>Intellectual property rights in intensive industries and economic performance in the EU</w:t>
      </w:r>
      <w:r>
        <w:rPr>
          <w:rFonts w:ascii="Times New Roman" w:hAnsi="Times New Roman"/>
        </w:rPr>
        <w:t xml:space="preserve"> (“Intelektuālā īpašuma tiesības IĪT ietilpīgās nozarēs un ES ekonomiskie rādītāji”), 2016. gads.</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Par spīti tam ir vērojamas arī dažas pozitīvas tendences. Piemēram, autortiesību jomā jauni uzņēmējdarbības modeļi ir palīdzējuši dažos tirgos samazināt autortiesību pārkāpumu skaitu (skatīt: </w:t>
      </w:r>
      <w:hyperlink r:id="rId1">
        <w:r>
          <w:rPr>
            <w:rStyle w:val="Hyperlink"/>
            <w:rFonts w:ascii="Times New Roman" w:hAnsi="Times New Roman"/>
          </w:rPr>
          <w:t>https://copia.is/library/the-carrot-or-the-stick/</w:t>
        </w:r>
      </w:hyperlink>
      <w:r>
        <w:rPr>
          <w:rFonts w:ascii="Times New Roman" w:hAnsi="Times New Roman"/>
        </w:rPr>
        <w:t xml:space="preserve">). Legālā piedāvājuma sekmīga attīstība, protams, ir atkarīga arī no tiesībaizsardzības pasākumiem. Komisija vairākkārt ir atzinusi, ka tiešsaistes pirātisma apkarošana ir jāapvieno ar savstarpēji papildinošiem pasākumiem, tostarp legāla piedāvājuma veidošanu un izglītojošām iniciatīvām (skatīt, piemēram, Komisijas paziņojumu par </w:t>
      </w:r>
      <w:r>
        <w:rPr>
          <w:rFonts w:ascii="Times New Roman" w:hAnsi="Times New Roman"/>
          <w:i/>
        </w:rPr>
        <w:t>tiešsaistē pieejamu radošo saturu vienotajā tirgū</w:t>
      </w:r>
      <w:r>
        <w:rPr>
          <w:rFonts w:ascii="Times New Roman" w:hAnsi="Times New Roman"/>
        </w:rPr>
        <w:t xml:space="preserve"> (COM(2007) 0836 galīgā redakcija) un paziņojumu </w:t>
      </w:r>
      <w:r>
        <w:rPr>
          <w:rFonts w:ascii="Times New Roman" w:hAnsi="Times New Roman"/>
          <w:i/>
        </w:rPr>
        <w:t>Ceļā uz modernu un eiropeiskāku autortiesību regulējumu</w:t>
      </w:r>
      <w:r>
        <w:rPr>
          <w:rFonts w:ascii="Times New Roman" w:hAnsi="Times New Roman"/>
        </w:rPr>
        <w:t xml:space="preserve"> (COM(2015) 626 </w:t>
      </w:r>
      <w:r>
        <w:rPr>
          <w:rFonts w:ascii="Times New Roman" w:hAnsi="Times New Roman"/>
          <w:i/>
          <w:iCs/>
        </w:rPr>
        <w:t>final</w:t>
      </w:r>
      <w:r>
        <w:rPr>
          <w:rFonts w:ascii="Times New Roman" w:hAnsi="Times New Roman"/>
        </w:rPr>
        <w:t>)).</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ESAO/</w:t>
      </w:r>
      <w:r>
        <w:rPr>
          <w:rFonts w:ascii="Times New Roman" w:hAnsi="Times New Roman"/>
          <w:i/>
        </w:rPr>
        <w:t>EUIPO</w:t>
      </w:r>
      <w:r>
        <w:rPr>
          <w:rFonts w:ascii="Times New Roman" w:hAnsi="Times New Roman"/>
        </w:rPr>
        <w:t xml:space="preserve">, </w:t>
      </w:r>
      <w:r>
        <w:rPr>
          <w:rFonts w:ascii="Times New Roman" w:hAnsi="Times New Roman"/>
          <w:i/>
        </w:rPr>
        <w:t>Trade in Counterfeit and Pirated Goods: Mapping the Economic Impact</w:t>
      </w:r>
      <w:r>
        <w:rPr>
          <w:rFonts w:ascii="Times New Roman" w:hAnsi="Times New Roman"/>
        </w:rPr>
        <w:t xml:space="preserve"> (“Viltotu un pirātisku preču tirdzniecība: ekonomiskās ietekmes kartēšana”), 2016. gads.</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Kosmētika un personīgās higiēnas preces; apģērbs, aksesuāri un apavi; sporta preces; rotaļlietas un spēles; rokas somas un ceļojumu somas; rotaslietas un pulksteņi; mūzikas ieraksti; stiprie alkoholiskie dzērieni un vīns; farmaceitiskie līdzekļi.</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Šie dati ir pieejami šeit: </w:t>
      </w:r>
      <w:hyperlink r:id="rId2">
        <w:r>
          <w:rPr>
            <w:rStyle w:val="Hyperlink"/>
            <w:rFonts w:ascii="Times New Roman" w:hAnsi="Times New Roman"/>
          </w:rPr>
          <w:t>https://euipo.europa.eu/ohimportal/en/web/observatory/quantification-of-ipr-infringement</w:t>
        </w:r>
      </w:hyperlink>
      <w:r>
        <w:t>.</w:t>
      </w:r>
    </w:p>
  </w:footnote>
  <w:footnote w:id="8">
    <w:p>
      <w:pPr>
        <w:pStyle w:val="Cuerpo"/>
        <w:spacing w:after="0" w:line="240" w:lineRule="auto"/>
        <w:jc w:val="both"/>
        <w:rPr>
          <w:rFonts w:ascii="Times New Roman" w:hAnsi="Times New Roman" w:cs="Times New Roman"/>
          <w:sz w:val="20"/>
          <w:szCs w:val="20"/>
          <w:lang w:val="en-GB"/>
        </w:rPr>
      </w:pPr>
      <w:r>
        <w:rPr>
          <w:rFonts w:ascii="Times New Roman" w:hAnsi="Times New Roman"/>
          <w:sz w:val="20"/>
          <w:vertAlign w:val="superscript"/>
        </w:rPr>
        <w:footnoteRef/>
      </w:r>
      <w:r>
        <w:rPr>
          <w:rFonts w:ascii="Times New Roman" w:hAnsi="Times New Roman"/>
          <w:sz w:val="20"/>
          <w:lang w:val="en-GB"/>
        </w:rPr>
        <w:t xml:space="preserve"> Skatīt, piemēram, </w:t>
      </w:r>
      <w:r>
        <w:rPr>
          <w:rFonts w:ascii="Times New Roman" w:hAnsi="Times New Roman"/>
          <w:i/>
          <w:sz w:val="20"/>
          <w:lang w:val="en-GB"/>
        </w:rPr>
        <w:t>BASCAP/INTA</w:t>
      </w:r>
      <w:r>
        <w:rPr>
          <w:rFonts w:ascii="Times New Roman" w:hAnsi="Times New Roman"/>
          <w:sz w:val="20"/>
          <w:lang w:val="en-GB"/>
        </w:rPr>
        <w:t xml:space="preserve"> (Starptautiskās tirdzniecības komitejas Pretviltošanas un pirātisma novēršanas kampaņa) dokumentu </w:t>
      </w:r>
      <w:r>
        <w:rPr>
          <w:rFonts w:ascii="Times New Roman" w:hAnsi="Times New Roman"/>
          <w:i/>
          <w:sz w:val="20"/>
          <w:lang w:val="en-GB"/>
        </w:rPr>
        <w:t>The Economic impact of counterfeiting and piracy</w:t>
      </w:r>
      <w:r>
        <w:rPr>
          <w:rFonts w:ascii="Times New Roman" w:hAnsi="Times New Roman"/>
          <w:sz w:val="20"/>
          <w:lang w:val="en-GB"/>
        </w:rPr>
        <w:t xml:space="preserve"> (“Viltošanas un pirātisma ekonomiskā ietekme”), 2017. gads, kas pieejams šeit:</w:t>
      </w:r>
      <w:r>
        <w:rPr>
          <w:rFonts w:ascii="Times New Roman" w:eastAsiaTheme="minorHAnsi" w:hAnsi="Times New Roman"/>
          <w:color w:val="auto"/>
          <w:sz w:val="20"/>
          <w:bdr w:val="none" w:sz="0" w:space="0" w:color="auto"/>
          <w:lang w:val="en-GB"/>
        </w:rPr>
        <w:t xml:space="preserve"> </w:t>
      </w:r>
      <w:hyperlink r:id="rId3">
        <w:r>
          <w:rPr>
            <w:rStyle w:val="Hyperlink"/>
            <w:rFonts w:ascii="Times New Roman" w:hAnsi="Times New Roman"/>
            <w:sz w:val="20"/>
            <w:lang w:val="en-GB"/>
          </w:rPr>
          <w:t>http://www.inta.org/Communications/Documents/2017_Frontier_Report.pdf</w:t>
        </w:r>
      </w:hyperlink>
      <w:r>
        <w:rPr>
          <w:rFonts w:ascii="Times New Roman" w:hAnsi="Times New Roman"/>
          <w:sz w:val="20"/>
          <w:lang w:val="en-GB"/>
        </w:rPr>
        <w:t xml:space="preserve"> un kurā kino, mūzikas un programmatūras nozari skārušā digitālā pirātisma kopējā vērtība pasaulē 2015. gadā tiek lēsta 213 miljardu USD apmērā. Skatīt arī </w:t>
      </w:r>
      <w:r>
        <w:rPr>
          <w:rFonts w:ascii="Times New Roman" w:hAnsi="Times New Roman"/>
          <w:i/>
          <w:sz w:val="20"/>
          <w:lang w:val="en-GB"/>
        </w:rPr>
        <w:t>EUIPO</w:t>
      </w:r>
      <w:r>
        <w:rPr>
          <w:rFonts w:ascii="Times New Roman" w:hAnsi="Times New Roman"/>
          <w:sz w:val="20"/>
          <w:lang w:val="en-GB"/>
        </w:rPr>
        <w:t xml:space="preserve">, </w:t>
      </w:r>
      <w:r>
        <w:rPr>
          <w:rFonts w:ascii="Times New Roman" w:hAnsi="Times New Roman"/>
          <w:i/>
          <w:sz w:val="20"/>
          <w:lang w:val="en-GB"/>
        </w:rPr>
        <w:t>The Economic cost of IPR Infringement in the recorded Music industry</w:t>
      </w:r>
      <w:r>
        <w:rPr>
          <w:rFonts w:ascii="Times New Roman" w:hAnsi="Times New Roman"/>
          <w:sz w:val="20"/>
          <w:lang w:val="en-GB"/>
        </w:rPr>
        <w:t xml:space="preserve"> (“IĪT pārkāpumu ekonomiskās izmaksas mūzikas ierakstu nozarē”), 2016. gada maijs, pieejams šeit: </w:t>
      </w:r>
      <w:hyperlink r:id="rId4">
        <w:r>
          <w:rPr>
            <w:rStyle w:val="Hyperlink"/>
            <w:rFonts w:ascii="Times New Roman" w:hAnsi="Times New Roman"/>
            <w:sz w:val="20"/>
            <w:lang w:val="en-GB"/>
          </w:rPr>
          <w:t>https://euipo.europa.eu/tunnel-web/secure/webdav/guest/document_library/observatory/resources/research-and-studies/ip_infringement/study7/Music_industry_en.pdf</w:t>
        </w:r>
      </w:hyperlink>
      <w:r>
        <w:rPr>
          <w:rFonts w:ascii="Times New Roman" w:hAnsi="Times New Roman"/>
          <w:sz w:val="20"/>
          <w:lang w:val="en-GB"/>
        </w:rPr>
        <w:t>. Šajā pētījumā tika konstatēts, ka nelegālas izcelsmes mūzikas ierakstu patēriņa dēļ 2014. gadā ES mūzikas ierakstu nozare zaudēja pārdošanas ieņēmumus aptuveni 170 miljonu EUR apmērā. Skatīt arī Apvienotās Karalistes Intelektuālā īpašuma biroja apsekojuma pētījumus, kuros pētīts tiešsaistē izdarītu autortiesību pārkāpumu apmērs. Jaunākajā pētījumā (2016. gada maijs) ir konstatēts, ka 15 % no Apvienotās Karalistes interneta lietotājiem, kas vecāki par 12 gadiem, laikā no 2016. gada marta līdz maijam nelegāli patērēja vismaz vienu tiešsaistes satura vienību un ka 5 % Apvienotās Karalistes interneta lietotāju, kas vecāki par 12 gadiem, patērēja tikai nelegālu saturu</w:t>
      </w:r>
      <w:r>
        <w:rPr>
          <w:rFonts w:ascii="Times New Roman" w:eastAsiaTheme="minorHAnsi" w:hAnsi="Times New Roman"/>
          <w:color w:val="auto"/>
          <w:sz w:val="20"/>
          <w:bdr w:val="none" w:sz="0" w:space="0" w:color="auto"/>
          <w:lang w:val="en-GB"/>
        </w:rPr>
        <w:t xml:space="preserve"> (pieejams šeit: </w:t>
      </w:r>
      <w:hyperlink r:id="rId5">
        <w:r>
          <w:rPr>
            <w:rStyle w:val="Hyperlink"/>
            <w:rFonts w:ascii="Times New Roman" w:hAnsi="Times New Roman"/>
            <w:sz w:val="20"/>
            <w:u w:val="none"/>
            <w:lang w:val="en-GB"/>
          </w:rPr>
          <w:t>https://www.gov.uk/government/uploads/system/uploads/attachment_data/file/546223/OCI-tracker-6th-wave-March-May-2016.pdf</w:t>
        </w:r>
      </w:hyperlink>
      <w:r>
        <w:rPr>
          <w:rFonts w:ascii="Times New Roman" w:hAnsi="Times New Roman"/>
          <w:sz w:val="20"/>
          <w:lang w:val="en-GB"/>
        </w:rPr>
        <w:t>).</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Jaunākajā </w:t>
      </w:r>
      <w:r>
        <w:rPr>
          <w:rFonts w:ascii="Times New Roman" w:hAnsi="Times New Roman"/>
          <w:i/>
        </w:rPr>
        <w:t>EUIPO</w:t>
      </w:r>
      <w:r>
        <w:rPr>
          <w:rFonts w:ascii="Times New Roman" w:hAnsi="Times New Roman"/>
        </w:rPr>
        <w:t xml:space="preserve"> analīzē (skatīt 6. zemsvītras piezīmi) ir aprēķināts, ka minētajās deviņās nozarēs tiešā un netiešā veidā ir zaudēti vairāk nekā 786 000 darbvietu. Šajās deviņās nozarēs valdība ir zaudējusi ieņēmumus 14,4 miljardu EUR apmērā.</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UNODC</w:t>
      </w:r>
      <w:r>
        <w:rPr>
          <w:rFonts w:ascii="Times New Roman" w:hAnsi="Times New Roman"/>
        </w:rPr>
        <w:t xml:space="preserve"> (ANO Narkotiku un noziedzības novēršanas birojs), </w:t>
      </w:r>
      <w:r>
        <w:rPr>
          <w:rFonts w:ascii="Times New Roman" w:hAnsi="Times New Roman"/>
          <w:i/>
        </w:rPr>
        <w:t>The Illicit Trafficking of Counterfeit Goods and Transnational Organized Crime</w:t>
      </w:r>
      <w:r>
        <w:rPr>
          <w:rFonts w:ascii="Times New Roman" w:hAnsi="Times New Roman"/>
        </w:rPr>
        <w:t xml:space="preserve"> (“Viltotu preču nelikumīga tirdzniecība un starptautiskā organizētā noziedzība”),</w:t>
      </w:r>
      <w:r>
        <w:rPr>
          <w:rFonts w:ascii="Times New Roman" w:hAnsi="Times New Roman"/>
          <w:i/>
        </w:rPr>
        <w:t xml:space="preserve"> </w:t>
      </w:r>
      <w:r>
        <w:rPr>
          <w:rFonts w:ascii="Times New Roman" w:hAnsi="Times New Roman"/>
        </w:rPr>
        <w:t>2014. gads, pieejams šeit:</w:t>
      </w:r>
    </w:p>
    <w:p>
      <w:pPr>
        <w:pStyle w:val="FootnoteText"/>
        <w:jc w:val="both"/>
        <w:rPr>
          <w:rFonts w:ascii="Times New Roman" w:hAnsi="Times New Roman" w:cs="Times New Roman"/>
        </w:rPr>
      </w:pPr>
      <w:hyperlink r:id="rId6">
        <w:r>
          <w:rPr>
            <w:rStyle w:val="Hyperlink"/>
            <w:rFonts w:ascii="Times New Roman" w:hAnsi="Times New Roman"/>
          </w:rPr>
          <w:t>https://www.unodc.org/documents/counterfeit/FocusSheet/Counterfeit_focussheet_EN_HIRES.pdf</w:t>
        </w:r>
      </w:hyperlink>
    </w:p>
    <w:p>
      <w:pPr>
        <w:pStyle w:val="FootnoteText"/>
        <w:jc w:val="both"/>
        <w:rPr>
          <w:rFonts w:ascii="Times New Roman" w:hAnsi="Times New Roman" w:cs="Times New Roman"/>
        </w:rPr>
      </w:pPr>
      <w:r>
        <w:rPr>
          <w:rFonts w:ascii="Times New Roman" w:hAnsi="Times New Roman"/>
        </w:rPr>
        <w:t>Eiropols/</w:t>
      </w:r>
      <w:r>
        <w:rPr>
          <w:rFonts w:ascii="Times New Roman" w:hAnsi="Times New Roman"/>
          <w:i/>
        </w:rPr>
        <w:t>EUIPO</w:t>
      </w:r>
      <w:r>
        <w:rPr>
          <w:rFonts w:ascii="Times New Roman" w:hAnsi="Times New Roman"/>
        </w:rPr>
        <w:t xml:space="preserve">, </w:t>
      </w:r>
      <w:r>
        <w:rPr>
          <w:rFonts w:ascii="Times New Roman" w:hAnsi="Times New Roman"/>
          <w:i/>
        </w:rPr>
        <w:t>Situation report on counterfeiting in the EU</w:t>
      </w:r>
      <w:r>
        <w:rPr>
          <w:rFonts w:ascii="Times New Roman" w:hAnsi="Times New Roman"/>
        </w:rPr>
        <w:t xml:space="preserve"> (“Ziņojums par situāciju viltošanas jomā ES”), 2015. gads, pieejams šeit: </w:t>
      </w:r>
    </w:p>
    <w:p>
      <w:pPr>
        <w:pStyle w:val="FootnoteText"/>
        <w:jc w:val="both"/>
        <w:rPr>
          <w:rFonts w:ascii="Times New Roman" w:hAnsi="Times New Roman" w:cs="Times New Roman"/>
        </w:rPr>
      </w:pPr>
      <w:hyperlink r:id="rId7">
        <w:r>
          <w:rPr>
            <w:rStyle w:val="Hyperlink"/>
            <w:rFonts w:ascii="Times New Roman" w:hAnsi="Times New Roman"/>
          </w:rPr>
          <w:t>https://euipo.europa.eu/ohimportal/documents/11370/80606/2015+Situation+Report+on+Counterfeiting+in+the+EU</w:t>
        </w:r>
      </w:hyperlink>
      <w:r>
        <w:rPr>
          <w:rStyle w:val="Hyperlink"/>
          <w:rFonts w:ascii="Times New Roman" w:hAnsi="Times New Roman"/>
          <w:color w:val="auto"/>
          <w:u w:val="none"/>
        </w:rPr>
        <w:t xml:space="preserve"> un</w:t>
      </w:r>
      <w:r>
        <w:rPr>
          <w:rFonts w:ascii="Times New Roman" w:hAnsi="Times New Roman"/>
        </w:rPr>
        <w:t xml:space="preserve"> </w:t>
      </w:r>
      <w:r>
        <w:rPr>
          <w:rFonts w:ascii="Times New Roman" w:hAnsi="Times New Roman"/>
          <w:i/>
        </w:rPr>
        <w:t>UNICRI</w:t>
      </w:r>
      <w:r>
        <w:rPr>
          <w:rFonts w:ascii="Times New Roman" w:hAnsi="Times New Roman"/>
        </w:rPr>
        <w:t xml:space="preserve"> (ANO Starpreģionālais noziedzības un tieslietu pētniecības institūts), </w:t>
      </w:r>
      <w:r>
        <w:rPr>
          <w:rFonts w:ascii="Times New Roman" w:hAnsi="Times New Roman"/>
          <w:i/>
        </w:rPr>
        <w:t>Illicit pesticides, Organized crime and supply chain integrity</w:t>
      </w:r>
      <w:r>
        <w:rPr>
          <w:rFonts w:ascii="Times New Roman" w:hAnsi="Times New Roman"/>
        </w:rPr>
        <w:t xml:space="preserve"> (“Nelikumīgi pesticīdi, organizētā noziedzība un piegādes ķēdes integritāte”), 2016. gads, pieejams šeit:</w:t>
      </w:r>
    </w:p>
    <w:p>
      <w:pPr>
        <w:pStyle w:val="FootnoteText"/>
        <w:jc w:val="both"/>
        <w:rPr>
          <w:rFonts w:ascii="Times New Roman" w:hAnsi="Times New Roman" w:cs="Times New Roman"/>
        </w:rPr>
      </w:pPr>
      <w:hyperlink r:id="rId8">
        <w:r>
          <w:rPr>
            <w:rStyle w:val="Hyperlink"/>
            <w:rFonts w:ascii="Times New Roman" w:hAnsi="Times New Roman"/>
          </w:rPr>
          <w:t>http://www.unicri.it/in_focus/files/The_problem_of_illicit_pesticides_low_res1.pdf</w:t>
        </w:r>
      </w:hyperlink>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Ceļā uz atjaunotu vienprātību par intelektuālā īpašuma tiesību īstenošanu: ES rīcības plāns</w:t>
      </w:r>
      <w:r>
        <w:rPr>
          <w:rFonts w:ascii="Times New Roman" w:hAnsi="Times New Roman"/>
        </w:rPr>
        <w:t>, COM(2014) 392, 2014. gada 1. jūlijs. Pamatojoties uz šo rīcības plānu, Eiropas Parlaments aicināja Komisiju sagatavot detalizētu pašreizējā tiesiskā regulējuma novērtējumu — skatīt 2015. gada 9. jūnija rezolūciju.</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Komisijas paziņojums </w:t>
      </w:r>
      <w:r>
        <w:rPr>
          <w:rFonts w:ascii="Times New Roman" w:hAnsi="Times New Roman"/>
          <w:i/>
        </w:rPr>
        <w:t>Digitālā vienotā tirgus stratēģija Eiropai</w:t>
      </w:r>
      <w:r>
        <w:rPr>
          <w:rFonts w:ascii="Times New Roman" w:hAnsi="Times New Roman"/>
        </w:rPr>
        <w:t>, COM(2015) 0192, 2015. gada 6. maijs.</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Komisijas paziņojums </w:t>
      </w:r>
      <w:r>
        <w:rPr>
          <w:rFonts w:ascii="Times New Roman" w:hAnsi="Times New Roman"/>
          <w:i/>
        </w:rPr>
        <w:t>Vienotā tirgus pilnīgošana — plašākas iespējas cilvēkiem un uzņēmējdarbībai</w:t>
      </w:r>
      <w:r>
        <w:rPr>
          <w:rFonts w:ascii="Times New Roman" w:hAnsi="Times New Roman"/>
        </w:rPr>
        <w:t>, COM(2015) 0550, 2015. gada 28. oktobris.</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Jo īpaši skatīt dokumentu </w:t>
      </w:r>
      <w:r>
        <w:rPr>
          <w:rFonts w:ascii="Times New Roman" w:hAnsi="Times New Roman"/>
          <w:i/>
        </w:rPr>
        <w:t>Kā digitālajā vienotajā tirgū veicināt taisnīgu, efektīvu un konkurētspējīgu, uz Eiropas autortiesībām balstītu ekonomiku</w:t>
      </w:r>
      <w:r>
        <w:rPr>
          <w:rFonts w:ascii="Times New Roman" w:hAnsi="Times New Roman"/>
        </w:rPr>
        <w:t>, COM(2016) 592, 2016. gada 14. septembris, un Eiropas Parlamenta un Padomes 2017. gada 14. septembra priekšlikumu direktīvai par autortiesībām digitālajā vienotajā tirgū.</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Pielikumā ir sniegts galveno pasākumu pārskats.</w:t>
      </w:r>
    </w:p>
  </w:footnote>
  <w:footnote w:id="16">
    <w:p>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Eiropas Parlamenta un Padomes 2004. gada 29. aprīļa Direktīva 2004/48/EK par intelektuālā īpašuma tiesību piemērošanu (OV L 157, 30.4.2004., 45. lpp.).</w:t>
      </w:r>
    </w:p>
  </w:footnote>
  <w:footnote w:id="17">
    <w:p>
      <w:pPr>
        <w:pStyle w:val="FootnoteText"/>
        <w:jc w:val="both"/>
        <w:rPr>
          <w:rFonts w:ascii="Times New Roman" w:hAnsi="Times New Roman" w:cs="Times New Roman"/>
          <w:lang w:val="sv-SE"/>
        </w:rPr>
      </w:pPr>
      <w:r>
        <w:rPr>
          <w:rStyle w:val="FootnoteReference"/>
          <w:rFonts w:ascii="Times New Roman" w:hAnsi="Times New Roman"/>
        </w:rPr>
        <w:footnoteRef/>
      </w:r>
      <w:r>
        <w:rPr>
          <w:rFonts w:ascii="Times New Roman" w:hAnsi="Times New Roman"/>
        </w:rPr>
        <w:t xml:space="preserve"> Labāka regulējuma pamatnostādnēs ir izklāstīti principi, kas Eiropas Komisijai jāievēro, pārvaldot un izvērtējot spēkā esošos tiesību aktus. </w:t>
      </w:r>
      <w:r>
        <w:rPr>
          <w:rFonts w:ascii="Times New Roman" w:hAnsi="Times New Roman"/>
          <w:lang w:val="sv-SE"/>
        </w:rPr>
        <w:t xml:space="preserve">Skatīt </w:t>
      </w:r>
      <w:hyperlink r:id="rId9">
        <w:r>
          <w:rPr>
            <w:rStyle w:val="Hyperlink"/>
            <w:rFonts w:ascii="Times New Roman" w:hAnsi="Times New Roman"/>
            <w:lang w:val="sv-SE"/>
          </w:rPr>
          <w:t>https://ec.europa.eu/info/better-regulation-guidelines-and-toolbox_en</w:t>
        </w:r>
      </w:hyperlink>
      <w:r>
        <w:rPr>
          <w:rFonts w:ascii="Times New Roman" w:hAnsi="Times New Roman"/>
          <w:lang w:val="sv-SE"/>
        </w:rPr>
        <w:t>.</w:t>
      </w:r>
    </w:p>
  </w:footnote>
  <w:footnote w:id="18">
    <w:p>
      <w:pPr>
        <w:pStyle w:val="FootnoteText"/>
        <w:jc w:val="both"/>
        <w:rPr>
          <w:rFonts w:ascii="Times New Roman" w:hAnsi="Times New Roman" w:cs="Times New Roman"/>
          <w:lang w:val="sv-SE"/>
        </w:rPr>
      </w:pPr>
      <w:r>
        <w:rPr>
          <w:rStyle w:val="FootnoteReference"/>
          <w:rFonts w:ascii="Times New Roman" w:hAnsi="Times New Roman"/>
        </w:rPr>
        <w:footnoteRef/>
      </w:r>
      <w:r>
        <w:rPr>
          <w:rFonts w:ascii="Times New Roman" w:hAnsi="Times New Roman"/>
          <w:lang w:val="sv-SE"/>
        </w:rPr>
        <w:t xml:space="preserve"> Sabiedriskās apspriešanas rezultāti ir pieejami Komisijas tīmekļa vietnē: </w:t>
      </w:r>
      <w:hyperlink r:id="rId10">
        <w:r>
          <w:rPr>
            <w:rStyle w:val="Hyperlink"/>
            <w:rFonts w:ascii="Times New Roman" w:hAnsi="Times New Roman"/>
            <w:lang w:val="sv-SE"/>
          </w:rPr>
          <w:t>http://ec.europa.eu/growth/content/have-your-say-enforcement-intellectual-property-rights-0_lv</w:t>
        </w:r>
      </w:hyperlink>
      <w:r>
        <w:rPr>
          <w:rFonts w:ascii="Times New Roman" w:hAnsi="Times New Roman"/>
          <w:lang w:val="sv-SE"/>
        </w:rPr>
        <w:t>.</w:t>
      </w:r>
    </w:p>
  </w:footnote>
  <w:footnote w:id="19">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Skatīt Pamattiesību hartas 17. panta 2. punktu.</w:t>
      </w:r>
    </w:p>
  </w:footnote>
  <w:footnote w:id="20">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Komisijas paziņojums </w:t>
      </w:r>
      <w:r>
        <w:rPr>
          <w:rFonts w:ascii="Times New Roman" w:hAnsi="Times New Roman"/>
          <w:i/>
          <w:lang w:val="fi-FI"/>
        </w:rPr>
        <w:t>Norādes attiecībā uz noteiktiem aspektiem Eiropas Parlamenta un Padomes Direktīvā 2004/48/EK par intelektuālā īpašuma tiesību piemērošanu</w:t>
      </w:r>
      <w:r>
        <w:rPr>
          <w:rFonts w:ascii="Times New Roman" w:hAnsi="Times New Roman"/>
          <w:lang w:val="fi-FI"/>
        </w:rPr>
        <w:t>, COM(2017)708.</w:t>
      </w:r>
    </w:p>
  </w:footnote>
  <w:footnote w:id="21">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Kā paskaidrots </w:t>
      </w:r>
      <w:r>
        <w:rPr>
          <w:rFonts w:ascii="Times New Roman" w:hAnsi="Times New Roman"/>
          <w:i/>
          <w:lang w:val="fi-FI"/>
        </w:rPr>
        <w:t>IPRED</w:t>
      </w:r>
      <w:r>
        <w:rPr>
          <w:rFonts w:ascii="Times New Roman" w:hAnsi="Times New Roman"/>
          <w:lang w:val="fi-FI"/>
        </w:rPr>
        <w:t xml:space="preserve"> 11. apsvērumā, direktīvas mērķis nav paredzēt saskaņotus noteikumus attiecībā uz tiesu iestāžu sadarbību, jurisdikciju, civiltiesību un komerctiesību lēmumu atzīšanu un izpildi vai paredzēt piemērojamās tiesības, jo pastāv citi ES tiesību akti, kas kopumā reglamentē šādus jautājumus un principā ir piemērojami arī intelektuālajam īpašumam.</w:t>
      </w:r>
    </w:p>
  </w:footnote>
  <w:footnote w:id="22">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Sk. norāžu IV.1. sadaļu.</w:t>
      </w:r>
    </w:p>
  </w:footnote>
  <w:footnote w:id="23">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Eiropas Parlamenta un Padomes 2000. gada 8. jūnija Direktīva 2000/31/EK par dažiem informācijas sabiedrības pakalpojumu tiesiskiem aspektiem, jo īpaši elektronisko tirdzniecību, iekšējā tirgū (OV L 178, 17.7.2000., 1. lpp.).</w:t>
      </w:r>
    </w:p>
  </w:footnote>
  <w:footnote w:id="24">
    <w:p>
      <w:pPr>
        <w:pStyle w:val="FootnoteText"/>
        <w:jc w:val="both"/>
        <w:rPr>
          <w:rFonts w:ascii="Times New Roman" w:hAnsi="Times New Roman" w:cs="Times New Roman"/>
          <w:lang w:val="fi-FI"/>
        </w:rPr>
      </w:pPr>
      <w:r>
        <w:rPr>
          <w:rStyle w:val="Ninguno"/>
          <w:rFonts w:ascii="Times New Roman" w:hAnsi="Times New Roman"/>
          <w:vertAlign w:val="superscript"/>
        </w:rPr>
        <w:footnoteRef/>
      </w:r>
      <w:r>
        <w:rPr>
          <w:rFonts w:ascii="Times New Roman" w:hAnsi="Times New Roman"/>
          <w:lang w:val="fi-FI"/>
        </w:rPr>
        <w:t xml:space="preserve"> Komisijas paziņojums </w:t>
      </w:r>
      <w:r>
        <w:rPr>
          <w:rStyle w:val="Ninguno"/>
          <w:rFonts w:ascii="Times New Roman" w:hAnsi="Times New Roman"/>
          <w:i/>
          <w:lang w:val="fi-FI"/>
        </w:rPr>
        <w:t>Tiešsaistes platformas un digitālais vienotais tirgus — Eiropas izdevības un uzdevumi</w:t>
      </w:r>
      <w:r>
        <w:rPr>
          <w:rStyle w:val="Ninguno"/>
          <w:rFonts w:ascii="Times New Roman" w:hAnsi="Times New Roman"/>
          <w:lang w:val="fi-FI"/>
        </w:rPr>
        <w:t xml:space="preserve">, </w:t>
      </w:r>
      <w:r>
        <w:rPr>
          <w:rFonts w:ascii="Times New Roman" w:hAnsi="Times New Roman"/>
          <w:lang w:val="fi-FI"/>
        </w:rPr>
        <w:t>COM(2016) 288, 2016. gada 25. maijs.</w:t>
      </w:r>
    </w:p>
  </w:footnote>
  <w:footnote w:id="25">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Komisijas paziņojums </w:t>
      </w:r>
      <w:r>
        <w:rPr>
          <w:rFonts w:ascii="Times New Roman" w:hAnsi="Times New Roman"/>
          <w:i/>
          <w:lang w:val="fi-FI"/>
        </w:rPr>
        <w:t>Cīņa pret nelikumīgu saturu tiešsaistē. Tiešsaistes platformu atbildības kāpināšana,</w:t>
      </w:r>
      <w:r>
        <w:rPr>
          <w:rFonts w:ascii="Times New Roman" w:hAnsi="Times New Roman"/>
          <w:lang w:val="fi-FI"/>
        </w:rPr>
        <w:t xml:space="preserve"> COM(2017) 555, 2017. gada 28. septembris.</w:t>
      </w:r>
    </w:p>
  </w:footnote>
  <w:footnote w:id="26">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Kā norādīts Komisijas Jaunuzņēmumu un augošo uzņēmumu atbalsta iniciatīvā (</w:t>
      </w:r>
      <w:r>
        <w:rPr>
          <w:rFonts w:ascii="Times New Roman" w:hAnsi="Times New Roman"/>
          <w:i/>
          <w:lang w:val="fi-FI"/>
        </w:rPr>
        <w:t>Intelektuālā īpašuma nodošana MVU rīcībā inovācijas un izaugsmes veicināšanai</w:t>
      </w:r>
      <w:r>
        <w:rPr>
          <w:rFonts w:ascii="Times New Roman" w:hAnsi="Times New Roman"/>
          <w:lang w:val="fi-FI"/>
        </w:rPr>
        <w:t>, SWD(2016) 373, 2016. gada 22. novembris), Komisija veic pasākumus, kuru mērķis ir sekmēt šādu intelektuālā īpašuma apdrošināšanas shēmu izvēršanu Eiropā, jo īpaši, lai palīdzētu MVU.</w:t>
      </w:r>
    </w:p>
  </w:footnote>
  <w:footnote w:id="27">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w:t>
      </w:r>
      <w:hyperlink r:id="rId11">
        <w:r>
          <w:rPr>
            <w:rStyle w:val="Hyperlink"/>
            <w:rFonts w:ascii="Times New Roman" w:hAnsi="Times New Roman"/>
            <w:lang w:val="fi-FI"/>
          </w:rPr>
          <w:t>www.youreurope.be</w:t>
        </w:r>
      </w:hyperlink>
      <w:r>
        <w:rPr>
          <w:rFonts w:ascii="Times New Roman" w:hAnsi="Times New Roman"/>
          <w:lang w:val="fi-FI"/>
        </w:rPr>
        <w:t>.</w:t>
      </w:r>
    </w:p>
  </w:footnote>
  <w:footnote w:id="28">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Tas jādara saskaņā ar tiesību aktiem par personas datu aizsardzību. Papildus tiem dalībvalstīm ir jāievēro arī </w:t>
      </w:r>
      <w:r>
        <w:rPr>
          <w:rFonts w:ascii="Times New Roman" w:hAnsi="Times New Roman"/>
          <w:i/>
          <w:lang w:val="fi-FI"/>
        </w:rPr>
        <w:t>IPRED</w:t>
      </w:r>
      <w:r>
        <w:rPr>
          <w:rFonts w:ascii="Times New Roman" w:hAnsi="Times New Roman"/>
          <w:lang w:val="fi-FI"/>
        </w:rPr>
        <w:t xml:space="preserve"> 15. pants, kurā noteikts, ka tiesu iestādes var izdot rīkojumu par tiesas lēmumu publicēšanu pēc prasītāju lūguma un par pārkāpēju līdzekļiem.</w:t>
      </w:r>
    </w:p>
  </w:footnote>
  <w:footnote w:id="29">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Skatīt 26. zemsvītras piezīmi.</w:t>
      </w:r>
    </w:p>
  </w:footnote>
  <w:footnote w:id="30">
    <w:p>
      <w:pPr>
        <w:pStyle w:val="FootnoteText"/>
        <w:jc w:val="both"/>
        <w:rPr>
          <w:rFonts w:ascii="Times New Roman" w:hAnsi="Times New Roman" w:cs="Times New Roman"/>
          <w:lang w:val="fi-FI"/>
        </w:rPr>
      </w:pPr>
      <w:r>
        <w:rPr>
          <w:rStyle w:val="Ninguno"/>
          <w:rFonts w:ascii="Times New Roman" w:hAnsi="Times New Roman"/>
          <w:vertAlign w:val="superscript"/>
        </w:rPr>
        <w:footnoteRef/>
      </w:r>
      <w:r>
        <w:rPr>
          <w:rFonts w:ascii="Times New Roman" w:hAnsi="Times New Roman"/>
          <w:lang w:val="fi-FI"/>
        </w:rPr>
        <w:t xml:space="preserve"> 2016. gada 21. jūnija Saprašanās memorands par viltotu preču tirdzniecību internetā, pieejams šeit </w:t>
      </w:r>
      <w:hyperlink r:id="rId12">
        <w:r>
          <w:rPr>
            <w:rStyle w:val="Hyperlink"/>
            <w:rFonts w:ascii="Times New Roman" w:hAnsi="Times New Roman"/>
            <w:lang w:val="fi-FI"/>
          </w:rPr>
          <w:t>http://ec.europa.eu/DocsRoom/documents/18023/attachments/1/translations</w:t>
        </w:r>
      </w:hyperlink>
      <w:r>
        <w:rPr>
          <w:rFonts w:ascii="Times New Roman" w:hAnsi="Times New Roman"/>
          <w:lang w:val="fi-FI"/>
        </w:rPr>
        <w:t>. Šis saprašanās memorands attiecas uz preču zīmēm, dizainparaugiem un autortiesībām.</w:t>
      </w:r>
    </w:p>
  </w:footnote>
  <w:footnote w:id="31">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Plašāka informācija par viltošanai veltītā saprašanās memoranda pirmā uzraudzības cikla rezultātiem, kā arī analīze, kurā izmantoti galvenie darbības rādītāji un ieinteresēto personu aptaujas rezultāti, ir pieejama šim paziņojumam pievienotajā Komisijas dienestu darba dokumentā </w:t>
      </w:r>
      <w:r>
        <w:rPr>
          <w:rFonts w:ascii="Times New Roman" w:hAnsi="Times New Roman" w:cs="Times New Roman"/>
          <w:i/>
          <w:lang w:val="fi-FI"/>
        </w:rPr>
        <w:t xml:space="preserve">Overview of the functioning of the Memorandum of Understanding on the sale of counterfeit goods via the internet </w:t>
      </w:r>
      <w:r>
        <w:rPr>
          <w:rFonts w:ascii="Times New Roman" w:hAnsi="Times New Roman"/>
          <w:lang w:val="fi-FI"/>
        </w:rPr>
        <w:t>(</w:t>
      </w:r>
      <w:r>
        <w:rPr>
          <w:rFonts w:ascii="Times New Roman" w:hAnsi="Times New Roman" w:cs="Times New Roman"/>
          <w:lang w:val="fi-FI"/>
        </w:rPr>
        <w:t>“P</w:t>
      </w:r>
      <w:r>
        <w:rPr>
          <w:rFonts w:ascii="Times New Roman" w:hAnsi="Times New Roman"/>
          <w:lang w:val="fi-FI"/>
        </w:rPr>
        <w:t>ārskats par to, kā darbojas</w:t>
      </w:r>
      <w:r>
        <w:rPr>
          <w:rFonts w:ascii="Times New Roman" w:hAnsi="Times New Roman" w:cs="Times New Roman"/>
          <w:i/>
          <w:lang w:val="fi-FI"/>
        </w:rPr>
        <w:t xml:space="preserve"> </w:t>
      </w:r>
      <w:r>
        <w:rPr>
          <w:rFonts w:ascii="Times New Roman" w:hAnsi="Times New Roman" w:cs="Times New Roman"/>
          <w:iCs/>
          <w:lang w:val="fi-FI"/>
        </w:rPr>
        <w:t>Saprašanās memorands par viltoto preču tirdzniecību internetā”),</w:t>
      </w:r>
      <w:r>
        <w:rPr>
          <w:rFonts w:ascii="Times New Roman" w:hAnsi="Times New Roman" w:cs="Times New Roman"/>
          <w:i/>
          <w:lang w:val="fi-FI"/>
        </w:rPr>
        <w:t xml:space="preserve"> </w:t>
      </w:r>
      <w:r>
        <w:rPr>
          <w:rFonts w:ascii="Times New Roman" w:hAnsi="Times New Roman" w:cs="Times New Roman"/>
          <w:lang w:val="fi-FI"/>
        </w:rPr>
        <w:t>SWD(2017) 430</w:t>
      </w:r>
      <w:r>
        <w:rPr>
          <w:rFonts w:ascii="Times New Roman" w:hAnsi="Times New Roman"/>
          <w:lang w:val="fi-FI"/>
        </w:rPr>
        <w:t>.</w:t>
      </w:r>
    </w:p>
  </w:footnote>
  <w:footnote w:id="32">
    <w:p>
      <w:pPr>
        <w:autoSpaceDE w:val="0"/>
        <w:autoSpaceDN w:val="0"/>
        <w:adjustRightInd w:val="0"/>
        <w:spacing w:after="0"/>
        <w:jc w:val="both"/>
        <w:rPr>
          <w:rFonts w:ascii="Times New Roman" w:hAnsi="Times New Roman" w:cs="Times New Roman"/>
          <w:sz w:val="20"/>
          <w:szCs w:val="20"/>
          <w:lang w:val="fi-FI"/>
        </w:rPr>
      </w:pPr>
      <w:r>
        <w:rPr>
          <w:rStyle w:val="FootnoteReference"/>
          <w:rFonts w:ascii="Times New Roman" w:hAnsi="Times New Roman"/>
          <w:sz w:val="20"/>
        </w:rPr>
        <w:footnoteRef/>
      </w:r>
      <w:r>
        <w:rPr>
          <w:rFonts w:ascii="Times New Roman" w:hAnsi="Times New Roman"/>
          <w:sz w:val="20"/>
          <w:lang w:val="fi-FI"/>
        </w:rPr>
        <w:t xml:space="preserve"> </w:t>
      </w:r>
      <w:r>
        <w:rPr>
          <w:rFonts w:ascii="Times New Roman" w:hAnsi="Times New Roman"/>
          <w:sz w:val="20"/>
          <w:szCs w:val="20"/>
          <w:lang w:val="fi-FI"/>
        </w:rPr>
        <w:t xml:space="preserve">Semināra videoieraksts ir pieejams Komisijas tīmekļa vietnē: </w:t>
      </w:r>
      <w:hyperlink r:id="rId13">
        <w:r>
          <w:rPr>
            <w:rStyle w:val="Hyperlink"/>
            <w:rFonts w:ascii="Times New Roman" w:hAnsi="Times New Roman"/>
            <w:sz w:val="20"/>
            <w:szCs w:val="20"/>
            <w:lang w:val="fi-FI"/>
          </w:rPr>
          <w:t>http://ec.europa.eu/growth/industry/intellectual-property/enforcement/index_lv.htm</w:t>
        </w:r>
      </w:hyperlink>
      <w:r>
        <w:rPr>
          <w:sz w:val="20"/>
          <w:szCs w:val="20"/>
          <w:lang w:val="fi-FI"/>
        </w:rPr>
        <w:t>.</w:t>
      </w:r>
    </w:p>
  </w:footnote>
  <w:footnote w:id="33">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Eiropas Komisijas Kopīgais pētniecības centrs veica plašu autentifikācijas tehnoloģiju un izsekošanas un uzraudzības sistēmu kartēšanu, un šī darba rezultāts tika publicēts 2016. gadā un ir pieejams šeit: </w:t>
      </w:r>
      <w:hyperlink r:id="rId14">
        <w:r>
          <w:rPr>
            <w:rStyle w:val="Hyperlink"/>
            <w:rFonts w:ascii="Times New Roman" w:hAnsi="Times New Roman"/>
            <w:lang w:val="fi-FI"/>
          </w:rPr>
          <w:t>http://publications.jrc.ec.europa.eu/repository/bitstream/JRC104204/kjna28400enn.pdf</w:t>
        </w:r>
      </w:hyperlink>
      <w:r>
        <w:rPr>
          <w:rFonts w:ascii="Times New Roman" w:hAnsi="Times New Roman"/>
          <w:lang w:val="fi-FI"/>
        </w:rPr>
        <w:t>.</w:t>
      </w:r>
    </w:p>
  </w:footnote>
  <w:footnote w:id="34">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Protams, ar noteikumu, ka risinājumi, kuru pamatā ir blokķēžu tehnoloģija, atbilst piemērojamajiem tiesību aktiem, jo īpaši personas datu aizsardzības jomā.</w:t>
      </w:r>
    </w:p>
  </w:footnote>
  <w:footnote w:id="35">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Komisija kopā ar Eiropas Parlamentu atklās arī ES blokķēžu tehnoloģijas observatoriju un forumu (</w:t>
      </w:r>
      <w:r>
        <w:rPr>
          <w:rFonts w:ascii="Times New Roman" w:hAnsi="Times New Roman"/>
          <w:i/>
          <w:lang w:val="fi-FI"/>
        </w:rPr>
        <w:t>EU Blockchain Observatory and Forum</w:t>
      </w:r>
      <w:r>
        <w:rPr>
          <w:rFonts w:ascii="Times New Roman" w:hAnsi="Times New Roman"/>
          <w:lang w:val="fi-FI"/>
        </w:rPr>
        <w:t>).</w:t>
      </w:r>
    </w:p>
  </w:footnote>
  <w:footnote w:id="36">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Piemēram, ar IĪT palīdzības dienestu atbalstu.</w:t>
      </w:r>
    </w:p>
  </w:footnote>
  <w:footnote w:id="37">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Standarts ISO 20400 tika apspriests 2017. gada 23. jūnijā Berlīnē notikušajā Augstākā līmeņa sanāksmē, kas veltīta IĪT izpildes jautājumiem.</w:t>
      </w:r>
    </w:p>
  </w:footnote>
  <w:footnote w:id="38">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w:t>
      </w:r>
      <w:hyperlink r:id="rId15">
        <w:r>
          <w:rPr>
            <w:rStyle w:val="Hyperlink"/>
            <w:rFonts w:ascii="Times New Roman" w:hAnsi="Times New Roman"/>
            <w:lang w:val="fi-FI"/>
          </w:rPr>
          <w:t>https://ec.europa.eu/taxation_customs/general-information-customs/customs-security/authorised-economic-operator-aeo_en</w:t>
        </w:r>
      </w:hyperlink>
      <w:r>
        <w:rPr>
          <w:rFonts w:ascii="Times New Roman" w:hAnsi="Times New Roman"/>
          <w:lang w:val="fi-FI"/>
        </w:rPr>
        <w:t>.</w:t>
      </w:r>
    </w:p>
  </w:footnote>
  <w:footnote w:id="39">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Skatīt Eiropola/</w:t>
      </w:r>
      <w:r>
        <w:rPr>
          <w:rFonts w:ascii="Times New Roman" w:hAnsi="Times New Roman"/>
          <w:i/>
          <w:lang w:val="fi-FI"/>
        </w:rPr>
        <w:t>EUIPO</w:t>
      </w:r>
      <w:r>
        <w:rPr>
          <w:rFonts w:ascii="Times New Roman" w:hAnsi="Times New Roman"/>
          <w:lang w:val="fi-FI"/>
        </w:rPr>
        <w:t xml:space="preserve"> dokumentu </w:t>
      </w:r>
      <w:r>
        <w:rPr>
          <w:rFonts w:ascii="Times New Roman" w:hAnsi="Times New Roman"/>
          <w:i/>
          <w:lang w:val="fi-FI"/>
        </w:rPr>
        <w:t>Situation Report on Counterfeiting and Piracy in the European Union</w:t>
      </w:r>
      <w:r>
        <w:rPr>
          <w:rFonts w:ascii="Times New Roman" w:hAnsi="Times New Roman"/>
          <w:lang w:val="fi-FI"/>
        </w:rPr>
        <w:t xml:space="preserve"> (“Ziņojums par situāciju viltošanas un pirātisma jomā Eiropas Savienībā”), 2017. gads, kas pieejams šeit: </w:t>
      </w:r>
      <w:hyperlink r:id="rId16">
        <w:r>
          <w:rPr>
            <w:rStyle w:val="Hyperlink"/>
            <w:rFonts w:ascii="Times New Roman" w:hAnsi="Times New Roman"/>
            <w:lang w:val="fi-FI"/>
          </w:rPr>
          <w:t>https://euipo.europa.eu/tunnel-web/secure/webdav/guest/document_library/observatory/documents/reports/Situation%20Report%20EUIPO-Europol_en.pdf</w:t>
        </w:r>
      </w:hyperlink>
      <w:r>
        <w:rPr>
          <w:rFonts w:ascii="Times New Roman" w:hAnsi="Times New Roman"/>
          <w:lang w:val="fi-FI"/>
        </w:rPr>
        <w:t>.</w:t>
      </w:r>
    </w:p>
  </w:footnote>
  <w:footnote w:id="40">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Skatīt ESAO/</w:t>
      </w:r>
      <w:r>
        <w:rPr>
          <w:rFonts w:ascii="Times New Roman" w:hAnsi="Times New Roman"/>
          <w:i/>
          <w:lang w:val="fi-FI"/>
        </w:rPr>
        <w:t>EUIPO</w:t>
      </w:r>
      <w:r>
        <w:rPr>
          <w:rFonts w:ascii="Times New Roman" w:hAnsi="Times New Roman"/>
          <w:lang w:val="fi-FI"/>
        </w:rPr>
        <w:t xml:space="preserve"> 2017. gada jūnija dokumentu </w:t>
      </w:r>
      <w:r>
        <w:rPr>
          <w:rFonts w:ascii="Times New Roman" w:hAnsi="Times New Roman"/>
          <w:i/>
          <w:lang w:val="fi-FI"/>
        </w:rPr>
        <w:t>Mapping the Real Routes of Trade in Fake Goods</w:t>
      </w:r>
      <w:r>
        <w:rPr>
          <w:rFonts w:ascii="Times New Roman" w:hAnsi="Times New Roman"/>
          <w:lang w:val="fi-FI"/>
        </w:rPr>
        <w:t xml:space="preserve"> (“Viltoto preču tirdzniecības reālo maršrutu kartēšana”), kas pieejams šeit: </w:t>
      </w:r>
      <w:hyperlink r:id="rId17" w:history="1">
        <w:r>
          <w:rPr>
            <w:rStyle w:val="Hyperlink"/>
            <w:rFonts w:ascii="Times New Roman" w:hAnsi="Times New Roman" w:cs="Times New Roman"/>
            <w:lang w:val="fi-FI"/>
          </w:rPr>
          <w:t>https://euipo.europa.eu/tunnel-web/secure/webdav/guest/document_library/observatory/documents/reports/Mapping_the_Real_Routes_of_Trade_in_Fake_Goods_en.pdf</w:t>
        </w:r>
      </w:hyperlink>
      <w:r>
        <w:rPr>
          <w:rFonts w:ascii="Times New Roman" w:hAnsi="Times New Roman"/>
          <w:lang w:val="fi-FI"/>
        </w:rPr>
        <w:t>.</w:t>
      </w:r>
    </w:p>
  </w:footnote>
  <w:footnote w:id="41">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Citas publikācijas par konkrētiem ar IĪT un to pārkāpumiem saistītiem jautājumiem ir pieejamas Novērošanas centra tīmekļa vietnē: https://euipo.europa.eu/ohimportal/en/web/observatory/observatory-publications.</w:t>
      </w:r>
    </w:p>
  </w:footnote>
  <w:footnote w:id="42">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Padomes rezolūcija par ES Muitas rīcības plānu IĪT pārkāpumu apkarošanai (OV C 80, 19.3.2013., 1. lpp.).</w:t>
      </w:r>
    </w:p>
  </w:footnote>
  <w:footnote w:id="43">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Skatīt Eiropas Parlamenta un Padomes 2015. gada 16. decembra Direktīvu (ES) 2015/2436, ar ko tuvina dalībvalstu tiesību aktus attiecībā uz preču zīmēm (OV L 336, 23.12.2015., 1. lpp.).</w:t>
      </w:r>
    </w:p>
  </w:footnote>
  <w:footnote w:id="44">
    <w:p>
      <w:pPr>
        <w:pStyle w:val="FootnoteText"/>
        <w:jc w:val="both"/>
        <w:rPr>
          <w:rFonts w:ascii="Times New Roman" w:hAnsi="Times New Roman" w:cs="Times New Roman"/>
          <w:lang w:val="fi-FI"/>
        </w:rPr>
      </w:pPr>
      <w:r>
        <w:rPr>
          <w:rStyle w:val="FootnoteReference"/>
          <w:rFonts w:ascii="Times New Roman" w:hAnsi="Times New Roman"/>
        </w:rPr>
        <w:footnoteRef/>
      </w:r>
      <w:r>
        <w:rPr>
          <w:rFonts w:ascii="Times New Roman" w:hAnsi="Times New Roman"/>
          <w:lang w:val="fi-FI"/>
        </w:rPr>
        <w:t xml:space="preserve"> Piešķirto nosaukumu un numuru interneta korporācija.</w:t>
      </w:r>
    </w:p>
  </w:footnote>
  <w:footnote w:id="45">
    <w:p>
      <w:pPr>
        <w:pStyle w:val="FootnoteText"/>
        <w:jc w:val="both"/>
        <w:rPr>
          <w:lang w:val="fi-FI"/>
        </w:rPr>
      </w:pPr>
      <w:r>
        <w:rPr>
          <w:rStyle w:val="FootnoteReference"/>
          <w:rFonts w:ascii="Times New Roman" w:hAnsi="Times New Roman"/>
        </w:rPr>
        <w:footnoteRef/>
      </w:r>
      <w:hyperlink r:id="rId18">
        <w:r>
          <w:rPr>
            <w:rStyle w:val="Hyperlink"/>
            <w:rFonts w:ascii="Times New Roman" w:hAnsi="Times New Roman"/>
            <w:lang w:val="fi-FI"/>
          </w:rPr>
          <w:t>https://euipo.europa.eu/ohimportal/documents/11370/0/Report+on+the+protection+and+enforcement+of+intellectual+property+rights+in+third+countries</w:t>
        </w:r>
      </w:hyperlink>
      <w:r>
        <w:rPr>
          <w:rFonts w:ascii="Times New Roman" w:hAnsi="Times New Roman"/>
          <w:lang w:val="fi-F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820"/>
    <w:multiLevelType w:val="hybridMultilevel"/>
    <w:tmpl w:val="1DC6A2C8"/>
    <w:lvl w:ilvl="0" w:tplc="5DB0B390">
      <w:numFmt w:val="bullet"/>
      <w:lvlText w:val="-"/>
      <w:lvlJc w:val="left"/>
      <w:pPr>
        <w:ind w:left="720" w:hanging="360"/>
      </w:pPr>
      <w:rPr>
        <w:rFonts w:ascii="Times New Roman" w:eastAsiaTheme="minorHAnsi" w:hAnsi="Times New Roman"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078BC"/>
    <w:multiLevelType w:val="hybridMultilevel"/>
    <w:tmpl w:val="32A8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4318D"/>
    <w:multiLevelType w:val="hybridMultilevel"/>
    <w:tmpl w:val="6EAE69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E0024"/>
    <w:multiLevelType w:val="hybridMultilevel"/>
    <w:tmpl w:val="1B0613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AC1280"/>
    <w:multiLevelType w:val="hybridMultilevel"/>
    <w:tmpl w:val="CDAE3F46"/>
    <w:lvl w:ilvl="0" w:tplc="D0946346">
      <w:numFmt w:val="bullet"/>
      <w:lvlText w:val="–"/>
      <w:lvlJc w:val="left"/>
      <w:pPr>
        <w:ind w:left="780" w:hanging="4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F55B9"/>
    <w:multiLevelType w:val="hybridMultilevel"/>
    <w:tmpl w:val="AAD8C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65925"/>
    <w:multiLevelType w:val="hybridMultilevel"/>
    <w:tmpl w:val="4582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62D0A"/>
    <w:multiLevelType w:val="hybridMultilevel"/>
    <w:tmpl w:val="13169C0A"/>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101D2"/>
    <w:multiLevelType w:val="hybridMultilevel"/>
    <w:tmpl w:val="E766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869BC"/>
    <w:multiLevelType w:val="hybridMultilevel"/>
    <w:tmpl w:val="595EE01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245A2F"/>
    <w:multiLevelType w:val="hybridMultilevel"/>
    <w:tmpl w:val="FBD6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07216F"/>
    <w:multiLevelType w:val="hybridMultilevel"/>
    <w:tmpl w:val="9792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C5759"/>
    <w:multiLevelType w:val="hybridMultilevel"/>
    <w:tmpl w:val="17765F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930FD3"/>
    <w:multiLevelType w:val="hybridMultilevel"/>
    <w:tmpl w:val="6B3A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A9455B"/>
    <w:multiLevelType w:val="hybridMultilevel"/>
    <w:tmpl w:val="FBC2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8777AE"/>
    <w:multiLevelType w:val="hybridMultilevel"/>
    <w:tmpl w:val="31B6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120D48"/>
    <w:multiLevelType w:val="hybridMultilevel"/>
    <w:tmpl w:val="5B2AE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432656"/>
    <w:multiLevelType w:val="multilevel"/>
    <w:tmpl w:val="DD70A9D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E03F88"/>
    <w:multiLevelType w:val="hybridMultilevel"/>
    <w:tmpl w:val="012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335E3B"/>
    <w:multiLevelType w:val="hybridMultilevel"/>
    <w:tmpl w:val="F8BA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7910C7"/>
    <w:multiLevelType w:val="hybridMultilevel"/>
    <w:tmpl w:val="86B695B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1B3A98"/>
    <w:multiLevelType w:val="hybridMultilevel"/>
    <w:tmpl w:val="6FBE5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E65E76"/>
    <w:multiLevelType w:val="hybridMultilevel"/>
    <w:tmpl w:val="5584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018E6"/>
    <w:multiLevelType w:val="hybridMultilevel"/>
    <w:tmpl w:val="A7D8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005C95"/>
    <w:multiLevelType w:val="hybridMultilevel"/>
    <w:tmpl w:val="2C7266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F8230C2"/>
    <w:multiLevelType w:val="multilevel"/>
    <w:tmpl w:val="12242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13845D2"/>
    <w:multiLevelType w:val="hybridMultilevel"/>
    <w:tmpl w:val="4F1414E2"/>
    <w:lvl w:ilvl="0" w:tplc="B09CD21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40061EC"/>
    <w:multiLevelType w:val="hybridMultilevel"/>
    <w:tmpl w:val="10AE38D0"/>
    <w:lvl w:ilvl="0" w:tplc="AEB282B8">
      <w:start w:val="1"/>
      <w:numFmt w:val="decimal"/>
      <w:lvlText w:val="%1."/>
      <w:lvlJc w:val="left"/>
      <w:pPr>
        <w:ind w:left="720" w:hanging="360"/>
      </w:pPr>
      <w:rPr>
        <w:b/>
        <w:i w:val="0"/>
        <w:sz w:val="22"/>
        <w:szCs w:val="22"/>
      </w:rPr>
    </w:lvl>
    <w:lvl w:ilvl="1" w:tplc="88C0B4EA">
      <w:start w:val="1"/>
      <w:numFmt w:val="lowerLetter"/>
      <w:lvlText w:val="%2."/>
      <w:lvlJc w:val="left"/>
      <w:pPr>
        <w:ind w:left="1440" w:hanging="360"/>
      </w:pPr>
      <w:rPr>
        <w:b/>
      </w:rPr>
    </w:lvl>
    <w:lvl w:ilvl="2" w:tplc="0809001B">
      <w:start w:val="1"/>
      <w:numFmt w:val="lowerRoman"/>
      <w:lvlText w:val="%3."/>
      <w:lvlJc w:val="right"/>
      <w:pPr>
        <w:ind w:left="2160" w:hanging="180"/>
      </w:pPr>
    </w:lvl>
    <w:lvl w:ilvl="3" w:tplc="0688EF5A">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235D35"/>
    <w:multiLevelType w:val="hybridMultilevel"/>
    <w:tmpl w:val="EB8E2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DC3770F"/>
    <w:multiLevelType w:val="hybridMultilevel"/>
    <w:tmpl w:val="B6567EE0"/>
    <w:lvl w:ilvl="0" w:tplc="88C0B4EA">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20"/>
  </w:num>
  <w:num w:numId="4">
    <w:abstractNumId w:val="13"/>
  </w:num>
  <w:num w:numId="5">
    <w:abstractNumId w:val="15"/>
  </w:num>
  <w:num w:numId="6">
    <w:abstractNumId w:val="4"/>
  </w:num>
  <w:num w:numId="7">
    <w:abstractNumId w:val="7"/>
  </w:num>
  <w:num w:numId="8">
    <w:abstractNumId w:val="16"/>
  </w:num>
  <w:num w:numId="9">
    <w:abstractNumId w:val="27"/>
  </w:num>
  <w:num w:numId="10">
    <w:abstractNumId w:val="29"/>
  </w:num>
  <w:num w:numId="11">
    <w:abstractNumId w:val="8"/>
  </w:num>
  <w:num w:numId="12">
    <w:abstractNumId w:val="14"/>
  </w:num>
  <w:num w:numId="13">
    <w:abstractNumId w:val="28"/>
  </w:num>
  <w:num w:numId="14">
    <w:abstractNumId w:val="25"/>
  </w:num>
  <w:num w:numId="15">
    <w:abstractNumId w:val="17"/>
  </w:num>
  <w:num w:numId="16">
    <w:abstractNumId w:val="11"/>
  </w:num>
  <w:num w:numId="17">
    <w:abstractNumId w:val="6"/>
  </w:num>
  <w:num w:numId="18">
    <w:abstractNumId w:val="10"/>
  </w:num>
  <w:num w:numId="19">
    <w:abstractNumId w:val="1"/>
  </w:num>
  <w:num w:numId="20">
    <w:abstractNumId w:val="19"/>
  </w:num>
  <w:num w:numId="21">
    <w:abstractNumId w:val="18"/>
  </w:num>
  <w:num w:numId="22">
    <w:abstractNumId w:val="5"/>
  </w:num>
  <w:num w:numId="23">
    <w:abstractNumId w:val="3"/>
  </w:num>
  <w:num w:numId="24">
    <w:abstractNumId w:val="0"/>
  </w:num>
  <w:num w:numId="25">
    <w:abstractNumId w:val="22"/>
  </w:num>
  <w:num w:numId="26">
    <w:abstractNumId w:val="21"/>
  </w:num>
  <w:num w:numId="27">
    <w:abstractNumId w:val="23"/>
  </w:num>
  <w:num w:numId="28">
    <w:abstractNumId w:val="26"/>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01E7581-0490-4857-83D3-D1899D6D6CD2"/>
    <w:docVar w:name="LW_COVERPAGE_TYPE" w:val="1"/>
    <w:docVar w:name="LW_CROSSREFERENCE" w:val="{SWD(2017) 430 final}"/>
    <w:docVar w:name="LW_DocType" w:val="NORMAL"/>
    <w:docVar w:name="LW_EMISSION" w:val="29.11.2017"/>
    <w:docVar w:name="LW_EMISSION_ISODATE" w:val="2017-11-29"/>
    <w:docVar w:name="LW_EMISSION_LOCATION" w:val="BRX"/>
    <w:docVar w:name="LW_EMISSION_PREFIX" w:val="Briselē, "/>
    <w:docVar w:name="LW_EMISSION_SUFFIX" w:val="."/>
    <w:docVar w:name="LW_ID_DOCTYPE_NONLW" w:val="CP-013"/>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7) 7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u299?dzsvarota intelektu\u257?l\u257? \u299?pa\u353?uma aizsardz\u299?bas sist\u275?ma, kas rea\u291?\u275? uz m\u363?sdienu sabiedr\u299?bas probl\u275?m\u257?m"/>
    <w:docVar w:name="LW_TYPE.DOC.CP" w:val="KOMISIJAS PAZI\u325?OJUMS EIROPAS PARLAMENTAM, PADOMEI UN EIROPAS EKONOMIKAS UN SOCI\u256?LO LIETU KOMITEJ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5"/>
      </w:numPr>
      <w:spacing w:before="480" w:after="240" w:line="240" w:lineRule="auto"/>
      <w:ind w:left="482" w:hanging="482"/>
      <w:jc w:val="both"/>
      <w:outlineLvl w:val="0"/>
    </w:pPr>
    <w:rPr>
      <w:rFonts w:ascii="Times New Roman" w:eastAsia="Times New Roman" w:hAnsi="Times New Roman" w:cs="Times New Roman"/>
      <w:b/>
      <w:smallCaps/>
      <w:szCs w:val="20"/>
    </w:rPr>
  </w:style>
  <w:style w:type="paragraph" w:styleId="Heading2">
    <w:name w:val="heading 2"/>
    <w:basedOn w:val="Normal"/>
    <w:next w:val="Normal"/>
    <w:link w:val="Heading2Char"/>
    <w:qFormat/>
    <w:pPr>
      <w:keepNext/>
      <w:numPr>
        <w:ilvl w:val="1"/>
        <w:numId w:val="15"/>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5"/>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5"/>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FootnotesymbolCarZchn"/>
    <w:uiPriority w:val="99"/>
    <w:unhideWhenUsed/>
    <w:qFormat/>
    <w:rPr>
      <w:vertAlign w:val="superscript"/>
    </w:rPr>
  </w:style>
  <w:style w:type="paragraph" w:styleId="ListParagraph">
    <w:name w:val="List Paragraph"/>
    <w:basedOn w:val="Normal"/>
    <w:link w:val="ListParagraphChar"/>
    <w:uiPriority w:val="34"/>
    <w:qFormat/>
    <w:pPr>
      <w:ind w:left="720"/>
      <w:contextualSpacing/>
    </w:pPr>
  </w:style>
  <w:style w:type="character" w:customStyle="1" w:styleId="highlight">
    <w:name w:val="highlight"/>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affairetitle">
    <w:name w:val="affaire_titl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b/>
      <w:smallCaps/>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Cuerpo">
    <w:name w:val="Cuerpo"/>
    <w:pPr>
      <w:pBdr>
        <w:top w:val="nil"/>
        <w:left w:val="nil"/>
        <w:bottom w:val="nil"/>
        <w:right w:val="nil"/>
        <w:between w:val="nil"/>
        <w:bar w:val="nil"/>
      </w:pBdr>
    </w:pPr>
    <w:rPr>
      <w:rFonts w:ascii="Calibri" w:eastAsia="Calibri" w:hAnsi="Calibri" w:cs="Calibri"/>
      <w:color w:val="000000"/>
      <w:u w:color="000000"/>
      <w:bdr w:val="nil"/>
      <w:lang w:val="fr-BE" w:eastAsia="fr-BE"/>
    </w:rPr>
  </w:style>
  <w:style w:type="character" w:customStyle="1" w:styleId="Enlace">
    <w:name w:val="Enlace"/>
    <w:rPr>
      <w:color w:val="0000FF"/>
      <w:u w:val="single" w:color="0000FF"/>
    </w:rPr>
  </w:style>
  <w:style w:type="character" w:customStyle="1" w:styleId="Ninguno">
    <w:name w:val="Ninguno"/>
  </w:style>
  <w:style w:type="character" w:customStyle="1" w:styleId="Hyperlink5">
    <w:name w:val="Hyperlink.5"/>
    <w:basedOn w:val="Enlace"/>
    <w:rPr>
      <w:rFonts w:ascii="Times New Roman" w:eastAsia="Times New Roman" w:hAnsi="Times New Roman" w:cs="Times New Roman"/>
      <w:color w:val="0000FF"/>
      <w:sz w:val="20"/>
      <w:szCs w:val="20"/>
      <w:u w:val="single" w:color="0000FF"/>
      <w:lang w:val="en-US"/>
    </w:rPr>
  </w:style>
  <w:style w:type="paragraph" w:customStyle="1" w:styleId="Poromisin">
    <w:name w:val="Por omisión"/>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BE" w:eastAsia="fr-B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5"/>
      </w:numPr>
      <w:spacing w:before="480" w:after="240" w:line="240" w:lineRule="auto"/>
      <w:ind w:left="482" w:hanging="482"/>
      <w:jc w:val="both"/>
      <w:outlineLvl w:val="0"/>
    </w:pPr>
    <w:rPr>
      <w:rFonts w:ascii="Times New Roman" w:eastAsia="Times New Roman" w:hAnsi="Times New Roman" w:cs="Times New Roman"/>
      <w:b/>
      <w:smallCaps/>
      <w:szCs w:val="20"/>
    </w:rPr>
  </w:style>
  <w:style w:type="paragraph" w:styleId="Heading2">
    <w:name w:val="heading 2"/>
    <w:basedOn w:val="Normal"/>
    <w:next w:val="Normal"/>
    <w:link w:val="Heading2Char"/>
    <w:qFormat/>
    <w:pPr>
      <w:keepNext/>
      <w:numPr>
        <w:ilvl w:val="1"/>
        <w:numId w:val="15"/>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5"/>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5"/>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FootnotesymbolCarZchn"/>
    <w:uiPriority w:val="99"/>
    <w:unhideWhenUsed/>
    <w:qFormat/>
    <w:rPr>
      <w:vertAlign w:val="superscript"/>
    </w:rPr>
  </w:style>
  <w:style w:type="paragraph" w:styleId="ListParagraph">
    <w:name w:val="List Paragraph"/>
    <w:basedOn w:val="Normal"/>
    <w:link w:val="ListParagraphChar"/>
    <w:uiPriority w:val="34"/>
    <w:qFormat/>
    <w:pPr>
      <w:ind w:left="720"/>
      <w:contextualSpacing/>
    </w:pPr>
  </w:style>
  <w:style w:type="character" w:customStyle="1" w:styleId="highlight">
    <w:name w:val="highlight"/>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affairetitle">
    <w:name w:val="affaire_titl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b/>
      <w:smallCaps/>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Cuerpo">
    <w:name w:val="Cuerpo"/>
    <w:pPr>
      <w:pBdr>
        <w:top w:val="nil"/>
        <w:left w:val="nil"/>
        <w:bottom w:val="nil"/>
        <w:right w:val="nil"/>
        <w:between w:val="nil"/>
        <w:bar w:val="nil"/>
      </w:pBdr>
    </w:pPr>
    <w:rPr>
      <w:rFonts w:ascii="Calibri" w:eastAsia="Calibri" w:hAnsi="Calibri" w:cs="Calibri"/>
      <w:color w:val="000000"/>
      <w:u w:color="000000"/>
      <w:bdr w:val="nil"/>
      <w:lang w:val="fr-BE" w:eastAsia="fr-BE"/>
    </w:rPr>
  </w:style>
  <w:style w:type="character" w:customStyle="1" w:styleId="Enlace">
    <w:name w:val="Enlace"/>
    <w:rPr>
      <w:color w:val="0000FF"/>
      <w:u w:val="single" w:color="0000FF"/>
    </w:rPr>
  </w:style>
  <w:style w:type="character" w:customStyle="1" w:styleId="Ninguno">
    <w:name w:val="Ninguno"/>
  </w:style>
  <w:style w:type="character" w:customStyle="1" w:styleId="Hyperlink5">
    <w:name w:val="Hyperlink.5"/>
    <w:basedOn w:val="Enlace"/>
    <w:rPr>
      <w:rFonts w:ascii="Times New Roman" w:eastAsia="Times New Roman" w:hAnsi="Times New Roman" w:cs="Times New Roman"/>
      <w:color w:val="0000FF"/>
      <w:sz w:val="20"/>
      <w:szCs w:val="20"/>
      <w:u w:val="single" w:color="0000FF"/>
      <w:lang w:val="en-US"/>
    </w:rPr>
  </w:style>
  <w:style w:type="paragraph" w:customStyle="1" w:styleId="Poromisin">
    <w:name w:val="Por omisión"/>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BE" w:eastAsia="fr-B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977">
      <w:bodyDiv w:val="1"/>
      <w:marLeft w:val="0"/>
      <w:marRight w:val="0"/>
      <w:marTop w:val="0"/>
      <w:marBottom w:val="0"/>
      <w:divBdr>
        <w:top w:val="none" w:sz="0" w:space="0" w:color="auto"/>
        <w:left w:val="none" w:sz="0" w:space="0" w:color="auto"/>
        <w:bottom w:val="none" w:sz="0" w:space="0" w:color="auto"/>
        <w:right w:val="none" w:sz="0" w:space="0" w:color="auto"/>
      </w:divBdr>
    </w:div>
    <w:div w:id="253322911">
      <w:bodyDiv w:val="1"/>
      <w:marLeft w:val="0"/>
      <w:marRight w:val="0"/>
      <w:marTop w:val="0"/>
      <w:marBottom w:val="0"/>
      <w:divBdr>
        <w:top w:val="none" w:sz="0" w:space="0" w:color="auto"/>
        <w:left w:val="none" w:sz="0" w:space="0" w:color="auto"/>
        <w:bottom w:val="none" w:sz="0" w:space="0" w:color="auto"/>
        <w:right w:val="none" w:sz="0" w:space="0" w:color="auto"/>
      </w:divBdr>
    </w:div>
    <w:div w:id="331761427">
      <w:bodyDiv w:val="1"/>
      <w:marLeft w:val="0"/>
      <w:marRight w:val="0"/>
      <w:marTop w:val="0"/>
      <w:marBottom w:val="0"/>
      <w:divBdr>
        <w:top w:val="none" w:sz="0" w:space="0" w:color="auto"/>
        <w:left w:val="none" w:sz="0" w:space="0" w:color="auto"/>
        <w:bottom w:val="none" w:sz="0" w:space="0" w:color="auto"/>
        <w:right w:val="none" w:sz="0" w:space="0" w:color="auto"/>
      </w:divBdr>
      <w:divsChild>
        <w:div w:id="809981088">
          <w:marLeft w:val="0"/>
          <w:marRight w:val="0"/>
          <w:marTop w:val="0"/>
          <w:marBottom w:val="0"/>
          <w:divBdr>
            <w:top w:val="none" w:sz="0" w:space="0" w:color="auto"/>
            <w:left w:val="none" w:sz="0" w:space="0" w:color="auto"/>
            <w:bottom w:val="none" w:sz="0" w:space="0" w:color="auto"/>
            <w:right w:val="none" w:sz="0" w:space="0" w:color="auto"/>
          </w:divBdr>
          <w:divsChild>
            <w:div w:id="12110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344">
      <w:bodyDiv w:val="1"/>
      <w:marLeft w:val="0"/>
      <w:marRight w:val="0"/>
      <w:marTop w:val="0"/>
      <w:marBottom w:val="0"/>
      <w:divBdr>
        <w:top w:val="none" w:sz="0" w:space="0" w:color="auto"/>
        <w:left w:val="none" w:sz="0" w:space="0" w:color="auto"/>
        <w:bottom w:val="none" w:sz="0" w:space="0" w:color="auto"/>
        <w:right w:val="none" w:sz="0" w:space="0" w:color="auto"/>
      </w:divBdr>
    </w:div>
    <w:div w:id="366175229">
      <w:bodyDiv w:val="1"/>
      <w:marLeft w:val="0"/>
      <w:marRight w:val="0"/>
      <w:marTop w:val="0"/>
      <w:marBottom w:val="0"/>
      <w:divBdr>
        <w:top w:val="none" w:sz="0" w:space="0" w:color="auto"/>
        <w:left w:val="none" w:sz="0" w:space="0" w:color="auto"/>
        <w:bottom w:val="none" w:sz="0" w:space="0" w:color="auto"/>
        <w:right w:val="none" w:sz="0" w:space="0" w:color="auto"/>
      </w:divBdr>
    </w:div>
    <w:div w:id="409735543">
      <w:bodyDiv w:val="1"/>
      <w:marLeft w:val="0"/>
      <w:marRight w:val="0"/>
      <w:marTop w:val="0"/>
      <w:marBottom w:val="0"/>
      <w:divBdr>
        <w:top w:val="none" w:sz="0" w:space="0" w:color="auto"/>
        <w:left w:val="none" w:sz="0" w:space="0" w:color="auto"/>
        <w:bottom w:val="none" w:sz="0" w:space="0" w:color="auto"/>
        <w:right w:val="none" w:sz="0" w:space="0" w:color="auto"/>
      </w:divBdr>
    </w:div>
    <w:div w:id="554852653">
      <w:bodyDiv w:val="1"/>
      <w:marLeft w:val="0"/>
      <w:marRight w:val="0"/>
      <w:marTop w:val="0"/>
      <w:marBottom w:val="0"/>
      <w:divBdr>
        <w:top w:val="none" w:sz="0" w:space="0" w:color="auto"/>
        <w:left w:val="none" w:sz="0" w:space="0" w:color="auto"/>
        <w:bottom w:val="none" w:sz="0" w:space="0" w:color="auto"/>
        <w:right w:val="none" w:sz="0" w:space="0" w:color="auto"/>
      </w:divBdr>
    </w:div>
    <w:div w:id="693464206">
      <w:bodyDiv w:val="1"/>
      <w:marLeft w:val="0"/>
      <w:marRight w:val="0"/>
      <w:marTop w:val="0"/>
      <w:marBottom w:val="0"/>
      <w:divBdr>
        <w:top w:val="none" w:sz="0" w:space="0" w:color="auto"/>
        <w:left w:val="none" w:sz="0" w:space="0" w:color="auto"/>
        <w:bottom w:val="none" w:sz="0" w:space="0" w:color="auto"/>
        <w:right w:val="none" w:sz="0" w:space="0" w:color="auto"/>
      </w:divBdr>
    </w:div>
    <w:div w:id="716665501">
      <w:bodyDiv w:val="1"/>
      <w:marLeft w:val="0"/>
      <w:marRight w:val="0"/>
      <w:marTop w:val="0"/>
      <w:marBottom w:val="0"/>
      <w:divBdr>
        <w:top w:val="none" w:sz="0" w:space="0" w:color="auto"/>
        <w:left w:val="none" w:sz="0" w:space="0" w:color="auto"/>
        <w:bottom w:val="none" w:sz="0" w:space="0" w:color="auto"/>
        <w:right w:val="none" w:sz="0" w:space="0" w:color="auto"/>
      </w:divBdr>
    </w:div>
    <w:div w:id="720057910">
      <w:bodyDiv w:val="1"/>
      <w:marLeft w:val="0"/>
      <w:marRight w:val="0"/>
      <w:marTop w:val="0"/>
      <w:marBottom w:val="0"/>
      <w:divBdr>
        <w:top w:val="none" w:sz="0" w:space="0" w:color="auto"/>
        <w:left w:val="none" w:sz="0" w:space="0" w:color="auto"/>
        <w:bottom w:val="none" w:sz="0" w:space="0" w:color="auto"/>
        <w:right w:val="none" w:sz="0" w:space="0" w:color="auto"/>
      </w:divBdr>
    </w:div>
    <w:div w:id="742878529">
      <w:bodyDiv w:val="1"/>
      <w:marLeft w:val="0"/>
      <w:marRight w:val="0"/>
      <w:marTop w:val="0"/>
      <w:marBottom w:val="0"/>
      <w:divBdr>
        <w:top w:val="none" w:sz="0" w:space="0" w:color="auto"/>
        <w:left w:val="none" w:sz="0" w:space="0" w:color="auto"/>
        <w:bottom w:val="none" w:sz="0" w:space="0" w:color="auto"/>
        <w:right w:val="none" w:sz="0" w:space="0" w:color="auto"/>
      </w:divBdr>
    </w:div>
    <w:div w:id="827943880">
      <w:bodyDiv w:val="1"/>
      <w:marLeft w:val="0"/>
      <w:marRight w:val="0"/>
      <w:marTop w:val="0"/>
      <w:marBottom w:val="0"/>
      <w:divBdr>
        <w:top w:val="none" w:sz="0" w:space="0" w:color="auto"/>
        <w:left w:val="none" w:sz="0" w:space="0" w:color="auto"/>
        <w:bottom w:val="none" w:sz="0" w:space="0" w:color="auto"/>
        <w:right w:val="none" w:sz="0" w:space="0" w:color="auto"/>
      </w:divBdr>
    </w:div>
    <w:div w:id="968320778">
      <w:bodyDiv w:val="1"/>
      <w:marLeft w:val="0"/>
      <w:marRight w:val="0"/>
      <w:marTop w:val="0"/>
      <w:marBottom w:val="0"/>
      <w:divBdr>
        <w:top w:val="none" w:sz="0" w:space="0" w:color="auto"/>
        <w:left w:val="none" w:sz="0" w:space="0" w:color="auto"/>
        <w:bottom w:val="none" w:sz="0" w:space="0" w:color="auto"/>
        <w:right w:val="none" w:sz="0" w:space="0" w:color="auto"/>
      </w:divBdr>
    </w:div>
    <w:div w:id="978609931">
      <w:bodyDiv w:val="1"/>
      <w:marLeft w:val="0"/>
      <w:marRight w:val="0"/>
      <w:marTop w:val="0"/>
      <w:marBottom w:val="0"/>
      <w:divBdr>
        <w:top w:val="none" w:sz="0" w:space="0" w:color="auto"/>
        <w:left w:val="none" w:sz="0" w:space="0" w:color="auto"/>
        <w:bottom w:val="none" w:sz="0" w:space="0" w:color="auto"/>
        <w:right w:val="none" w:sz="0" w:space="0" w:color="auto"/>
      </w:divBdr>
    </w:div>
    <w:div w:id="1288706992">
      <w:bodyDiv w:val="1"/>
      <w:marLeft w:val="0"/>
      <w:marRight w:val="0"/>
      <w:marTop w:val="0"/>
      <w:marBottom w:val="0"/>
      <w:divBdr>
        <w:top w:val="none" w:sz="0" w:space="0" w:color="auto"/>
        <w:left w:val="none" w:sz="0" w:space="0" w:color="auto"/>
        <w:bottom w:val="none" w:sz="0" w:space="0" w:color="auto"/>
        <w:right w:val="none" w:sz="0" w:space="0" w:color="auto"/>
      </w:divBdr>
    </w:div>
    <w:div w:id="1332951999">
      <w:bodyDiv w:val="1"/>
      <w:marLeft w:val="0"/>
      <w:marRight w:val="0"/>
      <w:marTop w:val="0"/>
      <w:marBottom w:val="0"/>
      <w:divBdr>
        <w:top w:val="none" w:sz="0" w:space="0" w:color="auto"/>
        <w:left w:val="none" w:sz="0" w:space="0" w:color="auto"/>
        <w:bottom w:val="none" w:sz="0" w:space="0" w:color="auto"/>
        <w:right w:val="none" w:sz="0" w:space="0" w:color="auto"/>
      </w:divBdr>
    </w:div>
    <w:div w:id="1386106787">
      <w:bodyDiv w:val="1"/>
      <w:marLeft w:val="0"/>
      <w:marRight w:val="0"/>
      <w:marTop w:val="0"/>
      <w:marBottom w:val="0"/>
      <w:divBdr>
        <w:top w:val="none" w:sz="0" w:space="0" w:color="auto"/>
        <w:left w:val="none" w:sz="0" w:space="0" w:color="auto"/>
        <w:bottom w:val="none" w:sz="0" w:space="0" w:color="auto"/>
        <w:right w:val="none" w:sz="0" w:space="0" w:color="auto"/>
      </w:divBdr>
    </w:div>
    <w:div w:id="1394083946">
      <w:bodyDiv w:val="1"/>
      <w:marLeft w:val="0"/>
      <w:marRight w:val="0"/>
      <w:marTop w:val="0"/>
      <w:marBottom w:val="0"/>
      <w:divBdr>
        <w:top w:val="none" w:sz="0" w:space="0" w:color="auto"/>
        <w:left w:val="none" w:sz="0" w:space="0" w:color="auto"/>
        <w:bottom w:val="none" w:sz="0" w:space="0" w:color="auto"/>
        <w:right w:val="none" w:sz="0" w:space="0" w:color="auto"/>
      </w:divBdr>
    </w:div>
    <w:div w:id="1644265180">
      <w:bodyDiv w:val="1"/>
      <w:marLeft w:val="0"/>
      <w:marRight w:val="0"/>
      <w:marTop w:val="0"/>
      <w:marBottom w:val="0"/>
      <w:divBdr>
        <w:top w:val="none" w:sz="0" w:space="0" w:color="auto"/>
        <w:left w:val="none" w:sz="0" w:space="0" w:color="auto"/>
        <w:bottom w:val="none" w:sz="0" w:space="0" w:color="auto"/>
        <w:right w:val="none" w:sz="0" w:space="0" w:color="auto"/>
      </w:divBdr>
    </w:div>
    <w:div w:id="1660497863">
      <w:bodyDiv w:val="1"/>
      <w:marLeft w:val="0"/>
      <w:marRight w:val="0"/>
      <w:marTop w:val="0"/>
      <w:marBottom w:val="0"/>
      <w:divBdr>
        <w:top w:val="none" w:sz="0" w:space="0" w:color="auto"/>
        <w:left w:val="none" w:sz="0" w:space="0" w:color="auto"/>
        <w:bottom w:val="none" w:sz="0" w:space="0" w:color="auto"/>
        <w:right w:val="none" w:sz="0" w:space="0" w:color="auto"/>
      </w:divBdr>
    </w:div>
    <w:div w:id="1726562748">
      <w:bodyDiv w:val="1"/>
      <w:marLeft w:val="0"/>
      <w:marRight w:val="0"/>
      <w:marTop w:val="0"/>
      <w:marBottom w:val="0"/>
      <w:divBdr>
        <w:top w:val="none" w:sz="0" w:space="0" w:color="auto"/>
        <w:left w:val="none" w:sz="0" w:space="0" w:color="auto"/>
        <w:bottom w:val="none" w:sz="0" w:space="0" w:color="auto"/>
        <w:right w:val="none" w:sz="0" w:space="0" w:color="auto"/>
      </w:divBdr>
    </w:div>
    <w:div w:id="1875774323">
      <w:bodyDiv w:val="1"/>
      <w:marLeft w:val="0"/>
      <w:marRight w:val="0"/>
      <w:marTop w:val="0"/>
      <w:marBottom w:val="0"/>
      <w:divBdr>
        <w:top w:val="none" w:sz="0" w:space="0" w:color="auto"/>
        <w:left w:val="none" w:sz="0" w:space="0" w:color="auto"/>
        <w:bottom w:val="none" w:sz="0" w:space="0" w:color="auto"/>
        <w:right w:val="none" w:sz="0" w:space="0" w:color="auto"/>
      </w:divBdr>
    </w:div>
    <w:div w:id="1966084362">
      <w:bodyDiv w:val="1"/>
      <w:marLeft w:val="0"/>
      <w:marRight w:val="0"/>
      <w:marTop w:val="0"/>
      <w:marBottom w:val="0"/>
      <w:divBdr>
        <w:top w:val="none" w:sz="0" w:space="0" w:color="auto"/>
        <w:left w:val="none" w:sz="0" w:space="0" w:color="auto"/>
        <w:bottom w:val="none" w:sz="0" w:space="0" w:color="auto"/>
        <w:right w:val="none" w:sz="0" w:space="0" w:color="auto"/>
      </w:divBdr>
    </w:div>
    <w:div w:id="20751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icri.it/in_focus/files/The_problem_of_illicit_pesticides_low_res1.pdf" TargetMode="External"/><Relationship Id="rId13" Type="http://schemas.openxmlformats.org/officeDocument/2006/relationships/hyperlink" Target="http://ec.europa.eu/growth/industry/intellectual-property/enforcement/index_lv.htm" TargetMode="External"/><Relationship Id="rId18" Type="http://schemas.openxmlformats.org/officeDocument/2006/relationships/hyperlink" Target="https://euipo.europa.eu/ohimportal/documents/11370/0/Report+on+the+protection+and+enforcement+of+intellectual+property+rights+in+third+countries" TargetMode="External"/><Relationship Id="rId3" Type="http://schemas.openxmlformats.org/officeDocument/2006/relationships/hyperlink" Target="http://www.inta.org/Communications/Documents/2017_Frontier_Report.pdf" TargetMode="External"/><Relationship Id="rId7" Type="http://schemas.openxmlformats.org/officeDocument/2006/relationships/hyperlink" Target="https://euipo.europa.eu/ohimportal/documents/11370/80606/2015+Situation+Report+on+Counterfeiting+in+the+EU" TargetMode="External"/><Relationship Id="rId12" Type="http://schemas.openxmlformats.org/officeDocument/2006/relationships/hyperlink" Target="http://ec.europa.eu/DocsRoom/documents/18023/attachments/1/translations" TargetMode="External"/><Relationship Id="rId17" Type="http://schemas.openxmlformats.org/officeDocument/2006/relationships/hyperlink" Target="https://euipo.europa.eu/tunnel-web/secure/webdav/guest/document_library/observatory/documents/reports/Mapping_the_Real_Routes_of_Trade_in_Fake_Goods_en.pdf" TargetMode="External"/><Relationship Id="rId2" Type="http://schemas.openxmlformats.org/officeDocument/2006/relationships/hyperlink" Target="https://euipo.europa.eu/ohimportal/en/web/observatory/quantification-of-ipr-infringement" TargetMode="External"/><Relationship Id="rId16" Type="http://schemas.openxmlformats.org/officeDocument/2006/relationships/hyperlink" Target="https://euipo.europa.eu/tunnel-web/secure/webdav/guest/document_library/observatory/documents/reports/Situation%20Report%20EUIPO-Europol_en.pdf" TargetMode="External"/><Relationship Id="rId1" Type="http://schemas.openxmlformats.org/officeDocument/2006/relationships/hyperlink" Target="https://copia.is/library/the-carrot-or-the-stick/" TargetMode="External"/><Relationship Id="rId6" Type="http://schemas.openxmlformats.org/officeDocument/2006/relationships/hyperlink" Target="https://www.unodc.org/documents/counterfeit/FocusSheet/Counterfeit_focussheet_EN_HIRES.pdf" TargetMode="External"/><Relationship Id="rId11" Type="http://schemas.openxmlformats.org/officeDocument/2006/relationships/hyperlink" Target="http://www.youreurope.be/" TargetMode="External"/><Relationship Id="rId5" Type="http://schemas.openxmlformats.org/officeDocument/2006/relationships/hyperlink" Target="https://www.gov.uk/government/uploads/system/uploads/attachment_data/file/546223/OCI-tracker-6th-wave-March-May-2016.pdf" TargetMode="External"/><Relationship Id="rId15" Type="http://schemas.openxmlformats.org/officeDocument/2006/relationships/hyperlink" Target="https://ec.europa.eu/taxation_customs/general-information-customs/customs-security/authorised-economic-operator-aeo_en" TargetMode="External"/><Relationship Id="rId10" Type="http://schemas.openxmlformats.org/officeDocument/2006/relationships/hyperlink" Target="http://ec.europa.eu/growth/content/have-your-say-enforcement-intellectual-property-rights-0_lv" TargetMode="External"/><Relationship Id="rId4" Type="http://schemas.openxmlformats.org/officeDocument/2006/relationships/hyperlink" Target="https://euipo.europa.eu/tunnel-web/secure/webdav/guest/document_library/observatory/resources/research-and-studies/ip_infringement/study7/Music_industry_en.pdf" TargetMode="External"/><Relationship Id="rId9" Type="http://schemas.openxmlformats.org/officeDocument/2006/relationships/hyperlink" Target="https://ec.europa.eu/info/better-regulation-guidelines-and-toolbox_lv" TargetMode="External"/><Relationship Id="rId14" Type="http://schemas.openxmlformats.org/officeDocument/2006/relationships/hyperlink" Target="http://publications.jrc.ec.europa.eu/repository/bitstream/JRC104204/kjna28400en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A9B7-EB1D-4460-B484-670FF186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5256</Words>
  <Characters>36011</Characters>
  <Application>Microsoft Office Word</Application>
  <DocSecurity>0</DocSecurity>
  <Lines>643</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2017-11-23T15:06:00Z</cp:lastPrinted>
  <dcterms:created xsi:type="dcterms:W3CDTF">2017-12-05T16:26:00Z</dcterms:created>
  <dcterms:modified xsi:type="dcterms:W3CDTF">2017-12-05T18:03:00Z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_DocHome">
    <vt:i4>-495944927</vt:i4>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Created using">
    <vt:lpwstr>3.0</vt:lpwstr>
  </property>
  <property fmtid="{D5CDD505-2E9C-101B-9397-08002B2CF9AE}" pid="8" name="Last edited using">
    <vt:lpwstr>EL 4.6 Build 50000</vt:lpwstr>
  </property>
</Properties>
</file>