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7D7B291-52A0-4469-B2B5-9191C9C77BF6" style="width:450.7pt;height:338.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spacing w:before="0" w:after="0"/>
        <w:rPr>
          <w:rFonts w:eastAsia="Times New Roman"/>
          <w:noProof/>
          <w:szCs w:val="24"/>
        </w:rPr>
      </w:pPr>
      <w:r>
        <w:rPr>
          <w:noProof/>
        </w:rPr>
        <w:t xml:space="preserve">Prošlo je gotovo šesnaest godina otkad su kovanice i novčanice eura postale dio svakodnevnog života europskih građana. Euro danas svakodnevno koristi 340 milijuna Europljana u 19 država članica („europodručje”). te je druga najkorištenija valuta na svijetu. Šezdeset drugih zemalja i područja na svijetu, u kojima živi 175 milijuna ljudi, odlučilo je koristiti euro kao svoju valutu ili je svoju valutu vezalo uz euro. </w:t>
      </w:r>
    </w:p>
    <w:p>
      <w:pPr>
        <w:spacing w:before="0" w:after="0"/>
        <w:rPr>
          <w:rFonts w:eastAsia="Times New Roman"/>
          <w:noProof/>
          <w:szCs w:val="24"/>
        </w:rPr>
      </w:pPr>
    </w:p>
    <w:p>
      <w:pPr>
        <w:spacing w:before="0" w:after="0"/>
        <w:rPr>
          <w:noProof/>
        </w:rPr>
      </w:pPr>
      <w:r>
        <w:rPr>
          <w:noProof/>
        </w:rPr>
        <w:t>Financijska i ekonomska kriza koja je Europu pogodila 2008. i čije su posljedice vidljive i danas nije započela u europodručju, ali je razotkrila institucijske nedostatke europodručja. Na neposredne izazove hitno se reagiralo tako što je doneseno nekoliko instrumenata kojima su uvedene nove mjere financijske zaštite, pružena je pomoć državama članicama koje je kriza najviše pogodila te je na razini EU-a poboljšana koordinacija politika. Osim Mehanizma za europsku financijsku stabilnost, koji se temelji na Uredbi Vijeća (EU) br. 407/2010, većina ih je uspostavljena izvan pravnog okvira Unije. Države članice na bilateralnoj su osnovi pružale financijsku pomoć Grčkoj i osnovale Europski fond za financijsku stabilnost („EFSF”). Europsko vijeće još je 2010. zaključilo da je EFSF osnovan samo kao privremeni mehanizam te da bi ga trebalo zamijeniti stalnom institucijom, Europskim stabilizacijskim mehanizmom („ESM”). Tim su instrumentima poboljšana fiskalna i financijska pravila radi sprječavanja daljnjeg širenja krize. I mjere monetarne politike Europske središnje banke bile su od ključne važnosti.</w:t>
      </w:r>
    </w:p>
    <w:p>
      <w:pPr>
        <w:spacing w:before="0" w:after="0"/>
        <w:rPr>
          <w:rFonts w:eastAsia="Times New Roman"/>
          <w:noProof/>
          <w:szCs w:val="24"/>
        </w:rPr>
      </w:pPr>
    </w:p>
    <w:p>
      <w:pPr>
        <w:spacing w:before="0" w:after="0"/>
        <w:rPr>
          <w:rFonts w:eastAsia="Times New Roman"/>
          <w:noProof/>
          <w:szCs w:val="24"/>
        </w:rPr>
      </w:pPr>
      <w:r>
        <w:rPr>
          <w:noProof/>
        </w:rPr>
        <w:t>Nakon višegodišnjeg usporenog ili beznačajnog gospodarskog rasta, odlučni napori poduzeti na svima razinama počeli su donositi rezultate jer se u Europi sada bilježi stabilan oporavak. Sve države članice ostvaruju gospodarski rast te je već nekoliko godina zaredom prosječni rast gospodarstva EU-a u cjelini ina razini oko 2 %.</w:t>
      </w:r>
      <w:r>
        <w:rPr>
          <w:rStyle w:val="FootnoteReference"/>
          <w:noProof/>
        </w:rPr>
        <w:footnoteReference w:id="1"/>
      </w:r>
      <w:r>
        <w:rPr>
          <w:noProof/>
        </w:rPr>
        <w:t xml:space="preserve"> Gospodarsko raspoloženje u EU-u i europodručju na najvišoj je razini od 2000., dok je nezaposlenost na najnižoj razini od kraja 2008. Potpora građana euru na najvišoj je razini u europodručju od uvođenja novčanica i kovanica eura 2002.</w:t>
      </w:r>
      <w:r>
        <w:rPr>
          <w:rStyle w:val="FootnoteReference"/>
          <w:noProof/>
        </w:rPr>
        <w:footnoteReference w:id="2"/>
      </w:r>
      <w:r>
        <w:rPr>
          <w:noProof/>
        </w:rPr>
        <w:t xml:space="preserve"> No, kako je aktualna Komisija izjavila pri preuzimanju dužnosti, kriza nije gotova sve dok je nezaposlenost tako visoka jer je u listopadu 2017. u europodručju bilo 14,3 milijuna nezaposlenih.</w:t>
      </w:r>
    </w:p>
    <w:p>
      <w:pPr>
        <w:spacing w:before="0" w:after="0"/>
        <w:rPr>
          <w:rFonts w:eastAsia="Times New Roman"/>
          <w:noProof/>
          <w:szCs w:val="24"/>
        </w:rPr>
      </w:pPr>
    </w:p>
    <w:p>
      <w:pPr>
        <w:spacing w:before="0" w:after="0"/>
        <w:rPr>
          <w:rFonts w:eastAsia="Times New Roman"/>
          <w:noProof/>
          <w:szCs w:val="24"/>
        </w:rPr>
      </w:pPr>
      <w:r>
        <w:rPr>
          <w:noProof/>
        </w:rPr>
        <w:t>Potrebno je izvući važne pouke iz razdoblja krize. Relevantni problemi već su jasno utvrđeni u Izvješću petorice predsjednika iz lipnja 2015.</w:t>
      </w:r>
      <w:r>
        <w:rPr>
          <w:rStyle w:val="FootnoteReference"/>
          <w:noProof/>
        </w:rPr>
        <w:footnoteReference w:id="3"/>
      </w:r>
      <w:r>
        <w:rPr>
          <w:noProof/>
        </w:rPr>
        <w:t xml:space="preserve">  Otada je mnogo toga učinjeno kako bi se ekonomska i monetarna unija („EMU”) „produbila djelima”. Poboljšan je okvir europskog semestra za koordinaciju ekonomskih politika tako što su utvrđene jasnije smjernice za europodručje u cjelini i naglašena je socijalna dimenzija. Ekonomsko upravljanje poboljšalo se osnivanjem Europskog fiskalnog odbora i nacionalnih odbora za produktivnost, dok se osnivanjem Službe za potporu strukturnim reformama unaprijedilo pružanje tehničke pomoći državama članicama. Poduzete su važne mjere za dovršetak bankarske unije</w:t>
      </w:r>
      <w:r>
        <w:rPr>
          <w:rStyle w:val="FootnoteReference"/>
          <w:noProof/>
        </w:rPr>
        <w:footnoteReference w:id="4"/>
      </w:r>
      <w:r>
        <w:rPr>
          <w:noProof/>
        </w:rPr>
        <w:t xml:space="preserve"> i unije tržišta kapitala</w:t>
      </w:r>
      <w:r>
        <w:rPr>
          <w:rStyle w:val="FootnoteReference"/>
          <w:noProof/>
        </w:rPr>
        <w:footnoteReference w:id="5"/>
      </w:r>
      <w:r>
        <w:rPr>
          <w:noProof/>
        </w:rPr>
        <w:t>, osobito istovremenom provedbom mjera za smanjenje i podjelu rizika u bankarskom sektoru. Radi povećanja odgovornosti na svim razinama, pojačan je dijalog s nacionalnim i europskim političkim dionicima i socijalnim partnerima.</w:t>
      </w:r>
    </w:p>
    <w:p>
      <w:pPr>
        <w:spacing w:before="0" w:after="0"/>
        <w:rPr>
          <w:rFonts w:eastAsia="Times New Roman"/>
          <w:noProof/>
          <w:szCs w:val="24"/>
        </w:rPr>
      </w:pPr>
    </w:p>
    <w:p>
      <w:pPr>
        <w:spacing w:before="0" w:after="0"/>
        <w:rPr>
          <w:rFonts w:eastAsia="Times New Roman"/>
          <w:noProof/>
          <w:szCs w:val="24"/>
        </w:rPr>
      </w:pPr>
      <w:r>
        <w:rPr>
          <w:noProof/>
        </w:rPr>
        <w:t>Zahvaljujući svemu navedenom struktura europodručja snažnija je nego ikad, ali to ne znači da je dovršena. U Dokumentu za razmatranje o produbljenju ekonomske i monetarne unije</w:t>
      </w:r>
      <w:r>
        <w:rPr>
          <w:rStyle w:val="FootnoteReference"/>
          <w:noProof/>
        </w:rPr>
        <w:footnoteReference w:id="6"/>
      </w:r>
      <w:r>
        <w:rPr>
          <w:noProof/>
          <w:sz w:val="22"/>
          <w:vertAlign w:val="superscript"/>
        </w:rPr>
        <w:t xml:space="preserve"> </w:t>
      </w:r>
      <w:r>
        <w:rPr>
          <w:noProof/>
        </w:rPr>
        <w:t>i u Dokumentu za razmatranje o budućnosti financija EU-a</w:t>
      </w:r>
      <w:r>
        <w:rPr>
          <w:rStyle w:val="FootnoteReference"/>
          <w:noProof/>
        </w:rPr>
        <w:footnoteReference w:id="7"/>
      </w:r>
      <w:r>
        <w:rPr>
          <w:noProof/>
        </w:rPr>
        <w:t>, koje je Komisija predstavila u okviru daljnjeg postupanja na temelju Bijele knjige o budućnosti Europske unije</w:t>
      </w:r>
      <w:r>
        <w:rPr>
          <w:rStyle w:val="FootnoteReference"/>
          <w:noProof/>
        </w:rPr>
        <w:footnoteReference w:id="8"/>
      </w:r>
      <w:r>
        <w:rPr>
          <w:noProof/>
        </w:rPr>
        <w:t xml:space="preserve">, opisuju se postojeće stanje i mogući načini za daljnje djelovanje do 2025. </w:t>
      </w:r>
    </w:p>
    <w:p>
      <w:pPr>
        <w:spacing w:before="0" w:after="0"/>
        <w:rPr>
          <w:rFonts w:eastAsia="Times New Roman"/>
          <w:noProof/>
          <w:szCs w:val="24"/>
        </w:rPr>
      </w:pPr>
    </w:p>
    <w:p>
      <w:pPr>
        <w:spacing w:before="0" w:after="0"/>
        <w:rPr>
          <w:rFonts w:eastAsia="Times New Roman"/>
          <w:noProof/>
          <w:szCs w:val="24"/>
        </w:rPr>
      </w:pPr>
      <w:r>
        <w:rPr>
          <w:noProof/>
        </w:rPr>
        <w:t>Europa sada primjetno ponovno dobiva na snazi. I na ekonomskom i političkom planu imamo mogućnost djelovati i pozitivna kretanja dodatni su nam poticaj. No nema razloga za pretjerano zadovoljstvo. Posao se mora završiti dok je klima za to još povoljna.</w:t>
      </w:r>
    </w:p>
    <w:p>
      <w:pPr>
        <w:spacing w:before="0" w:after="0"/>
        <w:rPr>
          <w:rFonts w:eastAsia="Times New Roman"/>
          <w:noProof/>
          <w:szCs w:val="24"/>
        </w:rPr>
      </w:pPr>
    </w:p>
    <w:p>
      <w:pPr>
        <w:spacing w:before="0" w:after="0"/>
        <w:rPr>
          <w:rFonts w:eastAsia="Times New Roman"/>
          <w:noProof/>
          <w:szCs w:val="24"/>
        </w:rPr>
      </w:pPr>
      <w:r>
        <w:rPr>
          <w:noProof/>
        </w:rPr>
        <w:t>U svojem Govoru o stanju Unije održanom 13. rujna 2017.</w:t>
      </w:r>
      <w:r>
        <w:rPr>
          <w:rStyle w:val="FootnoteReference"/>
          <w:noProof/>
        </w:rPr>
        <w:footnoteReference w:id="9"/>
      </w:r>
      <w:r>
        <w:rPr>
          <w:noProof/>
          <w:sz w:val="22"/>
        </w:rPr>
        <w:t xml:space="preserve"> </w:t>
      </w:r>
      <w:r>
        <w:rPr>
          <w:noProof/>
        </w:rPr>
        <w:t xml:space="preserve">predsjednik Juncker iznio je svoje mišljenje o ujedinjenijoj, jačoj i demokratskijoj Uniji te jasno poručio da je dovršenje europske ekonomske i monetarne unije ključan dio plana za sastanak čelnika u Sibiu, koji je predsjednik Tusk zakazao za 9. svibnja 2019., a na kojem će se donositi odluke važne za budućnost Europe. </w:t>
      </w:r>
    </w:p>
    <w:p>
      <w:pPr>
        <w:spacing w:before="0" w:after="0"/>
        <w:rPr>
          <w:rFonts w:eastAsia="Times New Roman"/>
          <w:noProof/>
          <w:szCs w:val="24"/>
        </w:rPr>
      </w:pPr>
    </w:p>
    <w:p>
      <w:pPr>
        <w:spacing w:before="0" w:after="0"/>
        <w:rPr>
          <w:rFonts w:eastAsia="Times New Roman"/>
          <w:noProof/>
          <w:szCs w:val="24"/>
        </w:rPr>
      </w:pPr>
      <w:r>
        <w:rPr>
          <w:noProof/>
        </w:rPr>
        <w:t>To je najavljeno i u Programu čelnikȃ</w:t>
      </w:r>
      <w:r>
        <w:rPr>
          <w:rStyle w:val="FootnoteReference"/>
          <w:noProof/>
        </w:rPr>
        <w:footnoteReference w:id="10"/>
      </w:r>
      <w:r>
        <w:rPr>
          <w:noProof/>
        </w:rPr>
        <w:t>, u kojem je predviđeno da se 15. prosinca 2017. održi sastanak na vrhu čelnika EU-a kako bi raspravljali o vremenskom okviru za odluke o ekonomskoj i monetarnoj uniji i bankarskoj uniji te se sastanak predviđen za 28. i 29. lipnja 2018. u cilju donošenja konkretnih odluka.</w:t>
      </w:r>
    </w:p>
    <w:p>
      <w:pPr>
        <w:spacing w:before="0" w:after="0"/>
        <w:rPr>
          <w:rFonts w:eastAsia="Times New Roman"/>
          <w:noProof/>
          <w:szCs w:val="24"/>
        </w:rPr>
      </w:pPr>
    </w:p>
    <w:p>
      <w:pPr>
        <w:spacing w:before="0" w:after="0"/>
        <w:rPr>
          <w:rFonts w:eastAsia="Times New Roman"/>
          <w:noProof/>
          <w:szCs w:val="24"/>
        </w:rPr>
      </w:pPr>
      <w:r>
        <w:rPr>
          <w:noProof/>
        </w:rPr>
        <w:t>Poziv na jedinstvo, učinkovitost i demokratsku odgovornost u Govoru o stanju Unije posebno je važan za dovršetak ekonomske i monetarne unije:</w:t>
      </w:r>
    </w:p>
    <w:p>
      <w:pPr>
        <w:spacing w:before="0" w:after="0"/>
        <w:rPr>
          <w:rFonts w:eastAsia="Times New Roman"/>
          <w:noProof/>
          <w:szCs w:val="24"/>
        </w:rPr>
      </w:pPr>
    </w:p>
    <w:p>
      <w:pPr>
        <w:spacing w:before="0" w:after="0"/>
        <w:rPr>
          <w:rFonts w:eastAsia="Times New Roman"/>
          <w:noProof/>
          <w:szCs w:val="24"/>
        </w:rPr>
      </w:pPr>
      <w:r>
        <w:rPr>
          <w:noProof/>
        </w:rPr>
        <w:t>•</w:t>
      </w:r>
      <w:r>
        <w:rPr>
          <w:noProof/>
        </w:rPr>
        <w:tab/>
        <w:t>jedinstvo: Euro je jedinstvena valuta EU-a i svi planovi za europodručje trebali bi se odnositi i na one države članice koje bi se u budućnosti trebale pridružiti europodručju i trebalo bi ih izraditi u suradnji s njima. Sve države članice koje su izvan europodručja, osim Ujedinjene Kraljevine i Danske, pravno su se obvezale da će s vremenom uvesti euro.</w:t>
      </w:r>
      <w:r>
        <w:rPr>
          <w:rStyle w:val="FootnoteReference"/>
          <w:noProof/>
        </w:rPr>
        <w:footnoteReference w:id="11"/>
      </w:r>
      <w:r>
        <w:rPr>
          <w:noProof/>
        </w:rPr>
        <w:t xml:space="preserve">  Nadalje, nakon što Ujedinjena Kraljevina izađe iz EU-a, gospodarstva država članica europodručja činit će oko 85 % ukupnog bruto nacionalnog proizvoda EU-a. Politička i ekonomska integracija, čiji je temelj jedinstveno tržište, znači da su države članice europodručja i države članice izvan europodručja u budućnosti već nerazdvojivo povezane te da je snažno i stabilno europodručje ključno za njegove članice i EU u cjelini.  </w:t>
      </w:r>
    </w:p>
    <w:p>
      <w:pPr>
        <w:spacing w:before="0" w:after="0"/>
        <w:rPr>
          <w:rFonts w:eastAsia="Times New Roman"/>
          <w:noProof/>
          <w:szCs w:val="24"/>
        </w:rPr>
      </w:pPr>
    </w:p>
    <w:p>
      <w:pPr>
        <w:spacing w:before="0" w:after="0"/>
        <w:rPr>
          <w:rFonts w:eastAsia="Times New Roman"/>
          <w:noProof/>
          <w:szCs w:val="24"/>
        </w:rPr>
      </w:pPr>
      <w:r>
        <w:rPr>
          <w:noProof/>
        </w:rPr>
        <w:t xml:space="preserve">Time se objašnjava zašto je važno da države članice čija je valuta euro zajedno s državama članicama čija valuta nije euro, a kojee sudjeluju u bankarskoj uniji osiguraju pod istim uvjetima u okviru Europskog monetarnog fonda (EMF) zaštitni mehanizam za jedinstveni sanacijski odbor kako bi on ta sredstva mogao koristiti ako je to potrebno za uspješno poduzimanje mjera sanacije u bankarskoj uniji. </w:t>
      </w:r>
    </w:p>
    <w:p>
      <w:pPr>
        <w:spacing w:before="0" w:after="0"/>
        <w:rPr>
          <w:rFonts w:eastAsia="Times New Roman"/>
          <w:noProof/>
          <w:szCs w:val="24"/>
        </w:rPr>
      </w:pPr>
    </w:p>
    <w:p>
      <w:pPr>
        <w:spacing w:before="0" w:after="0"/>
        <w:rPr>
          <w:rFonts w:eastAsia="Times New Roman"/>
          <w:noProof/>
          <w:szCs w:val="24"/>
        </w:rPr>
      </w:pPr>
      <w:r>
        <w:rPr>
          <w:noProof/>
        </w:rPr>
        <w:t>•</w:t>
      </w:r>
      <w:r>
        <w:rPr>
          <w:noProof/>
        </w:rPr>
        <w:tab/>
        <w:t>učinkovitost: Za snažniju ekonomsku i monetarnu uniju potrebno je snažnije upravljanje i učinkovitije korištenje dostupnih sredstava. Postojeći sustav i dalje se odlikuje mnoštvom raznolikih odluka donesenih u cilju suočavanja s nezapamćenom krizom. Katkad je to dovodilo do umnožavanja instrumenata i vrlo sofisticiranih pravila, što je uzrok složenosti i izvor rizika od udvostručenja napora. Veća sinergija, pojednostavnjeni postupci i integracija međuvladinih sporazuma u sklopu pravnog okvira EU-a pridonijeli bi boljem upravljanju i postupku odlučivanja. Radi veće učinkovitosti Komisija je u okviru ovog paketa predložila izmjene koje se mogu provesti na temelju postojećih Ugovorā.</w:t>
      </w:r>
    </w:p>
    <w:p>
      <w:pPr>
        <w:spacing w:before="0" w:after="0"/>
        <w:rPr>
          <w:rFonts w:eastAsia="Times New Roman"/>
          <w:noProof/>
          <w:szCs w:val="24"/>
        </w:rPr>
      </w:pPr>
    </w:p>
    <w:p>
      <w:pPr>
        <w:spacing w:before="0" w:after="0"/>
        <w:rPr>
          <w:rFonts w:eastAsia="Times New Roman"/>
          <w:noProof/>
          <w:szCs w:val="24"/>
        </w:rPr>
      </w:pPr>
      <w:r>
        <w:rPr>
          <w:noProof/>
        </w:rPr>
        <w:t>Iskustvo je pokazalo da je s ovlastima za koordinaciju ekonomskih politika koje su Uniji dodijeljene, teško i složeno oblikovati zajedničko djelovanje država članica. Općenito, istovremeno postojanje institucija Unije i stalnog međuvladinog mehanizama, kao što je ESM, dovodi do složenog okruženja u kojem su sudska zaštita, poštovanje temeljnih prava i demokratska odgovornost fragmentirani i neujednačeno se provode. Nadalje, postupci odlučivanja po međuvladinoj metodi obično zahtijevaju složene postupke na nacionalnoj razini i stoga ih je često teško provesti dovoljno brzo za djelotvorno upravljanje krizom, što se pokazalo u praksi u srpnju 2015. kada se MEFS koristio za prijelazno financiranje potpore ESM-a Grčkoj: izmjena Uredbe EU-a i donošenje odluke o njegovu korištenju u praksi pokazalo se bržim nego redovna odluka ESM-a o isplati. To se odnosi i na prilagodbu djelovanja novim okolnostima. Budući da je čak i za male izmjene potreban potpis svih ugovornih stranaka na najvišoj političkoj razini, za njihovu je izmjenu ponekad potrebno odobrenje nacionalnih parlamenata. Ti su postupci dugotrajni i mogu sprečavati poduzimanje mjera kada je to potrebno. Pravni okvir EU-a, s druge strane, nudi čitav raspon mogućih metoda za izmjene postojećih akata s time da njihova složenost odgovara ozbiljnosti predmeta i obliku mjere koju bi trebalo prilagoditi. Primjena okvira za donošenje odluka EU-a stoga bi prema potrebi ubrzala postupak usklađivanja relevantnih odredbi. Veća sinergija i učinkovitije donošenje odluka pridonijeli bi boljem upravljanju i provedbi postupaka.</w:t>
      </w:r>
    </w:p>
    <w:p>
      <w:pPr>
        <w:spacing w:before="0" w:after="0"/>
        <w:rPr>
          <w:rFonts w:eastAsia="Times New Roman"/>
          <w:noProof/>
          <w:szCs w:val="24"/>
        </w:rPr>
      </w:pPr>
    </w:p>
    <w:p>
      <w:pPr>
        <w:spacing w:before="0" w:after="0"/>
        <w:rPr>
          <w:rFonts w:eastAsia="Times New Roman"/>
          <w:noProof/>
          <w:szCs w:val="24"/>
        </w:rPr>
      </w:pPr>
      <w:r>
        <w:rPr>
          <w:noProof/>
        </w:rPr>
        <w:t>•</w:t>
      </w:r>
      <w:r>
        <w:rPr>
          <w:noProof/>
        </w:rPr>
        <w:tab/>
        <w:t>demokratska odgovornost: Dovršetak ekonomske i monetarne Unije podrazumijeva i veću političku odgovornost i transparentnost u postupku odlučivanja na različitim razinama. To znači da postupak donošenja odluka na europskoj razini treba približiti građanima i provoditi u okviru nacionalnih rasprava te da nacionalnim parlamentima i Europskom parlamentu treba dodijeliti dostatne ovlasti za nadzor ekonomskog upravljanja na razini EU-a. To bi trebalo dovesti i do veće odgovornosti za zajedničke odluke i transparentnost njihova donošenja i objavljivanja, a posebno se odnosi na EMF kao pravnog sljednika ESM-a. Demokratska odgovornost ključni je aspekt rasprave o budućnosti Europe. ESM je s godinama postao iznimno važan. Njegova preobrazba u EMF trebala bi podrazumijevati uklapanje njegova funkcioniranja u snažan okvir odgovornosti Unije uz potpuno razvijen sudski nadzor. Konkretno, sudjelovanje Europskog parlamenta pridonijelo bi poboljšanju demokratskog nadzora, dok bi uloga nacionalnih parlamenata i dalje bila u potpunosti jednaka s obzirom na velik doprinos država članica EMF-u.</w:t>
      </w:r>
    </w:p>
    <w:p>
      <w:pPr>
        <w:spacing w:before="0" w:after="0"/>
        <w:rPr>
          <w:rFonts w:eastAsia="Times New Roman"/>
          <w:noProof/>
          <w:szCs w:val="24"/>
        </w:rPr>
      </w:pPr>
    </w:p>
    <w:p>
      <w:pPr>
        <w:spacing w:before="0" w:after="0"/>
        <w:rPr>
          <w:rFonts w:eastAsia="Times New Roman"/>
          <w:noProof/>
          <w:szCs w:val="24"/>
        </w:rPr>
      </w:pPr>
      <w:r>
        <w:rPr>
          <w:noProof/>
        </w:rPr>
        <w:t>Svi prethodno navedeni razlozi upućuju na to da su strukture potrebne za pružanje potpore za financijsku stabilnost državama članicama europodručja najprimjerenije ako su uključene u okvir Unije i ako njima upravljaju tijela Unije osnovana u tu svrhu. S obzirom na financijska ograničenja i izazove s kojima je suočena Unija te iskustvo koje je u tom području stekao ESM, osnivanje potpuno novog tijela bilo bi izuzetno troškovno neučinkovito. Stoga bi bilo bolje da se u okviru predloženog EMF-a primjenjuje i u njega uklopi postojeći ESM sa sadašnjim ciljevima, zadaćma i instrumentima. EMF koji je sada predložila Komisija može se provesti u okviru postojećih Ugovora.</w:t>
      </w:r>
      <w:r>
        <w:rPr>
          <w:noProof/>
          <w:color w:val="000000"/>
          <w:u w:color="000000"/>
          <w:bdr w:val="nil"/>
        </w:rPr>
        <w:t xml:space="preserve"> Osim toga, to je i idealna prilika za uspostavu zajedničkog zaštitnog mehanizma za jedinstveni sanacijski odbor. Države članice još su 2013., kao dopunu političkom dogovoru o Uredbi o jedinstvenom sanacijskom mehanizmu</w:t>
      </w:r>
      <w:r>
        <w:rPr>
          <w:rStyle w:val="FootnoteReference"/>
          <w:noProof/>
        </w:rPr>
        <w:footnoteReference w:id="12"/>
      </w:r>
      <w:r>
        <w:rPr>
          <w:noProof/>
          <w:color w:val="000000"/>
          <w:u w:color="000000"/>
          <w:bdr w:val="nil"/>
        </w:rPr>
        <w:t>, dogovorile uspostavu zaštitnog mehanizma za jedinstveni fond za sanaciju</w:t>
      </w:r>
      <w:r>
        <w:rPr>
          <w:noProof/>
        </w:rPr>
        <w:t>.</w:t>
      </w:r>
      <w:r>
        <w:rPr>
          <w:noProof/>
          <w:color w:val="000000"/>
          <w:u w:color="000000"/>
          <w:bdr w:val="nil"/>
        </w:rPr>
        <w:t xml:space="preserve"> Zajednički bi zaštitni mehanizam kao krajnje sredstvo služio za jačanje povjerenja svih predmetnih strana s obzirom na vjerodostojnost mjera koje će poduzeti jedinstveni sanacijski odbor te za povećanje financijske sposobnosti jedinstvenog fonda za sanaciju. Aktiviralo bi ga se kao krajnje sredstvo samo ako se jedinstveni fond za sanaciju pokaže nedovoljnim za financiranje sanacije banke ili predmetnih banaka. Zaštitni mehanizam s vremenom bi postao fiskalno neutralan jer bi  sva korištena sredstva financirao bankarski sektor država članica koje sudjeluju u bankarskoj uniji.</w:t>
      </w:r>
    </w:p>
    <w:p>
      <w:pPr>
        <w:keepNext/>
        <w:tabs>
          <w:tab w:val="left" w:pos="0"/>
        </w:tabs>
        <w:outlineLvl w:val="1"/>
        <w:rPr>
          <w:rFonts w:eastAsia="Arial Unicode MS"/>
          <w:noProof/>
          <w:color w:val="000000"/>
          <w:u w:color="000000"/>
          <w:bdr w:val="nil"/>
        </w:rPr>
      </w:pPr>
      <w:r>
        <w:rPr>
          <w:noProof/>
          <w:color w:val="000000"/>
          <w:u w:color="000000"/>
          <w:bdr w:val="nil"/>
        </w:rPr>
        <w:t xml:space="preserve">Zaštita financijske stabilnosti država članica europodručja načelo je na temelju kojeg se povezuju jedinstveni sanacijski odbor i EMF i njegov prethodnik ESM koji je osnovan kako bi se zaštitila financijska stabilnost europodručja. Naime, sada već dobro uspostavljena povezanost država i banaka upućuje na to da je ključni element za financijsku stabilnost europodručja i same jedinstvene valute financijska stabilnost država i sistemskih banaka. Stoga je prirodnije da se ovim Prijedlogom osigura veza između aktivnosti SRB-a i EMF-a u obliku instrumenta kojim se omogućuje osiguranje kreditne linije ili jamstava za SRB kao potporu njegovim aktivnostima. </w:t>
      </w:r>
    </w:p>
    <w:p>
      <w:pPr>
        <w:spacing w:before="0" w:after="0"/>
        <w:rPr>
          <w:rFonts w:eastAsia="Times New Roman"/>
          <w:noProof/>
          <w:szCs w:val="24"/>
        </w:rPr>
      </w:pPr>
      <w:r>
        <w:rPr>
          <w:noProof/>
        </w:rPr>
        <w:t>Posljednjih su godina iznesena mnoga stajališta o dovršetku ekonomske i monetarne unije. Mišljenja se mogu razlikovati, ali postoji opći konsenzus da je potrebno ostvariti daljnji napredak. Toj su raspravi značajno pridonijele rezolucije Europskog parlamenta</w:t>
      </w:r>
      <w:r>
        <w:rPr>
          <w:rStyle w:val="FootnoteReference"/>
          <w:noProof/>
        </w:rPr>
        <w:footnoteReference w:id="13"/>
      </w:r>
      <w:r>
        <w:rPr>
          <w:noProof/>
        </w:rPr>
        <w:t xml:space="preserve"> i važne</w:t>
      </w:r>
      <w:r>
        <w:rPr>
          <w:noProof/>
          <w:sz w:val="22"/>
        </w:rPr>
        <w:t xml:space="preserve"> </w:t>
      </w:r>
      <w:r>
        <w:rPr>
          <w:noProof/>
        </w:rPr>
        <w:t>rasprave unutar Euroskupine</w:t>
      </w:r>
      <w:r>
        <w:rPr>
          <w:rStyle w:val="FootnoteReference"/>
          <w:noProof/>
        </w:rPr>
        <w:footnoteReference w:id="14"/>
      </w:r>
      <w:r>
        <w:rPr>
          <w:noProof/>
        </w:rPr>
        <w:t xml:space="preserve">.  </w:t>
      </w:r>
    </w:p>
    <w:p>
      <w:pPr>
        <w:spacing w:before="0" w:after="0"/>
        <w:rPr>
          <w:rFonts w:eastAsia="Times New Roman"/>
          <w:noProof/>
          <w:szCs w:val="24"/>
        </w:rPr>
      </w:pPr>
    </w:p>
    <w:p>
      <w:pPr>
        <w:spacing w:before="0" w:after="0"/>
        <w:rPr>
          <w:rFonts w:eastAsia="Times New Roman"/>
          <w:noProof/>
          <w:szCs w:val="24"/>
        </w:rPr>
      </w:pPr>
      <w:r>
        <w:rPr>
          <w:noProof/>
        </w:rPr>
        <w:t>Prijedlog uredbe o osnivanju EMF-a jedna je od inicijativa najavljenih u Komunikaciji Komisije „Daljnje mjere za dovršetak ekonomske i monetrane unije”. U toj se Komunikaciji navodi sažeti prikaz konteksta i sadržaja inicijativa koje Komisija predstavlja te se objašnjava da je taj paket dio općeg plana za dovršetak ekonomske i monetarne unije do 2025. i navode rokovi za djelovanje u sljedećih 18 mjeseci.</w:t>
      </w:r>
    </w:p>
    <w:p>
      <w:pPr>
        <w:spacing w:before="0" w:after="0"/>
        <w:rPr>
          <w:b/>
          <w:bCs/>
          <w:noProof/>
          <w:u w:val="single"/>
        </w:rPr>
      </w:pPr>
    </w:p>
    <w:p>
      <w:pPr>
        <w:spacing w:before="0" w:after="0"/>
        <w:rPr>
          <w:noProof/>
        </w:rPr>
      </w:pPr>
      <w:r>
        <w:rPr>
          <w:noProof/>
        </w:rPr>
        <w:t>Prijedlog o osnivanju Europskog monetarnog fonda koji bi se uključio u pravni okvir EU-a temelji se na stabilnoj strukturi Europskog stabilizacijskog mehanizma. Već je u Izvješću petorice predsjednika najavljeno osnivanje tog Fonda, što je zatražio i Europski parlament koji je naglasio da Europski monetarni fond treba raspolagati odgovarajućim kapacitetom kreditiranja i zaduživanja te jasno definiranim ovlastima</w:t>
      </w:r>
      <w:r>
        <w:rPr>
          <w:rStyle w:val="FootnoteReference"/>
          <w:noProof/>
        </w:rPr>
        <w:footnoteReference w:id="15"/>
      </w:r>
      <w:r>
        <w:rPr>
          <w:noProof/>
        </w:rPr>
        <w:t xml:space="preserve">. </w:t>
      </w:r>
    </w:p>
    <w:p>
      <w:pPr>
        <w:spacing w:before="0" w:after="0"/>
        <w:rPr>
          <w:noProof/>
        </w:rPr>
      </w:pPr>
    </w:p>
    <w:p>
      <w:pPr>
        <w:spacing w:before="0" w:after="0"/>
        <w:rPr>
          <w:noProof/>
        </w:rPr>
      </w:pPr>
      <w:r>
        <w:rPr>
          <w:noProof/>
        </w:rPr>
        <w:t>Europski stabilizacijski mehanizam osnovan je u listopadu 2012. na vrhuncu krize. Pod pritiskom događanja u tom razdoblju osmišljeno je rješenje koje je potvrđeno na međuvladinoj razini. Međutim, već je tada bilo jasno da se ono može provesti u okviru Ugovorā EU-a, kako je Komisija primjerice navela u „Nacrtu za snažnu i istinsku ekonomsku i monetarnu uniju”</w:t>
      </w:r>
      <w:r>
        <w:rPr>
          <w:rStyle w:val="FootnoteReference"/>
          <w:noProof/>
        </w:rPr>
        <w:footnoteReference w:id="16"/>
      </w:r>
      <w:r>
        <w:rPr>
          <w:noProof/>
        </w:rPr>
        <w:t>. </w:t>
      </w:r>
    </w:p>
    <w:p>
      <w:pPr>
        <w:spacing w:before="0" w:after="0"/>
        <w:rPr>
          <w:noProof/>
        </w:rPr>
      </w:pPr>
    </w:p>
    <w:p>
      <w:pPr>
        <w:spacing w:before="0" w:after="0"/>
        <w:rPr>
          <w:noProof/>
        </w:rPr>
      </w:pPr>
      <w:r>
        <w:rPr>
          <w:noProof/>
        </w:rPr>
        <w:t>S vremenom se pokazalo da je Europski stabilizacijski mehanizam ključan za održavanje financijske stabilnosti europodručja jer je njime osigurana dodatna financijska potpora državama članicama europodručja koje su bile u poteškoćama. Nakon što postane Europski monetarni fond, dodatno će se ojačati njegovi institucijski temelji, te će pridonijeti razvoju nove sinergije unutar okvira EU-a, prvenstveno u pogledu transparentnosti, sudske revizije i učinkovitosti korištenja financijskih sredstava EU-a, čime će se pružiti bolja potpora državama članicama. EMF će pridonijeti i poboljšanju daljnje suradnje s Komisijom i većoj odgovornosti prema Europskom parlamentu, no time se neće utjecati na odgovornost nacionalnih vlada prema svojim nacionalnim parlamentima i zadržat će se obveze iz postojećeg Europskog stabilizacijskog mehanizma.</w:t>
      </w:r>
    </w:p>
    <w:p>
      <w:pPr>
        <w:spacing w:before="0" w:after="0"/>
        <w:rPr>
          <w:noProof/>
        </w:rPr>
      </w:pPr>
    </w:p>
    <w:p>
      <w:pPr>
        <w:spacing w:before="0" w:after="0"/>
        <w:rPr>
          <w:noProof/>
        </w:rPr>
      </w:pPr>
      <w:r>
        <w:rPr>
          <w:noProof/>
        </w:rPr>
        <w:t>Inicijativa je iznesena u obliku prijedloga za uredbu Vijeća za koju je, u skladu s člankom 352. Ugovora o funkcioniranju Europske unije, potrebna suglasnost Europskog parlamenta. Na temelju članka 352. dopušteno je uključivanje Europskog stabilizacijskog mehanizma u okvir Unije jer je ta mjera potrebna za financijsku stabilnost europodručja</w:t>
      </w:r>
      <w:r>
        <w:rPr>
          <w:rStyle w:val="FootnoteReference"/>
          <w:noProof/>
        </w:rPr>
        <w:footnoteReference w:id="17"/>
      </w:r>
      <w:r>
        <w:rPr>
          <w:noProof/>
        </w:rPr>
        <w:t xml:space="preserve"> i Ugovorima se ne predviđa neka druga pravna osnova na temelju koje bi EU ostvario taj konkretni cilj</w:t>
      </w:r>
      <w:r>
        <w:rPr>
          <w:rStyle w:val="FootnoteReference"/>
          <w:noProof/>
        </w:rPr>
        <w:footnoteReference w:id="18"/>
      </w:r>
      <w:r>
        <w:rPr>
          <w:noProof/>
        </w:rPr>
        <w:t>. U stavku 2. tog članka izričito se predviđa uloga nacionalnih parlamenata. Povijesno gledajući, nekoliko važnih odluka kojima su stvoreni uvjeti za uspostavu ekonomske i monetarne unije temeljilo se na odredbama istovrijednima članku 352. Primjerice, odluke o osnivanju Europskog fonda za monetarnu suradnju, utvrđivanju europske valutne jedinice i prvim mehanizmima za platne bilance donesene su u skladu s člankom 235. Ugovora o Europskoj ekonomskoj zajednici, koji je prethodio članku 352.</w:t>
      </w:r>
    </w:p>
    <w:p>
      <w:pPr>
        <w:spacing w:after="0"/>
        <w:rPr>
          <w:rFonts w:eastAsia="Times New Roman"/>
          <w:noProof/>
        </w:rPr>
      </w:pPr>
      <w:r>
        <w:rPr>
          <w:noProof/>
        </w:rPr>
        <w:t>Prijedlogu je priložen nacrt dokumenta koji bi mogao postao međuvladin sporazum na temelju kojeg bi se države članice mogle međusobno dogovoriti o prijenosu sredstava iz Europskog stabilizacijskog mehanizma u Europski monetarni fond. Time se predviđa i činjenica da je EMF slijednik i zamjena za Europski stabilizacijski mehanizam, uključujući njegov pravni položaj uz sva pripadajuća prava i obveze.</w:t>
      </w:r>
    </w:p>
    <w:p>
      <w:pPr>
        <w:spacing w:before="0" w:after="0"/>
        <w:rPr>
          <w:noProof/>
        </w:rPr>
      </w:pPr>
    </w:p>
    <w:p>
      <w:pPr>
        <w:spacing w:before="0" w:after="0"/>
        <w:rPr>
          <w:noProof/>
        </w:rPr>
      </w:pPr>
      <w:r>
        <w:rPr>
          <w:noProof/>
        </w:rPr>
        <w:t xml:space="preserve">Na temelju prijedloga koji je danas predstavljen Europski monetarni fond osnovat će se kao jedinstveno pravno tijelo u okviru prava Unije. Bit će slijednik Europskog stabilizacijskog mehanizma te će u osnovi zadržati njegovu postojeću financijsku i institucijsku strukturu. To znači da će se u okviru Europskog monetarnog fonda i dalje pružati potpora za financijsku stabilnost državama članicama kojima je to potrebno, prikupljat će se sredstva izdavanjem instrumenata tržišta kapitala te će se izvršavati transakcije na tržištu novca. Članstvo se neće promijeniti te će i dalje biti moguće sudjelovanje dodatnih država članica nakon što se one uvedu euro. </w:t>
      </w:r>
    </w:p>
    <w:p>
      <w:pPr>
        <w:rPr>
          <w:noProof/>
        </w:rPr>
      </w:pPr>
    </w:p>
    <w:p>
      <w:pPr>
        <w:spacing w:after="0"/>
        <w:rPr>
          <w:noProof/>
        </w:rPr>
      </w:pPr>
      <w:r>
        <w:rPr>
          <w:noProof/>
        </w:rPr>
        <w:t>Budući da će Europski monetarni fond postati tijelo Unije, potrebne su određene ciljane prilagodbe postojeće strukture Europskog stabilizacijskog mehanizma, Diskrecijske odluke koje o njima donese Europski monetarni fond morat će potvrditi Vijeće</w:t>
      </w:r>
      <w:r>
        <w:rPr>
          <w:rStyle w:val="FootnoteReference"/>
          <w:noProof/>
        </w:rPr>
        <w:footnoteReference w:id="19"/>
      </w:r>
      <w:r>
        <w:rPr>
          <w:noProof/>
        </w:rPr>
        <w:t>.</w:t>
      </w:r>
    </w:p>
    <w:p>
      <w:pPr>
        <w:spacing w:before="0" w:after="0"/>
        <w:rPr>
          <w:noProof/>
        </w:rPr>
      </w:pPr>
    </w:p>
    <w:p>
      <w:pPr>
        <w:spacing w:before="0" w:after="0"/>
        <w:rPr>
          <w:noProof/>
        </w:rPr>
      </w:pPr>
      <w:r>
        <w:rPr>
          <w:noProof/>
        </w:rPr>
        <w:t>Nadalje, prijedlog koji je danas predstavljen uključuje ograničeni broj novih obilježja.</w:t>
      </w:r>
    </w:p>
    <w:p>
      <w:pPr>
        <w:spacing w:before="0" w:after="0"/>
        <w:rPr>
          <w:noProof/>
        </w:rPr>
      </w:pPr>
    </w:p>
    <w:p>
      <w:pPr>
        <w:spacing w:before="0" w:after="0"/>
        <w:rPr>
          <w:noProof/>
        </w:rPr>
      </w:pPr>
      <w:r>
        <w:rPr>
          <w:noProof/>
        </w:rPr>
        <w:t>Prvo, u okviru Europskog monetarnog fonda osigurat će se  zajednički zaštitni mehanizam za jedinstveni fond za sanaciju, što je ključni element drugog stupa bankarske unije, odnosno takozvanog jedinstvenog sanacijskog mehanizma.</w:t>
      </w:r>
      <w:r>
        <w:rPr>
          <w:rStyle w:val="FootnoteReference"/>
          <w:noProof/>
        </w:rPr>
        <w:footnoteReference w:id="20"/>
      </w:r>
      <w:r>
        <w:rPr>
          <w:noProof/>
        </w:rPr>
        <w:t xml:space="preserve"> Kad je u 2013. donesena odluka o uspostavi jedinstvenog sanacijskog mehanizma, države članice dogovorile su da će uspostaviti zaštitni mehanizam za jedinstveni fond za sanaciju On bi se aktivirao samo u krajnjoj nuždi ako se pokaže da neposredno dostupna sredstva jedinstvenog fonda za sanaciju nisu dovoljna za potrebe kapitala ili likvidnosti. Države članice su se dogovorile da  bi on u srednjoročnom razdoblju trebao biti proračunski neutralan jer bi potencijalnu primjenu zaštitnog mehanizma financirao bankarski sektor europodručja. </w:t>
      </w:r>
    </w:p>
    <w:p>
      <w:pPr>
        <w:spacing w:before="0" w:after="0"/>
        <w:rPr>
          <w:noProof/>
        </w:rPr>
      </w:pPr>
    </w:p>
    <w:p>
      <w:pPr>
        <w:spacing w:before="0" w:after="0"/>
        <w:rPr>
          <w:noProof/>
        </w:rPr>
      </w:pPr>
      <w:r>
        <w:rPr>
          <w:noProof/>
        </w:rPr>
        <w:t>Nova pravila EU-a o nadzoru i sanaciji banaka izrađena nakon krize znatno su smanjila vjerojatnost i mogući učinak propasti banaka. Međutim, još uvijek je potreban zajednički fiskalni zaštitni mehanizam kako bi se povećao financijski kapacitet jedinstvenog fonda za sanaciju. Taj bi zaštitni mehanizam potaknuo povjerenje u bankarski sustav jer bi se na njemu temeljila vjerodostojnost mjera koje poduzima Jedinstveni sanacijski odbor. Time bi se zapravo smanjila vjerojatnost aktivacije zaštitnog mehanizma.</w:t>
      </w:r>
    </w:p>
    <w:p>
      <w:pPr>
        <w:spacing w:before="0" w:after="0"/>
        <w:rPr>
          <w:noProof/>
        </w:rPr>
      </w:pPr>
    </w:p>
    <w:p>
      <w:pPr>
        <w:spacing w:before="0" w:after="0"/>
        <w:rPr>
          <w:noProof/>
        </w:rPr>
      </w:pPr>
      <w:r>
        <w:rPr>
          <w:noProof/>
        </w:rPr>
        <w:t xml:space="preserve">Opći je konsenzus da je Europski stabilizacijski mehanizam, odnosno budući Europski monetarni fond, najbolje sredstvo u okviru kojeg se zaštitni mehanizam koristi u obliku kreditne linije ili jamstava odobrenih jedinstvenom fondu za sanaciju. Taj je konsenzus pretočen u prijedlog iz današnjeg paketa u kojem se utvrđuju i odgovarajući postupci odlučivanja kako bi se prema potrebi osigurala brza aktivacija zaštitnog mehanizma. Predlažu se posebni aranžmani kojima se uzimaju u obzir legitimni interesi država članica europodručja koje su se pridružile bankarskoj uniji. </w:t>
      </w:r>
    </w:p>
    <w:p>
      <w:pPr>
        <w:spacing w:before="0" w:after="0"/>
        <w:rPr>
          <w:noProof/>
        </w:rPr>
      </w:pPr>
    </w:p>
    <w:p>
      <w:pPr>
        <w:spacing w:before="0" w:after="0"/>
        <w:rPr>
          <w:noProof/>
        </w:rPr>
      </w:pPr>
      <w:r>
        <w:rPr>
          <w:noProof/>
        </w:rPr>
        <w:t>Drugo, kad je riječ o upravljanju, prijedlog sadržava mogućnost bržeg odlučivanja u određenim hitnim situacijama. Predlaže se da se i dalje sve bitne odluke s financijskim učinkom (npr. pozivi na uplatu kapitala) donose jednoglasno. Međutim, predlaže se da se konkretne odluke o dodjeli potpore za stabilnost, isplati sredstava i primjeni zaštitnog mehanizma donose pojačanom kvalificiranom većinom za koju je potrebno 85 % glasova.</w:t>
      </w:r>
    </w:p>
    <w:p>
      <w:pPr>
        <w:spacing w:after="0"/>
        <w:rPr>
          <w:rFonts w:eastAsia="Times New Roman"/>
          <w:noProof/>
        </w:rPr>
      </w:pPr>
      <w:r>
        <w:rPr>
          <w:noProof/>
        </w:rPr>
        <w:t>Treće, kad je riječ o upravljanju programima financijske pomoći, u prijedlogu se predviđa izravnije sudjelovanje EMF-a zajedno s Komisijom.</w:t>
      </w:r>
    </w:p>
    <w:p>
      <w:pPr>
        <w:spacing w:after="0"/>
        <w:rPr>
          <w:rFonts w:eastAsia="Times New Roman"/>
          <w:noProof/>
        </w:rPr>
      </w:pPr>
      <w:r>
        <w:rPr>
          <w:noProof/>
        </w:rPr>
        <w:t>Četvrto, u prijedlogu se predviđa mogućnost da se u okviru Europskog monetarnog fonda izrade novi financijski instrumenti, koji bi s vremenom mogli nadopunjavati ili podupirati druge financijske instrumente i programe EU-a. Ta bi sinergija mogla biti osobito korisna ako Europski monetarni fond bude služio kao potpora mogućoj stabilizacijskoj funkciji u budućnosti.</w:t>
      </w:r>
    </w:p>
    <w:p>
      <w:pPr>
        <w:rPr>
          <w:noProof/>
        </w:rPr>
      </w:pPr>
      <w:r>
        <w:rPr>
          <w:noProof/>
        </w:rPr>
        <w:t xml:space="preserve">Zahvaljujući tim promjenama Europski monetarni fond postao bi stabilno tijelo za upravljanje krizom unutar okvira Unije koji bi djelovao u potpunoj sinergiji s ostalim institucijama EU-a. Vijeće i Komisija zadržali bi ovlasti i odgovornosti za ekonomski i fiskalni nadzor i koordinaciju politika kako je utvrđeno u Ugovorima EU-a. </w:t>
      </w:r>
    </w:p>
    <w:p>
      <w:pPr>
        <w:rPr>
          <w:noProof/>
        </w:rPr>
      </w:pPr>
      <w:r>
        <w:rPr>
          <w:noProof/>
        </w:rPr>
        <w:t>Trebalo bi poboljšati i praktičnu suradnju  kako bi se bolje odgovorilo na potrebe država članica, surađivalo sa sudionicima na tržištu i spriječilo udvostručavanje aktivnosti. Daljnja suradnja mogla bi se provoditi uzimajući u obzir daljnji napredak koji se ostvari u jačanju europske i monetarne unije.</w:t>
      </w:r>
    </w:p>
    <w:p>
      <w:pPr>
        <w:keepNext/>
        <w:tabs>
          <w:tab w:val="left" w:pos="0"/>
        </w:tabs>
        <w:outlineLvl w:val="1"/>
        <w:rPr>
          <w:rFonts w:eastAsia="Times New Roman"/>
          <w:noProof/>
          <w:szCs w:val="24"/>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Predložena poboljšanja ustroja ESM-a</w:t>
      </w:r>
    </w:p>
    <w:p>
      <w:pPr>
        <w:pBdr>
          <w:top w:val="nil"/>
          <w:left w:val="nil"/>
          <w:bottom w:val="nil"/>
          <w:right w:val="nil"/>
          <w:between w:val="nil"/>
          <w:bar w:val="nil"/>
        </w:pBdr>
        <w:spacing w:before="0" w:after="240"/>
        <w:rPr>
          <w:rFonts w:eastAsia="Arial Unicode MS"/>
          <w:noProof/>
        </w:rPr>
      </w:pPr>
      <w:r>
        <w:rPr>
          <w:noProof/>
        </w:rPr>
        <w:t xml:space="preserve">Ovaj Prijedlog uredbe i njegov Prilog koji sadržava Statut EMF-a temelje se na Ugovoru o ESM-u i podzakonskim aktima ESM-a. </w:t>
      </w:r>
    </w:p>
    <w:p>
      <w:pPr>
        <w:pBdr>
          <w:top w:val="nil"/>
          <w:left w:val="nil"/>
          <w:bottom w:val="nil"/>
          <w:right w:val="nil"/>
          <w:between w:val="nil"/>
          <w:bar w:val="nil"/>
        </w:pBdr>
        <w:spacing w:before="0" w:after="240"/>
        <w:rPr>
          <w:rFonts w:eastAsia="Arial Unicode MS"/>
          <w:noProof/>
        </w:rPr>
      </w:pPr>
      <w:r>
        <w:rPr>
          <w:noProof/>
        </w:rPr>
        <w:t>Konkretno, Prilog je uglavnom preslika teksta Ugovora o ESM-u te se niz članaka Ugovora o ESM-u uglavnom ne mijenja. Riječ je o člancima koji se odnose na temeljni kapital, pozive na uplatu kapitala te ključ za upis kapitala (članci 8., 9. i 11.), članke koji se odnose na instrumente za pružanje potpore za financijsku stabilnost članicama EMF-a (članci od 14. do 18.), politiku određivanja cijena (članak 20.), zaduživanje (članak 21.), financijsko upravljanje (članci od 25. do 28.), unutarnju reviziju (članak 33.) i privremenu korekciju ključa za upis kapitala (članak 44.).</w:t>
      </w:r>
    </w:p>
    <w:p>
      <w:pPr>
        <w:pBdr>
          <w:top w:val="nil"/>
          <w:left w:val="nil"/>
          <w:bottom w:val="nil"/>
          <w:right w:val="nil"/>
          <w:between w:val="nil"/>
          <w:bar w:val="nil"/>
        </w:pBdr>
        <w:spacing w:before="0" w:after="240"/>
        <w:rPr>
          <w:rFonts w:eastAsia="Arial Unicode MS"/>
          <w:noProof/>
        </w:rPr>
      </w:pPr>
      <w:r>
        <w:rPr>
          <w:noProof/>
        </w:rPr>
        <w:t xml:space="preserve">Pravna usklađenost s pravnim okvirom EU-a i ograničene promjene u cilju poboljšanja postupaka i donošenja odluka o EMF-u razlozi su zbog kojih prijedlog odstupa od teksta postojećeg Ugovora o ESM-u. </w:t>
      </w:r>
    </w:p>
    <w:p>
      <w:pPr>
        <w:pBdr>
          <w:top w:val="nil"/>
          <w:left w:val="nil"/>
          <w:bottom w:val="nil"/>
          <w:right w:val="nil"/>
          <w:between w:val="nil"/>
          <w:bar w:val="nil"/>
        </w:pBdr>
        <w:spacing w:before="0" w:after="240"/>
        <w:rPr>
          <w:rFonts w:eastAsia="Arial Unicode MS"/>
          <w:i/>
          <w:noProof/>
        </w:rPr>
      </w:pPr>
      <w:r>
        <w:rPr>
          <w:i/>
          <w:noProof/>
        </w:rPr>
        <w:t>1. Pravna usklađenost s pravnim okvirom EU-a:</w:t>
      </w:r>
    </w:p>
    <w:p>
      <w:pPr>
        <w:pBdr>
          <w:top w:val="nil"/>
          <w:left w:val="nil"/>
          <w:bottom w:val="nil"/>
          <w:right w:val="nil"/>
          <w:between w:val="nil"/>
          <w:bar w:val="nil"/>
        </w:pBdr>
        <w:spacing w:before="0" w:after="240"/>
        <w:rPr>
          <w:rFonts w:eastAsia="Arial Unicode MS"/>
          <w:noProof/>
        </w:rPr>
      </w:pPr>
      <w:r>
        <w:rPr>
          <w:noProof/>
        </w:rPr>
        <w:t xml:space="preserve">Kao prvo, Prijedlog uredbe sadržava članke s izmjenama koje su potrebne radi usklađenosti s pravom EU-a: uspostava EMF-a (članak 1.), njegovo pravno sljedništvo i zamjena EMF-a (članak 2.), uvođenje postupka odobravanja od strane Vijeća za odluke koje donosi Vijeće guvernera ili Upravno vijeće koji imaju političko diskrecijsko pravo (članak 3.) i povezani zahtjevi za objavu (članak 4.) te posebne odredbe o odgovornosti (članci 5. i 6.) prema Europskom parlamentu i nacionalnim parlamentima. Predviđene su i dvije završne odredbe (članci 7. i 8.). </w:t>
      </w:r>
    </w:p>
    <w:p>
      <w:pPr>
        <w:pBdr>
          <w:top w:val="nil"/>
          <w:left w:val="nil"/>
          <w:bottom w:val="nil"/>
          <w:right w:val="nil"/>
          <w:between w:val="nil"/>
          <w:bar w:val="nil"/>
        </w:pBdr>
        <w:spacing w:before="0" w:after="240"/>
        <w:rPr>
          <w:rFonts w:eastAsia="Arial Unicode MS"/>
          <w:noProof/>
        </w:rPr>
      </w:pPr>
      <w:r>
        <w:rPr>
          <w:noProof/>
        </w:rPr>
        <w:t xml:space="preserve">S druge strane, Prilog Prijedlogu uredbe sadržava Statut EMF-a odnosno promjene kako bi se osigurala usklađenost s pravom Unije, primjerice: određivanje kapaciteta kreditiranja (članak 8.), načela potpore stabilnosti (članak 12.), uključivanje instrumenta za izravnu dokapitalizaciju kreditnih institucija (članak 19.), postupak koji se odnosi na proračun EMF-a (članci 29. i 30.), godišnji financijski izvještaji (članak 31.), financijski izvještaji i godišnja izvješća (članak 32.), vanjska revizija (članak 34.), odbor revizora (članak 35.), sporazum o sjedištu (članak 37.), povlastice i imuniteti (članak 38.), odredbe o osoblju (članak 39.), poslovna tajna i razmjena informacija (članak 40.), ovlasti za upravljanje koje se odnose na EFSF (članak 42.), mjere za suzbijanje prijevara (članak 45.), pristup dokumentima (članak 46.), jezični zahtjevi (članak 47.). </w:t>
      </w:r>
    </w:p>
    <w:p>
      <w:pPr>
        <w:pBdr>
          <w:top w:val="nil"/>
          <w:left w:val="nil"/>
          <w:bottom w:val="nil"/>
          <w:right w:val="nil"/>
          <w:between w:val="nil"/>
          <w:bar w:val="nil"/>
        </w:pBdr>
        <w:spacing w:before="0" w:after="240"/>
        <w:rPr>
          <w:rFonts w:eastAsia="Arial Unicode MS"/>
          <w:i/>
          <w:noProof/>
        </w:rPr>
      </w:pPr>
      <w:r>
        <w:rPr>
          <w:i/>
          <w:noProof/>
        </w:rPr>
        <w:t>2. Poboljšanje postupaka i donošenja odluka u okviru EMF-a:</w:t>
      </w:r>
    </w:p>
    <w:p>
      <w:pPr>
        <w:pBdr>
          <w:top w:val="nil"/>
          <w:left w:val="nil"/>
          <w:bottom w:val="nil"/>
          <w:right w:val="nil"/>
          <w:between w:val="nil"/>
          <w:bar w:val="nil"/>
        </w:pBdr>
        <w:spacing w:before="0" w:after="240"/>
        <w:rPr>
          <w:rFonts w:eastAsia="Arial Unicode MS"/>
          <w:noProof/>
        </w:rPr>
      </w:pPr>
      <w:r>
        <w:rPr>
          <w:noProof/>
        </w:rPr>
        <w:t>Osim toga, uvode se izmjene članaka Ugovora o ESM-u u cilju postizanja određenih dodatnih ciljeva: poboljšanje postupaka glasovanja (članci 5. i 6.), postupka imenovanja generalnog direktora (članak 7.), osnivanje nove funkcije radi potpore jedinstvenom sanacijskom odboru te izmjene ciljeva i načela u skladu s time (članci 3., 25. i 27.), veća fleksibilnost u pogledu sporazumâ o suradnji (članak 44.).</w:t>
      </w:r>
    </w:p>
    <w:p>
      <w:pPr>
        <w:pBdr>
          <w:top w:val="nil"/>
          <w:left w:val="nil"/>
          <w:bottom w:val="nil"/>
          <w:right w:val="nil"/>
          <w:between w:val="nil"/>
          <w:bar w:val="nil"/>
        </w:pBdr>
        <w:spacing w:before="0" w:after="240"/>
        <w:rPr>
          <w:rFonts w:eastAsia="Arial Unicode MS"/>
          <w:i/>
          <w:noProof/>
        </w:rPr>
      </w:pPr>
      <w:r>
        <w:rPr>
          <w:i/>
          <w:noProof/>
        </w:rPr>
        <w:t>3. Tablica istovrijednosti</w:t>
      </w:r>
    </w:p>
    <w:p>
      <w:pPr>
        <w:pBdr>
          <w:top w:val="nil"/>
          <w:left w:val="nil"/>
          <w:bottom w:val="nil"/>
          <w:right w:val="nil"/>
          <w:between w:val="nil"/>
          <w:bar w:val="nil"/>
        </w:pBdr>
        <w:spacing w:before="0" w:after="240"/>
        <w:rPr>
          <w:rFonts w:eastAsia="Arial Unicode MS"/>
          <w:noProof/>
        </w:rPr>
      </w:pPr>
      <w:r>
        <w:rPr>
          <w:noProof/>
        </w:rPr>
        <w:t>Korelacijska tablica u nastavku usporedni je pregled ustroja Ugovora o ESM-u na lijevoj strani te Prijedloga uredbe i Statuta EMF-a na desnoj strani:</w:t>
      </w:r>
    </w:p>
    <w:tbl>
      <w:tblPr>
        <w:tblStyle w:val="TableGrid"/>
        <w:tblW w:w="9356" w:type="dxa"/>
        <w:tblInd w:w="-176" w:type="dxa"/>
        <w:tblLook w:val="04A0" w:firstRow="1" w:lastRow="0" w:firstColumn="1" w:lastColumn="0" w:noHBand="0" w:noVBand="1"/>
      </w:tblPr>
      <w:tblGrid>
        <w:gridCol w:w="4537"/>
        <w:gridCol w:w="4819"/>
      </w:tblGrid>
      <w:tr>
        <w:tc>
          <w:tcPr>
            <w:tcW w:w="4537" w:type="dxa"/>
            <w:shd w:val="clear" w:color="auto" w:fill="EEECE1" w:themeFill="background2"/>
          </w:tcPr>
          <w:p>
            <w:pPr>
              <w:spacing w:before="0" w:after="0"/>
              <w:jc w:val="center"/>
              <w:rPr>
                <w:b/>
                <w:noProof/>
                <w:sz w:val="22"/>
                <w:szCs w:val="24"/>
              </w:rPr>
            </w:pPr>
            <w:r>
              <w:rPr>
                <w:b/>
                <w:noProof/>
                <w:sz w:val="22"/>
              </w:rPr>
              <w:t>Članci Ugovora o ESM-u</w:t>
            </w:r>
          </w:p>
        </w:tc>
        <w:tc>
          <w:tcPr>
            <w:tcW w:w="4819" w:type="dxa"/>
            <w:shd w:val="clear" w:color="auto" w:fill="EEECE1" w:themeFill="background2"/>
          </w:tcPr>
          <w:p>
            <w:pPr>
              <w:spacing w:before="0" w:after="0"/>
              <w:jc w:val="center"/>
              <w:rPr>
                <w:b/>
                <w:noProof/>
                <w:szCs w:val="24"/>
              </w:rPr>
            </w:pPr>
            <w:r>
              <w:rPr>
                <w:b/>
                <w:noProof/>
              </w:rPr>
              <w:t>Odgovarajuće odredbe predložene Uredbe o EMF-u i Statuta europskog monetarnog fonda („Statut”)</w:t>
            </w:r>
          </w:p>
        </w:tc>
      </w:tr>
      <w:tr>
        <w:trPr>
          <w:trHeight w:val="308"/>
        </w:trPr>
        <w:tc>
          <w:tcPr>
            <w:tcW w:w="4537" w:type="dxa"/>
          </w:tcPr>
          <w:p>
            <w:pPr>
              <w:spacing w:before="0" w:after="0"/>
              <w:rPr>
                <w:noProof/>
                <w:szCs w:val="24"/>
              </w:rPr>
            </w:pPr>
            <w:r>
              <w:rPr>
                <w:noProof/>
              </w:rPr>
              <w:t xml:space="preserve">Članak 1. (osnivanje EMF-a) </w:t>
            </w:r>
          </w:p>
        </w:tc>
        <w:tc>
          <w:tcPr>
            <w:tcW w:w="4819" w:type="dxa"/>
          </w:tcPr>
          <w:p>
            <w:pPr>
              <w:spacing w:before="0" w:after="0"/>
              <w:rPr>
                <w:noProof/>
                <w:szCs w:val="24"/>
              </w:rPr>
            </w:pPr>
            <w:r>
              <w:rPr>
                <w:noProof/>
              </w:rPr>
              <w:t>Članak 1. Prijedloga uredbe (osnivanje EMF-a)</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szCs w:val="24"/>
              </w:rPr>
            </w:pPr>
            <w:r>
              <w:rPr>
                <w:noProof/>
              </w:rPr>
              <w:t>Članak 2. Prijedloga uredbe (sljedništvo i zamjena ESM-a)</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color w:val="000000"/>
                <w:szCs w:val="24"/>
              </w:rPr>
            </w:pPr>
            <w:r>
              <w:rPr>
                <w:noProof/>
              </w:rPr>
              <w:t>Članak 3. Prijedloga uredbe (</w:t>
            </w:r>
            <w:r>
              <w:rPr>
                <w:noProof/>
                <w:color w:val="000000"/>
              </w:rPr>
              <w:t>uloga Vijeća)</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szCs w:val="24"/>
              </w:rPr>
            </w:pPr>
            <w:r>
              <w:rPr>
                <w:noProof/>
              </w:rPr>
              <w:t>Članak 4. Prijedloga uredbe (objava)</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szCs w:val="24"/>
              </w:rPr>
            </w:pPr>
            <w:r>
              <w:rPr>
                <w:noProof/>
              </w:rPr>
              <w:t>Članak 5. Prijedloga uredbe (Europski parlament)</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szCs w:val="24"/>
              </w:rPr>
            </w:pPr>
            <w:r>
              <w:rPr>
                <w:noProof/>
              </w:rPr>
              <w:t>Članak 6. Prijedloga uredbe (nacionalni parlamenti)</w:t>
            </w:r>
          </w:p>
        </w:tc>
      </w:tr>
      <w:tr>
        <w:trPr>
          <w:trHeight w:val="308"/>
        </w:trPr>
        <w:tc>
          <w:tcPr>
            <w:tcW w:w="4537" w:type="dxa"/>
          </w:tcPr>
          <w:p>
            <w:pPr>
              <w:spacing w:before="0" w:after="0"/>
              <w:rPr>
                <w:noProof/>
                <w:szCs w:val="24"/>
              </w:rPr>
            </w:pPr>
            <w:r>
              <w:rPr>
                <w:noProof/>
              </w:rPr>
              <w:t>–</w:t>
            </w:r>
          </w:p>
        </w:tc>
        <w:tc>
          <w:tcPr>
            <w:tcW w:w="4819" w:type="dxa"/>
          </w:tcPr>
          <w:p>
            <w:pPr>
              <w:spacing w:before="0" w:after="0"/>
              <w:rPr>
                <w:noProof/>
                <w:szCs w:val="24"/>
              </w:rPr>
            </w:pPr>
            <w:r>
              <w:rPr>
                <w:noProof/>
              </w:rPr>
              <w:t>Članak 7. Prijedloga uredbe (upućivanja na ESM u postojećem zakonodavstvu Unije)</w:t>
            </w:r>
          </w:p>
        </w:tc>
      </w:tr>
      <w:tr>
        <w:trPr>
          <w:trHeight w:val="308"/>
        </w:trPr>
        <w:tc>
          <w:tcPr>
            <w:tcW w:w="4537" w:type="dxa"/>
          </w:tcPr>
          <w:p>
            <w:pPr>
              <w:spacing w:before="0" w:after="0"/>
              <w:rPr>
                <w:noProof/>
                <w:szCs w:val="24"/>
              </w:rPr>
            </w:pPr>
            <w:r>
              <w:rPr>
                <w:noProof/>
              </w:rPr>
              <w:t xml:space="preserve">– </w:t>
            </w:r>
          </w:p>
        </w:tc>
        <w:tc>
          <w:tcPr>
            <w:tcW w:w="4819" w:type="dxa"/>
          </w:tcPr>
          <w:p>
            <w:pPr>
              <w:spacing w:before="0" w:after="0"/>
              <w:rPr>
                <w:noProof/>
                <w:szCs w:val="24"/>
              </w:rPr>
            </w:pPr>
            <w:r>
              <w:rPr>
                <w:noProof/>
              </w:rPr>
              <w:t>Članak 1. Statuta (pravni status EMF-a)</w:t>
            </w:r>
          </w:p>
        </w:tc>
      </w:tr>
      <w:tr>
        <w:tc>
          <w:tcPr>
            <w:tcW w:w="4537" w:type="dxa"/>
          </w:tcPr>
          <w:p>
            <w:pPr>
              <w:spacing w:before="0" w:after="0"/>
              <w:rPr>
                <w:noProof/>
                <w:szCs w:val="24"/>
              </w:rPr>
            </w:pPr>
            <w:r>
              <w:rPr>
                <w:noProof/>
              </w:rPr>
              <w:t>Članak 2. (članstvo)</w:t>
            </w:r>
          </w:p>
        </w:tc>
        <w:tc>
          <w:tcPr>
            <w:tcW w:w="4819" w:type="dxa"/>
          </w:tcPr>
          <w:p>
            <w:pPr>
              <w:spacing w:before="0" w:after="0"/>
              <w:rPr>
                <w:noProof/>
                <w:szCs w:val="24"/>
              </w:rPr>
            </w:pPr>
            <w:r>
              <w:rPr>
                <w:noProof/>
              </w:rPr>
              <w:t>Članak 2. Statuta (članstvo)</w:t>
            </w:r>
          </w:p>
        </w:tc>
      </w:tr>
      <w:tr>
        <w:tc>
          <w:tcPr>
            <w:tcW w:w="4537" w:type="dxa"/>
          </w:tcPr>
          <w:p>
            <w:pPr>
              <w:spacing w:before="0" w:after="0"/>
              <w:jc w:val="left"/>
              <w:rPr>
                <w:rFonts w:asciiTheme="minorHAnsi" w:hAnsiTheme="minorHAnsi" w:cstheme="minorBidi"/>
                <w:noProof/>
                <w:szCs w:val="24"/>
              </w:rPr>
            </w:pPr>
            <w:r>
              <w:rPr>
                <w:noProof/>
              </w:rPr>
              <w:t>Članak 3. (svrha)</w:t>
            </w:r>
          </w:p>
        </w:tc>
        <w:tc>
          <w:tcPr>
            <w:tcW w:w="4819" w:type="dxa"/>
          </w:tcPr>
          <w:p>
            <w:pPr>
              <w:spacing w:before="0" w:after="0"/>
              <w:rPr>
                <w:noProof/>
                <w:szCs w:val="24"/>
              </w:rPr>
            </w:pPr>
            <w:r>
              <w:rPr>
                <w:noProof/>
              </w:rPr>
              <w:t>Članak 3. Statuta (cilj i zadaće)</w:t>
            </w:r>
          </w:p>
        </w:tc>
      </w:tr>
      <w:tr>
        <w:tc>
          <w:tcPr>
            <w:tcW w:w="4537" w:type="dxa"/>
          </w:tcPr>
          <w:p>
            <w:pPr>
              <w:spacing w:before="0" w:after="0"/>
              <w:jc w:val="left"/>
              <w:rPr>
                <w:rFonts w:asciiTheme="minorHAnsi" w:hAnsiTheme="minorHAnsi" w:cstheme="minorBidi"/>
                <w:noProof/>
                <w:szCs w:val="24"/>
              </w:rPr>
            </w:pPr>
            <w:r>
              <w:rPr>
                <w:noProof/>
              </w:rPr>
              <w:t>Članak 4. (ustroj i pravila glasovanja)</w:t>
            </w:r>
          </w:p>
        </w:tc>
        <w:tc>
          <w:tcPr>
            <w:tcW w:w="4819" w:type="dxa"/>
          </w:tcPr>
          <w:p>
            <w:pPr>
              <w:spacing w:before="0" w:after="0"/>
              <w:jc w:val="left"/>
              <w:rPr>
                <w:rFonts w:asciiTheme="minorHAnsi" w:hAnsiTheme="minorHAnsi" w:cstheme="minorBidi"/>
                <w:noProof/>
                <w:szCs w:val="24"/>
              </w:rPr>
            </w:pPr>
            <w:r>
              <w:rPr>
                <w:noProof/>
              </w:rPr>
              <w:t>Članak 4. Statuta (ustroj i pravila glasovanja)</w:t>
            </w:r>
          </w:p>
        </w:tc>
      </w:tr>
      <w:tr>
        <w:tc>
          <w:tcPr>
            <w:tcW w:w="4537" w:type="dxa"/>
          </w:tcPr>
          <w:p>
            <w:pPr>
              <w:spacing w:before="0" w:after="0"/>
              <w:jc w:val="left"/>
              <w:rPr>
                <w:rFonts w:asciiTheme="minorHAnsi" w:hAnsiTheme="minorHAnsi" w:cstheme="minorBidi"/>
                <w:noProof/>
                <w:szCs w:val="24"/>
              </w:rPr>
            </w:pPr>
            <w:r>
              <w:rPr>
                <w:noProof/>
              </w:rPr>
              <w:t>Članak 5. (Vijeće guvernera)</w:t>
            </w:r>
          </w:p>
        </w:tc>
        <w:tc>
          <w:tcPr>
            <w:tcW w:w="4819" w:type="dxa"/>
          </w:tcPr>
          <w:p>
            <w:pPr>
              <w:spacing w:before="0" w:after="0"/>
              <w:jc w:val="left"/>
              <w:rPr>
                <w:rFonts w:asciiTheme="minorHAnsi" w:hAnsiTheme="minorHAnsi" w:cstheme="minorBidi"/>
                <w:noProof/>
                <w:szCs w:val="24"/>
              </w:rPr>
            </w:pPr>
            <w:r>
              <w:rPr>
                <w:noProof/>
              </w:rPr>
              <w:t>Članak 5. Statuta (Vijeće guvernera)</w:t>
            </w:r>
          </w:p>
        </w:tc>
      </w:tr>
      <w:tr>
        <w:tc>
          <w:tcPr>
            <w:tcW w:w="4537" w:type="dxa"/>
          </w:tcPr>
          <w:p>
            <w:pPr>
              <w:spacing w:before="0" w:after="0"/>
              <w:jc w:val="left"/>
              <w:rPr>
                <w:rFonts w:asciiTheme="minorHAnsi" w:hAnsiTheme="minorHAnsi" w:cstheme="minorBidi"/>
                <w:noProof/>
                <w:szCs w:val="24"/>
              </w:rPr>
            </w:pPr>
            <w:r>
              <w:rPr>
                <w:noProof/>
              </w:rPr>
              <w:t>Članak 6. (Upravno vijeće)</w:t>
            </w:r>
          </w:p>
        </w:tc>
        <w:tc>
          <w:tcPr>
            <w:tcW w:w="4819" w:type="dxa"/>
          </w:tcPr>
          <w:p>
            <w:pPr>
              <w:spacing w:before="0" w:after="0"/>
              <w:jc w:val="left"/>
              <w:rPr>
                <w:rFonts w:asciiTheme="minorHAnsi" w:hAnsiTheme="minorHAnsi" w:cstheme="minorBidi"/>
                <w:noProof/>
                <w:szCs w:val="24"/>
              </w:rPr>
            </w:pPr>
            <w:r>
              <w:rPr>
                <w:noProof/>
              </w:rPr>
              <w:t>Članak 6. Statuta (Upravno vijeće)</w:t>
            </w:r>
          </w:p>
        </w:tc>
      </w:tr>
      <w:tr>
        <w:tc>
          <w:tcPr>
            <w:tcW w:w="4537" w:type="dxa"/>
          </w:tcPr>
          <w:p>
            <w:pPr>
              <w:spacing w:before="0" w:after="0"/>
              <w:jc w:val="left"/>
              <w:rPr>
                <w:rFonts w:asciiTheme="minorHAnsi" w:hAnsiTheme="minorHAnsi" w:cstheme="minorBidi"/>
                <w:noProof/>
                <w:szCs w:val="24"/>
              </w:rPr>
            </w:pPr>
            <w:r>
              <w:rPr>
                <w:noProof/>
              </w:rPr>
              <w:t>Članak 7. (generalni direktor)</w:t>
            </w:r>
          </w:p>
        </w:tc>
        <w:tc>
          <w:tcPr>
            <w:tcW w:w="4819" w:type="dxa"/>
          </w:tcPr>
          <w:p>
            <w:pPr>
              <w:spacing w:before="0" w:after="0"/>
              <w:rPr>
                <w:noProof/>
                <w:szCs w:val="24"/>
              </w:rPr>
            </w:pPr>
            <w:r>
              <w:rPr>
                <w:noProof/>
              </w:rPr>
              <w:t>Članak 7. Statuta (generalni direktor)</w:t>
            </w:r>
          </w:p>
        </w:tc>
      </w:tr>
      <w:tr>
        <w:trPr>
          <w:trHeight w:val="70"/>
        </w:trPr>
        <w:tc>
          <w:tcPr>
            <w:tcW w:w="4537" w:type="dxa"/>
          </w:tcPr>
          <w:p>
            <w:pPr>
              <w:spacing w:before="0" w:after="0"/>
              <w:jc w:val="left"/>
              <w:rPr>
                <w:rFonts w:asciiTheme="minorHAnsi" w:hAnsiTheme="minorHAnsi" w:cstheme="minorBidi"/>
                <w:noProof/>
                <w:szCs w:val="24"/>
              </w:rPr>
            </w:pPr>
            <w:r>
              <w:rPr>
                <w:noProof/>
              </w:rPr>
              <w:t>Članak 8. (odobreni kapital)</w:t>
            </w:r>
          </w:p>
        </w:tc>
        <w:tc>
          <w:tcPr>
            <w:tcW w:w="4819" w:type="dxa"/>
          </w:tcPr>
          <w:p>
            <w:pPr>
              <w:spacing w:before="0" w:after="0"/>
              <w:rPr>
                <w:noProof/>
                <w:szCs w:val="24"/>
              </w:rPr>
            </w:pPr>
            <w:r>
              <w:rPr>
                <w:noProof/>
              </w:rPr>
              <w:t>Članak 8. Statuta (početni odobreni kapital)</w:t>
            </w:r>
          </w:p>
        </w:tc>
      </w:tr>
      <w:tr>
        <w:trPr>
          <w:trHeight w:val="70"/>
        </w:trPr>
        <w:tc>
          <w:tcPr>
            <w:tcW w:w="4537" w:type="dxa"/>
          </w:tcPr>
          <w:p>
            <w:pPr>
              <w:spacing w:before="0" w:after="0"/>
              <w:jc w:val="left"/>
              <w:rPr>
                <w:rFonts w:asciiTheme="minorHAnsi" w:hAnsiTheme="minorHAnsi" w:cstheme="minorBidi"/>
                <w:noProof/>
                <w:szCs w:val="24"/>
              </w:rPr>
            </w:pPr>
            <w:r>
              <w:rPr>
                <w:noProof/>
              </w:rPr>
              <w:t xml:space="preserve">Članak 9. (pozivi na uplatu kapitala) </w:t>
            </w:r>
          </w:p>
        </w:tc>
        <w:tc>
          <w:tcPr>
            <w:tcW w:w="4819" w:type="dxa"/>
          </w:tcPr>
          <w:p>
            <w:pPr>
              <w:spacing w:before="0" w:after="0"/>
              <w:rPr>
                <w:noProof/>
                <w:szCs w:val="24"/>
              </w:rPr>
            </w:pPr>
            <w:r>
              <w:rPr>
                <w:noProof/>
              </w:rPr>
              <w:t>Članak 9. Statuta (pozivi na uplatu kapitala)</w:t>
            </w:r>
          </w:p>
        </w:tc>
      </w:tr>
      <w:tr>
        <w:tc>
          <w:tcPr>
            <w:tcW w:w="4537" w:type="dxa"/>
          </w:tcPr>
          <w:p>
            <w:pPr>
              <w:spacing w:before="0" w:after="0"/>
              <w:jc w:val="left"/>
              <w:rPr>
                <w:rFonts w:asciiTheme="minorHAnsi" w:hAnsiTheme="minorHAnsi" w:cstheme="minorBidi"/>
                <w:noProof/>
                <w:szCs w:val="24"/>
              </w:rPr>
            </w:pPr>
            <w:r>
              <w:rPr>
                <w:noProof/>
              </w:rPr>
              <w:t>Članak 10. (izmjene u odobrenom temeljnom kapitalu)</w:t>
            </w:r>
          </w:p>
        </w:tc>
        <w:tc>
          <w:tcPr>
            <w:tcW w:w="4819" w:type="dxa"/>
          </w:tcPr>
          <w:p>
            <w:pPr>
              <w:spacing w:before="0" w:after="0"/>
              <w:rPr>
                <w:noProof/>
                <w:szCs w:val="24"/>
              </w:rPr>
            </w:pPr>
            <w:r>
              <w:rPr>
                <w:noProof/>
              </w:rPr>
              <w:t>Članak 10. Statuta (povećanje kapitala)</w:t>
            </w:r>
          </w:p>
        </w:tc>
      </w:tr>
      <w:tr>
        <w:tc>
          <w:tcPr>
            <w:tcW w:w="4537" w:type="dxa"/>
          </w:tcPr>
          <w:p>
            <w:pPr>
              <w:spacing w:before="0" w:after="0"/>
              <w:jc w:val="left"/>
              <w:rPr>
                <w:rFonts w:asciiTheme="minorHAnsi" w:hAnsiTheme="minorHAnsi" w:cstheme="minorBidi"/>
                <w:noProof/>
                <w:szCs w:val="24"/>
              </w:rPr>
            </w:pPr>
            <w:r>
              <w:rPr>
                <w:noProof/>
              </w:rPr>
              <w:t>Članak 11. (ključ za upis kapitala)</w:t>
            </w:r>
          </w:p>
        </w:tc>
        <w:tc>
          <w:tcPr>
            <w:tcW w:w="4819" w:type="dxa"/>
          </w:tcPr>
          <w:p>
            <w:pPr>
              <w:spacing w:before="0" w:after="0"/>
              <w:rPr>
                <w:noProof/>
                <w:szCs w:val="24"/>
              </w:rPr>
            </w:pPr>
            <w:r>
              <w:rPr>
                <w:noProof/>
              </w:rPr>
              <w:t>Članak 11. Statuta (ključ za upis kapitala)</w:t>
            </w:r>
          </w:p>
        </w:tc>
      </w:tr>
      <w:tr>
        <w:tc>
          <w:tcPr>
            <w:tcW w:w="4537" w:type="dxa"/>
          </w:tcPr>
          <w:p>
            <w:pPr>
              <w:spacing w:before="0" w:after="0"/>
              <w:jc w:val="left"/>
              <w:rPr>
                <w:rFonts w:asciiTheme="minorHAnsi" w:hAnsiTheme="minorHAnsi" w:cstheme="minorBidi"/>
                <w:noProof/>
                <w:szCs w:val="24"/>
              </w:rPr>
            </w:pPr>
            <w:r>
              <w:rPr>
                <w:noProof/>
              </w:rPr>
              <w:t>Članak 12. (načela)</w:t>
            </w:r>
          </w:p>
        </w:tc>
        <w:tc>
          <w:tcPr>
            <w:tcW w:w="4819" w:type="dxa"/>
          </w:tcPr>
          <w:p>
            <w:pPr>
              <w:spacing w:before="0" w:after="0"/>
              <w:rPr>
                <w:noProof/>
                <w:szCs w:val="24"/>
              </w:rPr>
            </w:pPr>
            <w:r>
              <w:rPr>
                <w:noProof/>
              </w:rPr>
              <w:t>Članak 12. Statuta (načela potpore stabilnosti koju pruža EMF)</w:t>
            </w:r>
          </w:p>
        </w:tc>
      </w:tr>
      <w:tr>
        <w:tc>
          <w:tcPr>
            <w:tcW w:w="4537" w:type="dxa"/>
          </w:tcPr>
          <w:p>
            <w:pPr>
              <w:spacing w:before="0" w:after="0"/>
              <w:jc w:val="left"/>
              <w:rPr>
                <w:rFonts w:asciiTheme="minorHAnsi" w:hAnsiTheme="minorHAnsi" w:cstheme="minorBidi"/>
                <w:noProof/>
                <w:szCs w:val="24"/>
              </w:rPr>
            </w:pPr>
            <w:r>
              <w:rPr>
                <w:noProof/>
              </w:rPr>
              <w:t>Članak 13. (postupak dodjele potpore za stabilnost)</w:t>
            </w:r>
          </w:p>
        </w:tc>
        <w:tc>
          <w:tcPr>
            <w:tcW w:w="4819" w:type="dxa"/>
          </w:tcPr>
          <w:p>
            <w:pPr>
              <w:spacing w:before="0" w:after="0"/>
              <w:rPr>
                <w:noProof/>
                <w:szCs w:val="24"/>
              </w:rPr>
            </w:pPr>
            <w:r>
              <w:rPr>
                <w:noProof/>
              </w:rPr>
              <w:t>Članak 13. Statuta (postupak dodjele potpore za stabilnost članicama EMF-a)</w:t>
            </w:r>
          </w:p>
        </w:tc>
      </w:tr>
      <w:tr>
        <w:tc>
          <w:tcPr>
            <w:tcW w:w="4537" w:type="dxa"/>
          </w:tcPr>
          <w:p>
            <w:pPr>
              <w:spacing w:before="0" w:after="0"/>
              <w:jc w:val="left"/>
              <w:rPr>
                <w:rFonts w:asciiTheme="minorHAnsi" w:hAnsiTheme="minorHAnsi" w:cstheme="minorBidi"/>
                <w:noProof/>
                <w:szCs w:val="24"/>
              </w:rPr>
            </w:pPr>
            <w:r>
              <w:rPr>
                <w:noProof/>
              </w:rPr>
              <w:t>Članak 14. (preventivna financijska pomoć ESM-a)</w:t>
            </w:r>
          </w:p>
        </w:tc>
        <w:tc>
          <w:tcPr>
            <w:tcW w:w="4819" w:type="dxa"/>
          </w:tcPr>
          <w:p>
            <w:pPr>
              <w:spacing w:before="0" w:after="0"/>
              <w:rPr>
                <w:noProof/>
                <w:szCs w:val="24"/>
              </w:rPr>
            </w:pPr>
            <w:r>
              <w:rPr>
                <w:noProof/>
              </w:rPr>
              <w:t>Članak 14. Statuta (preventivna financijska pomoć EMF-a)</w:t>
            </w:r>
          </w:p>
        </w:tc>
      </w:tr>
      <w:tr>
        <w:tc>
          <w:tcPr>
            <w:tcW w:w="4537" w:type="dxa"/>
          </w:tcPr>
          <w:p>
            <w:pPr>
              <w:spacing w:before="0" w:after="0"/>
              <w:jc w:val="left"/>
              <w:rPr>
                <w:rFonts w:asciiTheme="minorHAnsi" w:hAnsiTheme="minorHAnsi" w:cstheme="minorBidi"/>
                <w:noProof/>
                <w:szCs w:val="24"/>
              </w:rPr>
            </w:pPr>
            <w:r>
              <w:rPr>
                <w:noProof/>
              </w:rPr>
              <w:t>Članak 15. (financijska pomoć za dokapitalizaciju kreditnih institucija članica ESM-a)</w:t>
            </w:r>
          </w:p>
        </w:tc>
        <w:tc>
          <w:tcPr>
            <w:tcW w:w="4819" w:type="dxa"/>
          </w:tcPr>
          <w:p>
            <w:pPr>
              <w:spacing w:before="0" w:after="0"/>
              <w:rPr>
                <w:noProof/>
                <w:szCs w:val="24"/>
              </w:rPr>
            </w:pPr>
            <w:r>
              <w:rPr>
                <w:noProof/>
              </w:rPr>
              <w:t>Članak 15. Statuta (financijska pomoć za dokapitalizaciju kreditnih institucija članica EMF-a)</w:t>
            </w:r>
          </w:p>
        </w:tc>
      </w:tr>
      <w:tr>
        <w:tc>
          <w:tcPr>
            <w:tcW w:w="4537" w:type="dxa"/>
          </w:tcPr>
          <w:p>
            <w:pPr>
              <w:spacing w:before="0" w:after="0"/>
              <w:jc w:val="left"/>
              <w:rPr>
                <w:rFonts w:asciiTheme="minorHAnsi" w:hAnsiTheme="minorHAnsi" w:cstheme="minorBidi"/>
                <w:noProof/>
                <w:szCs w:val="24"/>
              </w:rPr>
            </w:pPr>
            <w:r>
              <w:rPr>
                <w:noProof/>
              </w:rPr>
              <w:t>Članak 16. (zajmovi EMF-a)</w:t>
            </w:r>
          </w:p>
        </w:tc>
        <w:tc>
          <w:tcPr>
            <w:tcW w:w="4819" w:type="dxa"/>
          </w:tcPr>
          <w:p>
            <w:pPr>
              <w:spacing w:before="0" w:after="0"/>
              <w:rPr>
                <w:noProof/>
                <w:szCs w:val="24"/>
              </w:rPr>
            </w:pPr>
            <w:r>
              <w:rPr>
                <w:noProof/>
              </w:rPr>
              <w:t>Članak 16. Statuta (zajmovi EMF-a)</w:t>
            </w:r>
          </w:p>
        </w:tc>
      </w:tr>
      <w:tr>
        <w:tc>
          <w:tcPr>
            <w:tcW w:w="4537" w:type="dxa"/>
          </w:tcPr>
          <w:p>
            <w:pPr>
              <w:spacing w:before="0" w:after="0"/>
              <w:jc w:val="left"/>
              <w:rPr>
                <w:rFonts w:asciiTheme="minorHAnsi" w:hAnsiTheme="minorHAnsi" w:cstheme="minorBidi"/>
                <w:noProof/>
                <w:szCs w:val="24"/>
              </w:rPr>
            </w:pPr>
            <w:r>
              <w:rPr>
                <w:noProof/>
              </w:rPr>
              <w:t>Članak 17. (instrument potpore na primarnom tržištu)</w:t>
            </w:r>
          </w:p>
        </w:tc>
        <w:tc>
          <w:tcPr>
            <w:tcW w:w="4819" w:type="dxa"/>
          </w:tcPr>
          <w:p>
            <w:pPr>
              <w:spacing w:before="0" w:after="0"/>
              <w:jc w:val="left"/>
              <w:rPr>
                <w:rFonts w:asciiTheme="minorHAnsi" w:hAnsiTheme="minorHAnsi" w:cstheme="minorBidi"/>
                <w:noProof/>
                <w:szCs w:val="24"/>
              </w:rPr>
            </w:pPr>
            <w:r>
              <w:rPr>
                <w:noProof/>
              </w:rPr>
              <w:t>Članak 17. Statuta (instrument potpore na primarnom tržištu)</w:t>
            </w:r>
          </w:p>
        </w:tc>
      </w:tr>
      <w:tr>
        <w:tc>
          <w:tcPr>
            <w:tcW w:w="4537" w:type="dxa"/>
          </w:tcPr>
          <w:p>
            <w:pPr>
              <w:spacing w:before="0" w:after="0"/>
              <w:jc w:val="left"/>
              <w:rPr>
                <w:rFonts w:asciiTheme="minorHAnsi" w:hAnsiTheme="minorHAnsi" w:cstheme="minorBidi"/>
                <w:noProof/>
                <w:szCs w:val="24"/>
              </w:rPr>
            </w:pPr>
            <w:r>
              <w:rPr>
                <w:noProof/>
              </w:rPr>
              <w:t>Članak 18. (instrument potpore na sekundarnom tržištu)</w:t>
            </w:r>
          </w:p>
        </w:tc>
        <w:tc>
          <w:tcPr>
            <w:tcW w:w="4819" w:type="dxa"/>
          </w:tcPr>
          <w:p>
            <w:pPr>
              <w:spacing w:before="0" w:after="0"/>
              <w:jc w:val="left"/>
              <w:rPr>
                <w:rFonts w:asciiTheme="minorHAnsi" w:hAnsiTheme="minorHAnsi" w:cstheme="minorBidi"/>
                <w:noProof/>
                <w:szCs w:val="24"/>
              </w:rPr>
            </w:pPr>
            <w:r>
              <w:rPr>
                <w:noProof/>
              </w:rPr>
              <w:t>Članak 18. Statuta (instrument potpore na sekundarnom tržištu)</w:t>
            </w:r>
          </w:p>
        </w:tc>
      </w:tr>
      <w:tr>
        <w:tc>
          <w:tcPr>
            <w:tcW w:w="4537" w:type="dxa"/>
          </w:tcPr>
          <w:p>
            <w:pPr>
              <w:spacing w:before="0" w:after="0"/>
              <w:jc w:val="left"/>
              <w:rPr>
                <w:rFonts w:asciiTheme="minorHAnsi" w:hAnsiTheme="minorHAnsi" w:cstheme="minorBidi"/>
                <w:noProof/>
                <w:szCs w:val="24"/>
              </w:rPr>
            </w:pPr>
            <w:r>
              <w:rPr>
                <w:noProof/>
              </w:rPr>
              <w:t xml:space="preserve">Članak 19. (revizija popisa financijskih instrumenata) </w:t>
            </w:r>
          </w:p>
        </w:tc>
        <w:tc>
          <w:tcPr>
            <w:tcW w:w="4819" w:type="dxa"/>
          </w:tcPr>
          <w:p>
            <w:pPr>
              <w:spacing w:before="0" w:after="0"/>
              <w:rPr>
                <w:noProof/>
                <w:szCs w:val="24"/>
              </w:rPr>
            </w:pPr>
            <w:r>
              <w:rPr>
                <w:noProof/>
              </w:rPr>
              <w:t>–</w:t>
            </w:r>
          </w:p>
        </w:tc>
      </w:tr>
      <w:tr>
        <w:tc>
          <w:tcPr>
            <w:tcW w:w="4537" w:type="dxa"/>
          </w:tcPr>
          <w:p>
            <w:pPr>
              <w:spacing w:before="0" w:after="0"/>
              <w:jc w:val="left"/>
              <w:rPr>
                <w:noProof/>
                <w:szCs w:val="24"/>
              </w:rPr>
            </w:pPr>
            <w:r>
              <w:rPr>
                <w:noProof/>
              </w:rPr>
              <w:t>–</w:t>
            </w:r>
          </w:p>
        </w:tc>
        <w:tc>
          <w:tcPr>
            <w:tcW w:w="4819" w:type="dxa"/>
          </w:tcPr>
          <w:p>
            <w:pPr>
              <w:spacing w:before="0" w:after="0"/>
              <w:rPr>
                <w:noProof/>
                <w:szCs w:val="24"/>
              </w:rPr>
            </w:pPr>
            <w:r>
              <w:rPr>
                <w:noProof/>
              </w:rPr>
              <w:t>Članak 19. Statuta (instrument za izravnu dokapitalizaciju kreditnih institucija)</w:t>
            </w:r>
          </w:p>
        </w:tc>
      </w:tr>
      <w:tr>
        <w:tc>
          <w:tcPr>
            <w:tcW w:w="4537" w:type="dxa"/>
          </w:tcPr>
          <w:p>
            <w:pPr>
              <w:spacing w:before="0" w:after="0"/>
              <w:jc w:val="left"/>
              <w:rPr>
                <w:rFonts w:asciiTheme="minorHAnsi" w:hAnsiTheme="minorHAnsi" w:cstheme="minorBidi"/>
                <w:noProof/>
                <w:szCs w:val="24"/>
              </w:rPr>
            </w:pPr>
            <w:r>
              <w:rPr>
                <w:noProof/>
              </w:rPr>
              <w:t>Članak 20. (politika određivanja cijena)</w:t>
            </w:r>
          </w:p>
        </w:tc>
        <w:tc>
          <w:tcPr>
            <w:tcW w:w="4819" w:type="dxa"/>
          </w:tcPr>
          <w:p>
            <w:pPr>
              <w:spacing w:before="0" w:after="0"/>
              <w:jc w:val="left"/>
              <w:rPr>
                <w:rFonts w:asciiTheme="minorHAnsi" w:hAnsiTheme="minorHAnsi" w:cstheme="minorBidi"/>
                <w:noProof/>
                <w:szCs w:val="24"/>
              </w:rPr>
            </w:pPr>
            <w:r>
              <w:rPr>
                <w:noProof/>
              </w:rPr>
              <w:t>Članak 20. Statuta (politika određivanja cijena)</w:t>
            </w:r>
          </w:p>
        </w:tc>
      </w:tr>
      <w:tr>
        <w:tc>
          <w:tcPr>
            <w:tcW w:w="4537" w:type="dxa"/>
          </w:tcPr>
          <w:p>
            <w:pPr>
              <w:spacing w:before="0" w:after="0"/>
              <w:jc w:val="left"/>
              <w:rPr>
                <w:rFonts w:asciiTheme="minorHAnsi" w:hAnsiTheme="minorHAnsi" w:cstheme="minorBidi"/>
                <w:noProof/>
                <w:szCs w:val="24"/>
              </w:rPr>
            </w:pPr>
            <w:r>
              <w:rPr>
                <w:noProof/>
              </w:rPr>
              <w:t>Članak 21. (poslovi zaduživanja)</w:t>
            </w:r>
          </w:p>
        </w:tc>
        <w:tc>
          <w:tcPr>
            <w:tcW w:w="4819" w:type="dxa"/>
          </w:tcPr>
          <w:p>
            <w:pPr>
              <w:spacing w:before="0" w:after="0"/>
              <w:jc w:val="left"/>
              <w:rPr>
                <w:rFonts w:asciiTheme="minorHAnsi" w:hAnsiTheme="minorHAnsi" w:cstheme="minorBidi"/>
                <w:noProof/>
                <w:szCs w:val="24"/>
              </w:rPr>
            </w:pPr>
            <w:r>
              <w:rPr>
                <w:noProof/>
              </w:rPr>
              <w:t>Članak 21. Statuta (poslovi zaduživanja)</w:t>
            </w:r>
          </w:p>
        </w:tc>
      </w:tr>
      <w:tr>
        <w:tc>
          <w:tcPr>
            <w:tcW w:w="4537" w:type="dxa"/>
          </w:tcPr>
          <w:p>
            <w:pPr>
              <w:spacing w:before="0" w:after="0"/>
              <w:jc w:val="left"/>
              <w:rPr>
                <w:noProof/>
                <w:szCs w:val="24"/>
              </w:rPr>
            </w:pPr>
            <w:r>
              <w:rPr>
                <w:noProof/>
              </w:rPr>
              <w:t xml:space="preserve">– </w:t>
            </w:r>
          </w:p>
        </w:tc>
        <w:tc>
          <w:tcPr>
            <w:tcW w:w="4819" w:type="dxa"/>
          </w:tcPr>
          <w:p>
            <w:pPr>
              <w:spacing w:before="0" w:after="0"/>
              <w:jc w:val="left"/>
              <w:rPr>
                <w:noProof/>
                <w:szCs w:val="24"/>
              </w:rPr>
            </w:pPr>
            <w:r>
              <w:rPr>
                <w:noProof/>
              </w:rPr>
              <w:t>Članak 22. Statuta (kreditna linija ili jamstva jedinstvenom sanacijskom odboru)</w:t>
            </w:r>
          </w:p>
        </w:tc>
      </w:tr>
      <w:tr>
        <w:tc>
          <w:tcPr>
            <w:tcW w:w="4537" w:type="dxa"/>
          </w:tcPr>
          <w:p>
            <w:pPr>
              <w:spacing w:before="0" w:after="0"/>
              <w:jc w:val="left"/>
              <w:rPr>
                <w:noProof/>
                <w:szCs w:val="24"/>
              </w:rPr>
            </w:pPr>
            <w:r>
              <w:rPr>
                <w:noProof/>
              </w:rPr>
              <w:t>–</w:t>
            </w:r>
          </w:p>
        </w:tc>
        <w:tc>
          <w:tcPr>
            <w:tcW w:w="4819" w:type="dxa"/>
          </w:tcPr>
          <w:p>
            <w:pPr>
              <w:spacing w:before="0" w:after="0"/>
              <w:jc w:val="left"/>
              <w:rPr>
                <w:noProof/>
                <w:szCs w:val="24"/>
              </w:rPr>
            </w:pPr>
            <w:r>
              <w:rPr>
                <w:noProof/>
              </w:rPr>
              <w:t>Članak 23. Statuta (pravila koja se primjenjuju na EMF)</w:t>
            </w:r>
          </w:p>
        </w:tc>
      </w:tr>
      <w:tr>
        <w:tc>
          <w:tcPr>
            <w:tcW w:w="4537" w:type="dxa"/>
          </w:tcPr>
          <w:p>
            <w:pPr>
              <w:spacing w:before="0" w:after="0"/>
              <w:jc w:val="left"/>
              <w:rPr>
                <w:noProof/>
                <w:szCs w:val="24"/>
              </w:rPr>
            </w:pPr>
            <w:r>
              <w:rPr>
                <w:noProof/>
              </w:rPr>
              <w:t>–</w:t>
            </w:r>
          </w:p>
        </w:tc>
        <w:tc>
          <w:tcPr>
            <w:tcW w:w="4819" w:type="dxa"/>
          </w:tcPr>
          <w:p>
            <w:pPr>
              <w:spacing w:before="0" w:after="0"/>
              <w:jc w:val="left"/>
              <w:rPr>
                <w:noProof/>
                <w:szCs w:val="24"/>
              </w:rPr>
            </w:pPr>
            <w:r>
              <w:rPr>
                <w:noProof/>
              </w:rPr>
              <w:t>Članak 27. Statuta (pravila koja se primjenjuju na države članice sudionice, u smislu članka 2. Uredbe (EU) br. 1024/2013) čija valuta nije euro</w:t>
            </w:r>
          </w:p>
        </w:tc>
      </w:tr>
      <w:tr>
        <w:tc>
          <w:tcPr>
            <w:tcW w:w="4537" w:type="dxa"/>
          </w:tcPr>
          <w:p>
            <w:pPr>
              <w:spacing w:before="0" w:after="0"/>
              <w:jc w:val="left"/>
              <w:rPr>
                <w:rFonts w:asciiTheme="minorHAnsi" w:hAnsiTheme="minorHAnsi" w:cstheme="minorBidi"/>
                <w:noProof/>
                <w:szCs w:val="24"/>
              </w:rPr>
            </w:pPr>
            <w:r>
              <w:rPr>
                <w:noProof/>
              </w:rPr>
              <w:t>Članak 22. (investicijska politika)</w:t>
            </w:r>
          </w:p>
        </w:tc>
        <w:tc>
          <w:tcPr>
            <w:tcW w:w="4819" w:type="dxa"/>
          </w:tcPr>
          <w:p>
            <w:pPr>
              <w:spacing w:before="0" w:after="0"/>
              <w:jc w:val="left"/>
              <w:rPr>
                <w:rFonts w:asciiTheme="minorHAnsi" w:hAnsiTheme="minorHAnsi" w:cstheme="minorBidi"/>
                <w:noProof/>
                <w:szCs w:val="24"/>
              </w:rPr>
            </w:pPr>
            <w:r>
              <w:rPr>
                <w:noProof/>
              </w:rPr>
              <w:t>Članak 25. Statuta (investicijska politika)</w:t>
            </w:r>
          </w:p>
        </w:tc>
      </w:tr>
      <w:tr>
        <w:tc>
          <w:tcPr>
            <w:tcW w:w="4537" w:type="dxa"/>
          </w:tcPr>
          <w:p>
            <w:pPr>
              <w:spacing w:before="0" w:after="0"/>
              <w:jc w:val="left"/>
              <w:rPr>
                <w:rFonts w:asciiTheme="minorHAnsi" w:hAnsiTheme="minorHAnsi" w:cstheme="minorBidi"/>
                <w:noProof/>
                <w:szCs w:val="24"/>
              </w:rPr>
            </w:pPr>
            <w:r>
              <w:rPr>
                <w:noProof/>
              </w:rPr>
              <w:t>Članak 23. (politika dividendi)</w:t>
            </w:r>
          </w:p>
        </w:tc>
        <w:tc>
          <w:tcPr>
            <w:tcW w:w="4819" w:type="dxa"/>
          </w:tcPr>
          <w:p>
            <w:pPr>
              <w:spacing w:before="0" w:after="0"/>
              <w:jc w:val="left"/>
              <w:rPr>
                <w:rFonts w:asciiTheme="minorHAnsi" w:hAnsiTheme="minorHAnsi" w:cstheme="minorBidi"/>
                <w:noProof/>
                <w:szCs w:val="24"/>
              </w:rPr>
            </w:pPr>
            <w:r>
              <w:rPr>
                <w:noProof/>
              </w:rPr>
              <w:t>Članak 26. Statuta (politika dividendi)</w:t>
            </w:r>
          </w:p>
        </w:tc>
      </w:tr>
      <w:tr>
        <w:tc>
          <w:tcPr>
            <w:tcW w:w="4537" w:type="dxa"/>
          </w:tcPr>
          <w:p>
            <w:pPr>
              <w:spacing w:before="0" w:after="0"/>
              <w:jc w:val="left"/>
              <w:rPr>
                <w:rFonts w:asciiTheme="minorHAnsi" w:hAnsiTheme="minorHAnsi" w:cstheme="minorBidi"/>
                <w:noProof/>
                <w:szCs w:val="24"/>
              </w:rPr>
            </w:pPr>
            <w:r>
              <w:rPr>
                <w:noProof/>
              </w:rPr>
              <w:t>Članak 24. (pričuvni fond i drugi fondovi)</w:t>
            </w:r>
          </w:p>
        </w:tc>
        <w:tc>
          <w:tcPr>
            <w:tcW w:w="4819" w:type="dxa"/>
          </w:tcPr>
          <w:p>
            <w:pPr>
              <w:spacing w:before="0" w:after="0"/>
              <w:rPr>
                <w:noProof/>
                <w:szCs w:val="24"/>
              </w:rPr>
            </w:pPr>
            <w:r>
              <w:rPr>
                <w:noProof/>
              </w:rPr>
              <w:t>Članak 27. Statuta (pričuvni fond i drugi fondovi)</w:t>
            </w:r>
          </w:p>
        </w:tc>
      </w:tr>
      <w:tr>
        <w:tc>
          <w:tcPr>
            <w:tcW w:w="4537" w:type="dxa"/>
          </w:tcPr>
          <w:p>
            <w:pPr>
              <w:spacing w:before="0" w:after="0"/>
              <w:jc w:val="left"/>
              <w:rPr>
                <w:rFonts w:asciiTheme="minorHAnsi" w:hAnsiTheme="minorHAnsi" w:cstheme="minorBidi"/>
                <w:noProof/>
                <w:szCs w:val="24"/>
              </w:rPr>
            </w:pPr>
            <w:r>
              <w:rPr>
                <w:noProof/>
              </w:rPr>
              <w:t>Članak 25. (pokriće gubitaka)</w:t>
            </w:r>
          </w:p>
        </w:tc>
        <w:tc>
          <w:tcPr>
            <w:tcW w:w="4819" w:type="dxa"/>
          </w:tcPr>
          <w:p>
            <w:pPr>
              <w:spacing w:before="0" w:after="0"/>
              <w:rPr>
                <w:noProof/>
                <w:szCs w:val="24"/>
              </w:rPr>
            </w:pPr>
            <w:r>
              <w:rPr>
                <w:noProof/>
              </w:rPr>
              <w:t>Članak 28. Statuta (pokriće gubitaka)</w:t>
            </w:r>
          </w:p>
        </w:tc>
      </w:tr>
      <w:tr>
        <w:tc>
          <w:tcPr>
            <w:tcW w:w="4537" w:type="dxa"/>
          </w:tcPr>
          <w:p>
            <w:pPr>
              <w:spacing w:before="0" w:after="0"/>
              <w:jc w:val="left"/>
              <w:rPr>
                <w:rFonts w:asciiTheme="minorHAnsi" w:hAnsiTheme="minorHAnsi" w:cstheme="minorBidi"/>
                <w:noProof/>
                <w:szCs w:val="24"/>
              </w:rPr>
            </w:pPr>
            <w:r>
              <w:rPr>
                <w:noProof/>
              </w:rPr>
              <w:t>Članak 26. (proračun)</w:t>
            </w:r>
          </w:p>
        </w:tc>
        <w:tc>
          <w:tcPr>
            <w:tcW w:w="4819" w:type="dxa"/>
          </w:tcPr>
          <w:p>
            <w:pPr>
              <w:spacing w:before="0" w:after="0"/>
              <w:rPr>
                <w:noProof/>
                <w:szCs w:val="24"/>
              </w:rPr>
            </w:pPr>
            <w:r>
              <w:rPr>
                <w:noProof/>
              </w:rPr>
              <w:t>Članak 29. Statuta (proračun)</w:t>
            </w:r>
          </w:p>
        </w:tc>
      </w:tr>
      <w:tr>
        <w:tc>
          <w:tcPr>
            <w:tcW w:w="4537" w:type="dxa"/>
          </w:tcPr>
          <w:p>
            <w:pPr>
              <w:spacing w:before="0" w:after="0"/>
              <w:jc w:val="left"/>
              <w:rPr>
                <w:noProof/>
                <w:szCs w:val="24"/>
              </w:rPr>
            </w:pPr>
            <w:r>
              <w:rPr>
                <w:noProof/>
              </w:rPr>
              <w:t xml:space="preserve">– </w:t>
            </w:r>
          </w:p>
        </w:tc>
        <w:tc>
          <w:tcPr>
            <w:tcW w:w="4819" w:type="dxa"/>
          </w:tcPr>
          <w:p>
            <w:pPr>
              <w:spacing w:before="0" w:after="0"/>
              <w:rPr>
                <w:noProof/>
                <w:szCs w:val="24"/>
              </w:rPr>
            </w:pPr>
            <w:r>
              <w:rPr>
                <w:noProof/>
              </w:rPr>
              <w:t>Članak 30. Statuta (donošenje proračuna)</w:t>
            </w:r>
          </w:p>
        </w:tc>
      </w:tr>
      <w:tr>
        <w:tc>
          <w:tcPr>
            <w:tcW w:w="4537" w:type="dxa"/>
          </w:tcPr>
          <w:p>
            <w:pPr>
              <w:spacing w:before="0" w:after="0"/>
              <w:jc w:val="left"/>
              <w:rPr>
                <w:rFonts w:asciiTheme="minorHAnsi" w:hAnsiTheme="minorHAnsi" w:cstheme="minorBidi"/>
                <w:noProof/>
                <w:szCs w:val="24"/>
              </w:rPr>
            </w:pPr>
            <w:r>
              <w:rPr>
                <w:noProof/>
              </w:rPr>
              <w:t>Članak 27. (godišnji financijski izvještaji)</w:t>
            </w:r>
          </w:p>
        </w:tc>
        <w:tc>
          <w:tcPr>
            <w:tcW w:w="4819" w:type="dxa"/>
          </w:tcPr>
          <w:p>
            <w:pPr>
              <w:spacing w:before="0" w:after="0"/>
              <w:rPr>
                <w:noProof/>
                <w:szCs w:val="24"/>
              </w:rPr>
            </w:pPr>
            <w:r>
              <w:rPr>
                <w:noProof/>
              </w:rPr>
              <w:t xml:space="preserve">Članak 31. Statuta (godišnji financijski izvještaji) </w:t>
            </w:r>
          </w:p>
        </w:tc>
      </w:tr>
      <w:tr>
        <w:tc>
          <w:tcPr>
            <w:tcW w:w="4537" w:type="dxa"/>
          </w:tcPr>
          <w:p>
            <w:pPr>
              <w:spacing w:before="0" w:after="0"/>
              <w:jc w:val="left"/>
              <w:rPr>
                <w:noProof/>
                <w:szCs w:val="24"/>
              </w:rPr>
            </w:pPr>
            <w:r>
              <w:rPr>
                <w:noProof/>
              </w:rPr>
              <w:t xml:space="preserve">– </w:t>
            </w:r>
          </w:p>
        </w:tc>
        <w:tc>
          <w:tcPr>
            <w:tcW w:w="4819" w:type="dxa"/>
          </w:tcPr>
          <w:p>
            <w:pPr>
              <w:spacing w:before="0" w:after="0"/>
              <w:rPr>
                <w:noProof/>
                <w:szCs w:val="24"/>
              </w:rPr>
            </w:pPr>
            <w:r>
              <w:rPr>
                <w:noProof/>
              </w:rPr>
              <w:t>Članak 32. Statuta (financijski izvještaji i godišnje izvješće)</w:t>
            </w:r>
          </w:p>
        </w:tc>
      </w:tr>
      <w:tr>
        <w:tc>
          <w:tcPr>
            <w:tcW w:w="4537" w:type="dxa"/>
          </w:tcPr>
          <w:p>
            <w:pPr>
              <w:spacing w:before="0" w:after="0"/>
              <w:jc w:val="left"/>
              <w:rPr>
                <w:rFonts w:asciiTheme="minorHAnsi" w:hAnsiTheme="minorHAnsi" w:cstheme="minorBidi"/>
                <w:noProof/>
                <w:szCs w:val="24"/>
              </w:rPr>
            </w:pPr>
            <w:r>
              <w:rPr>
                <w:noProof/>
              </w:rPr>
              <w:t>Članak 28. (unutarnja revizija)</w:t>
            </w:r>
          </w:p>
        </w:tc>
        <w:tc>
          <w:tcPr>
            <w:tcW w:w="4819" w:type="dxa"/>
          </w:tcPr>
          <w:p>
            <w:pPr>
              <w:spacing w:before="0" w:after="0"/>
              <w:rPr>
                <w:noProof/>
                <w:szCs w:val="24"/>
              </w:rPr>
            </w:pPr>
            <w:r>
              <w:rPr>
                <w:noProof/>
              </w:rPr>
              <w:t>Članak 33. Statuta (unutarnja revizija)</w:t>
            </w:r>
          </w:p>
        </w:tc>
      </w:tr>
      <w:tr>
        <w:tc>
          <w:tcPr>
            <w:tcW w:w="4537" w:type="dxa"/>
          </w:tcPr>
          <w:p>
            <w:pPr>
              <w:spacing w:before="0" w:after="0"/>
              <w:jc w:val="left"/>
              <w:rPr>
                <w:rFonts w:asciiTheme="minorHAnsi" w:hAnsiTheme="minorHAnsi" w:cstheme="minorBidi"/>
                <w:noProof/>
                <w:szCs w:val="24"/>
              </w:rPr>
            </w:pPr>
            <w:r>
              <w:rPr>
                <w:noProof/>
              </w:rPr>
              <w:t>Članak 29. (vanjska revizija)</w:t>
            </w:r>
          </w:p>
        </w:tc>
        <w:tc>
          <w:tcPr>
            <w:tcW w:w="4819" w:type="dxa"/>
          </w:tcPr>
          <w:p>
            <w:pPr>
              <w:spacing w:before="0" w:after="0"/>
              <w:rPr>
                <w:noProof/>
                <w:szCs w:val="24"/>
              </w:rPr>
            </w:pPr>
            <w:r>
              <w:rPr>
                <w:noProof/>
              </w:rPr>
              <w:t xml:space="preserve">Članak 34. Statuta (vanjska revizija) </w:t>
            </w:r>
          </w:p>
        </w:tc>
      </w:tr>
      <w:tr>
        <w:tc>
          <w:tcPr>
            <w:tcW w:w="4537" w:type="dxa"/>
          </w:tcPr>
          <w:p>
            <w:pPr>
              <w:spacing w:before="0" w:after="0"/>
              <w:jc w:val="left"/>
              <w:rPr>
                <w:rFonts w:asciiTheme="minorHAnsi" w:hAnsiTheme="minorHAnsi" w:cstheme="minorBidi"/>
                <w:noProof/>
                <w:szCs w:val="24"/>
              </w:rPr>
            </w:pPr>
            <w:r>
              <w:rPr>
                <w:noProof/>
              </w:rPr>
              <w:t>Članak 30. (Odbor revizora)</w:t>
            </w:r>
          </w:p>
        </w:tc>
        <w:tc>
          <w:tcPr>
            <w:tcW w:w="4819" w:type="dxa"/>
          </w:tcPr>
          <w:p>
            <w:pPr>
              <w:spacing w:before="0" w:after="0"/>
              <w:rPr>
                <w:noProof/>
                <w:szCs w:val="24"/>
              </w:rPr>
            </w:pPr>
            <w:r>
              <w:rPr>
                <w:noProof/>
              </w:rPr>
              <w:t xml:space="preserve">Članak 35. Statuta (Odbor revizora) </w:t>
            </w:r>
          </w:p>
        </w:tc>
      </w:tr>
      <w:tr>
        <w:tc>
          <w:tcPr>
            <w:tcW w:w="4537" w:type="dxa"/>
          </w:tcPr>
          <w:p>
            <w:pPr>
              <w:spacing w:before="0" w:after="0"/>
              <w:jc w:val="left"/>
              <w:rPr>
                <w:rFonts w:asciiTheme="minorHAnsi" w:hAnsiTheme="minorHAnsi" w:cstheme="minorBidi"/>
                <w:noProof/>
                <w:szCs w:val="24"/>
              </w:rPr>
            </w:pPr>
            <w:r>
              <w:rPr>
                <w:noProof/>
              </w:rPr>
              <w:t>Članak 31. (lokacija)</w:t>
            </w:r>
          </w:p>
        </w:tc>
        <w:tc>
          <w:tcPr>
            <w:tcW w:w="4819" w:type="dxa"/>
          </w:tcPr>
          <w:p>
            <w:pPr>
              <w:spacing w:before="0" w:after="0"/>
              <w:rPr>
                <w:noProof/>
                <w:szCs w:val="24"/>
              </w:rPr>
            </w:pPr>
            <w:r>
              <w:rPr>
                <w:noProof/>
              </w:rPr>
              <w:t>Članak 36. Statuta (lokacija)</w:t>
            </w:r>
          </w:p>
        </w:tc>
      </w:tr>
      <w:tr>
        <w:tc>
          <w:tcPr>
            <w:tcW w:w="4537" w:type="dxa"/>
          </w:tcPr>
          <w:p>
            <w:pPr>
              <w:spacing w:before="0" w:after="0"/>
              <w:jc w:val="left"/>
              <w:rPr>
                <w:noProof/>
                <w:szCs w:val="24"/>
              </w:rPr>
            </w:pPr>
            <w:r>
              <w:rPr>
                <w:noProof/>
              </w:rPr>
              <w:t xml:space="preserve">– </w:t>
            </w:r>
          </w:p>
        </w:tc>
        <w:tc>
          <w:tcPr>
            <w:tcW w:w="4819" w:type="dxa"/>
          </w:tcPr>
          <w:p>
            <w:pPr>
              <w:spacing w:before="0" w:after="0"/>
              <w:rPr>
                <w:noProof/>
                <w:szCs w:val="24"/>
              </w:rPr>
            </w:pPr>
            <w:r>
              <w:rPr>
                <w:noProof/>
              </w:rPr>
              <w:t>Članak 37. Statuta (sporazum o sjedištu)</w:t>
            </w:r>
          </w:p>
        </w:tc>
      </w:tr>
      <w:tr>
        <w:tc>
          <w:tcPr>
            <w:tcW w:w="4537" w:type="dxa"/>
          </w:tcPr>
          <w:p>
            <w:pPr>
              <w:spacing w:before="0" w:after="0"/>
              <w:jc w:val="left"/>
              <w:rPr>
                <w:rFonts w:asciiTheme="minorHAnsi" w:hAnsiTheme="minorHAnsi" w:cstheme="minorBidi"/>
                <w:noProof/>
                <w:szCs w:val="24"/>
              </w:rPr>
            </w:pPr>
            <w:r>
              <w:rPr>
                <w:noProof/>
              </w:rPr>
              <w:t>Članak 32. (povlastice i imuniteti)</w:t>
            </w:r>
          </w:p>
        </w:tc>
        <w:tc>
          <w:tcPr>
            <w:tcW w:w="4819" w:type="dxa"/>
          </w:tcPr>
          <w:p>
            <w:pPr>
              <w:spacing w:before="0" w:after="0"/>
              <w:rPr>
                <w:noProof/>
                <w:szCs w:val="24"/>
              </w:rPr>
            </w:pPr>
            <w:r>
              <w:rPr>
                <w:noProof/>
              </w:rPr>
              <w:t>Članak 38. Statuta (povlastice i imuniteti)</w:t>
            </w:r>
          </w:p>
        </w:tc>
      </w:tr>
      <w:tr>
        <w:tc>
          <w:tcPr>
            <w:tcW w:w="4537" w:type="dxa"/>
          </w:tcPr>
          <w:p>
            <w:pPr>
              <w:spacing w:before="0" w:after="0"/>
              <w:jc w:val="left"/>
              <w:rPr>
                <w:rFonts w:asciiTheme="minorHAnsi" w:hAnsiTheme="minorHAnsi" w:cstheme="minorBidi"/>
                <w:noProof/>
                <w:szCs w:val="24"/>
              </w:rPr>
            </w:pPr>
            <w:r>
              <w:rPr>
                <w:noProof/>
              </w:rPr>
              <w:t>Članak 33. (osoblje ESM-a)</w:t>
            </w:r>
          </w:p>
        </w:tc>
        <w:tc>
          <w:tcPr>
            <w:tcW w:w="4819" w:type="dxa"/>
          </w:tcPr>
          <w:p>
            <w:pPr>
              <w:spacing w:before="0" w:after="0"/>
              <w:rPr>
                <w:noProof/>
                <w:szCs w:val="24"/>
              </w:rPr>
            </w:pPr>
            <w:r>
              <w:rPr>
                <w:noProof/>
              </w:rPr>
              <w:t>Članak 39. Statuta (osoblje EMF-a)</w:t>
            </w:r>
          </w:p>
        </w:tc>
      </w:tr>
      <w:tr>
        <w:tc>
          <w:tcPr>
            <w:tcW w:w="4537" w:type="dxa"/>
          </w:tcPr>
          <w:p>
            <w:pPr>
              <w:spacing w:before="0" w:after="0"/>
              <w:jc w:val="left"/>
              <w:rPr>
                <w:rFonts w:asciiTheme="minorHAnsi" w:hAnsiTheme="minorHAnsi" w:cstheme="minorBidi"/>
                <w:noProof/>
                <w:szCs w:val="24"/>
              </w:rPr>
            </w:pPr>
            <w:r>
              <w:rPr>
                <w:noProof/>
              </w:rPr>
              <w:t>Članak 34. (poslovna tajna)</w:t>
            </w:r>
          </w:p>
        </w:tc>
        <w:tc>
          <w:tcPr>
            <w:tcW w:w="4819" w:type="dxa"/>
          </w:tcPr>
          <w:p>
            <w:pPr>
              <w:spacing w:before="0" w:after="0"/>
              <w:rPr>
                <w:noProof/>
                <w:szCs w:val="24"/>
              </w:rPr>
            </w:pPr>
            <w:r>
              <w:rPr>
                <w:noProof/>
              </w:rPr>
              <w:t>Članak 40. Statuta (poslovna tajna i razmjena informacija)</w:t>
            </w:r>
          </w:p>
        </w:tc>
      </w:tr>
      <w:tr>
        <w:tc>
          <w:tcPr>
            <w:tcW w:w="4537" w:type="dxa"/>
          </w:tcPr>
          <w:p>
            <w:pPr>
              <w:spacing w:before="0" w:after="0"/>
              <w:jc w:val="left"/>
              <w:rPr>
                <w:rFonts w:asciiTheme="minorHAnsi" w:hAnsiTheme="minorHAnsi" w:cstheme="minorBidi"/>
                <w:noProof/>
                <w:szCs w:val="24"/>
              </w:rPr>
            </w:pPr>
            <w:r>
              <w:rPr>
                <w:noProof/>
              </w:rPr>
              <w:t>Članak 35. (imunitet osoba)</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Članak 36. (izuzeće od oporezivanja)</w:t>
            </w:r>
          </w:p>
        </w:tc>
        <w:tc>
          <w:tcPr>
            <w:tcW w:w="4819" w:type="dxa"/>
          </w:tcPr>
          <w:p>
            <w:pPr>
              <w:spacing w:before="0" w:after="0"/>
              <w:rPr>
                <w:noProof/>
                <w:szCs w:val="24"/>
              </w:rPr>
            </w:pPr>
            <w:r>
              <w:rPr>
                <w:noProof/>
              </w:rPr>
              <w:t xml:space="preserve">– </w:t>
            </w:r>
          </w:p>
        </w:tc>
      </w:tr>
      <w:tr>
        <w:tc>
          <w:tcPr>
            <w:tcW w:w="4537" w:type="dxa"/>
          </w:tcPr>
          <w:p>
            <w:pPr>
              <w:spacing w:before="0" w:after="0"/>
              <w:jc w:val="left"/>
              <w:rPr>
                <w:rFonts w:asciiTheme="minorHAnsi" w:hAnsiTheme="minorHAnsi" w:cstheme="minorBidi"/>
                <w:noProof/>
                <w:szCs w:val="24"/>
              </w:rPr>
            </w:pPr>
            <w:r>
              <w:rPr>
                <w:noProof/>
              </w:rPr>
              <w:t xml:space="preserve">Članak 37. (tumačenje i rješavanje sporova) </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Članak 38. (međunarodna suradnja)</w:t>
            </w:r>
          </w:p>
        </w:tc>
        <w:tc>
          <w:tcPr>
            <w:tcW w:w="4819" w:type="dxa"/>
          </w:tcPr>
          <w:p>
            <w:pPr>
              <w:spacing w:before="0" w:after="0"/>
              <w:rPr>
                <w:noProof/>
                <w:szCs w:val="24"/>
              </w:rPr>
            </w:pPr>
            <w:r>
              <w:rPr>
                <w:noProof/>
              </w:rPr>
              <w:t>Članak 41. Statuta (suradnja)</w:t>
            </w:r>
          </w:p>
        </w:tc>
      </w:tr>
      <w:tr>
        <w:tc>
          <w:tcPr>
            <w:tcW w:w="4537" w:type="dxa"/>
          </w:tcPr>
          <w:p>
            <w:pPr>
              <w:spacing w:before="0" w:after="0"/>
              <w:jc w:val="left"/>
              <w:rPr>
                <w:rFonts w:asciiTheme="minorHAnsi" w:hAnsiTheme="minorHAnsi" w:cstheme="minorBidi"/>
                <w:noProof/>
                <w:szCs w:val="24"/>
              </w:rPr>
            </w:pPr>
            <w:r>
              <w:rPr>
                <w:noProof/>
              </w:rPr>
              <w:t>Članak 39. (povezanost sa zajmovima EFSF-a)</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Članak 40. (prijenos potpora Europskog fonda za financijsku stabilnost )</w:t>
            </w:r>
          </w:p>
        </w:tc>
        <w:tc>
          <w:tcPr>
            <w:tcW w:w="4819" w:type="dxa"/>
          </w:tcPr>
          <w:p>
            <w:pPr>
              <w:spacing w:before="0" w:after="0"/>
              <w:rPr>
                <w:noProof/>
                <w:szCs w:val="24"/>
              </w:rPr>
            </w:pPr>
            <w:r>
              <w:rPr>
                <w:noProof/>
              </w:rPr>
              <w:t>–</w:t>
            </w:r>
          </w:p>
        </w:tc>
      </w:tr>
      <w:tr>
        <w:tc>
          <w:tcPr>
            <w:tcW w:w="4537" w:type="dxa"/>
          </w:tcPr>
          <w:p>
            <w:pPr>
              <w:spacing w:before="0" w:after="0"/>
              <w:jc w:val="left"/>
              <w:rPr>
                <w:noProof/>
                <w:szCs w:val="24"/>
              </w:rPr>
            </w:pPr>
            <w:r>
              <w:rPr>
                <w:noProof/>
              </w:rPr>
              <w:t xml:space="preserve">– </w:t>
            </w:r>
          </w:p>
        </w:tc>
        <w:tc>
          <w:tcPr>
            <w:tcW w:w="4819" w:type="dxa"/>
          </w:tcPr>
          <w:p>
            <w:pPr>
              <w:spacing w:before="0" w:after="0"/>
              <w:rPr>
                <w:noProof/>
                <w:szCs w:val="24"/>
              </w:rPr>
            </w:pPr>
            <w:r>
              <w:rPr>
                <w:noProof/>
              </w:rPr>
              <w:t>Članak 42. Statuta (upravljanje EFSF-om)</w:t>
            </w:r>
          </w:p>
        </w:tc>
      </w:tr>
      <w:tr>
        <w:tc>
          <w:tcPr>
            <w:tcW w:w="4537" w:type="dxa"/>
          </w:tcPr>
          <w:p>
            <w:pPr>
              <w:spacing w:before="0" w:after="0"/>
              <w:jc w:val="left"/>
              <w:rPr>
                <w:rFonts w:asciiTheme="minorHAnsi" w:hAnsiTheme="minorHAnsi" w:cstheme="minorBidi"/>
                <w:noProof/>
                <w:szCs w:val="24"/>
              </w:rPr>
            </w:pPr>
            <w:r>
              <w:rPr>
                <w:noProof/>
              </w:rPr>
              <w:t>Članak 41. (plaćanje početnog kapitala)</w:t>
            </w:r>
          </w:p>
        </w:tc>
        <w:tc>
          <w:tcPr>
            <w:tcW w:w="4819" w:type="dxa"/>
          </w:tcPr>
          <w:p>
            <w:pPr>
              <w:spacing w:before="0" w:after="0"/>
              <w:rPr>
                <w:noProof/>
                <w:szCs w:val="24"/>
              </w:rPr>
            </w:pPr>
            <w:r>
              <w:rPr>
                <w:noProof/>
              </w:rPr>
              <w:t>Članak 43. Statuta (plaćanje početnog kapitala)</w:t>
            </w:r>
          </w:p>
        </w:tc>
      </w:tr>
      <w:tr>
        <w:tc>
          <w:tcPr>
            <w:tcW w:w="4537" w:type="dxa"/>
          </w:tcPr>
          <w:p>
            <w:pPr>
              <w:spacing w:before="0" w:after="0"/>
              <w:jc w:val="left"/>
              <w:rPr>
                <w:rFonts w:asciiTheme="minorHAnsi" w:hAnsiTheme="minorHAnsi" w:cstheme="minorBidi"/>
                <w:noProof/>
                <w:szCs w:val="24"/>
              </w:rPr>
            </w:pPr>
            <w:r>
              <w:rPr>
                <w:noProof/>
              </w:rPr>
              <w:t xml:space="preserve">Članak 42. (privremena korekcija ključa za upis kapitala) </w:t>
            </w:r>
          </w:p>
        </w:tc>
        <w:tc>
          <w:tcPr>
            <w:tcW w:w="4819" w:type="dxa"/>
          </w:tcPr>
          <w:p>
            <w:pPr>
              <w:spacing w:before="0" w:after="0"/>
              <w:rPr>
                <w:noProof/>
                <w:szCs w:val="24"/>
              </w:rPr>
            </w:pPr>
            <w:r>
              <w:rPr>
                <w:noProof/>
              </w:rPr>
              <w:t>Članak 44. Statuta (privremena korekcija ključa za upis kapitala)</w:t>
            </w:r>
          </w:p>
        </w:tc>
      </w:tr>
      <w:tr>
        <w:tc>
          <w:tcPr>
            <w:tcW w:w="4537" w:type="dxa"/>
          </w:tcPr>
          <w:p>
            <w:pPr>
              <w:spacing w:before="0" w:after="0"/>
              <w:jc w:val="left"/>
              <w:rPr>
                <w:rFonts w:asciiTheme="minorHAnsi" w:hAnsiTheme="minorHAnsi" w:cstheme="minorBidi"/>
                <w:noProof/>
                <w:szCs w:val="24"/>
              </w:rPr>
            </w:pPr>
            <w:r>
              <w:rPr>
                <w:noProof/>
              </w:rPr>
              <w:t>Članak 43. (prva imenovanja)</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Članak 44. (pridruživanje)</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 xml:space="preserve">Članak 45. (prilozi) </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Članak 46. (depozit)</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Cs w:val="24"/>
              </w:rPr>
            </w:pPr>
            <w:r>
              <w:rPr>
                <w:noProof/>
              </w:rPr>
              <w:t>Članak 47. (ratifikacija, odobrenje ili prihvaćanje)</w:t>
            </w:r>
          </w:p>
        </w:tc>
        <w:tc>
          <w:tcPr>
            <w:tcW w:w="4819" w:type="dxa"/>
          </w:tcPr>
          <w:p>
            <w:pPr>
              <w:spacing w:before="0" w:after="0"/>
              <w:rPr>
                <w:noProof/>
                <w:szCs w:val="24"/>
              </w:rPr>
            </w:pPr>
            <w:r>
              <w:rPr>
                <w:noProof/>
              </w:rPr>
              <w:t>–</w:t>
            </w:r>
          </w:p>
        </w:tc>
      </w:tr>
      <w:tr>
        <w:tc>
          <w:tcPr>
            <w:tcW w:w="4537" w:type="dxa"/>
          </w:tcPr>
          <w:p>
            <w:pPr>
              <w:spacing w:before="0" w:after="0"/>
              <w:jc w:val="left"/>
              <w:rPr>
                <w:rFonts w:asciiTheme="minorHAnsi" w:hAnsiTheme="minorHAnsi" w:cstheme="minorBidi"/>
                <w:noProof/>
                <w:sz w:val="22"/>
              </w:rPr>
            </w:pPr>
            <w:r>
              <w:rPr>
                <w:noProof/>
                <w:sz w:val="22"/>
              </w:rPr>
              <w:t xml:space="preserve">Članak 48. (stupanje na snagu) </w:t>
            </w:r>
          </w:p>
        </w:tc>
        <w:tc>
          <w:tcPr>
            <w:tcW w:w="4819" w:type="dxa"/>
          </w:tcPr>
          <w:p>
            <w:pPr>
              <w:spacing w:before="0" w:after="0"/>
              <w:rPr>
                <w:noProof/>
                <w:szCs w:val="24"/>
              </w:rPr>
            </w:pPr>
            <w:r>
              <w:rPr>
                <w:noProof/>
              </w:rPr>
              <w:t>Članak 8. Prijedloga uredbe</w:t>
            </w:r>
          </w:p>
        </w:tc>
      </w:tr>
      <w:tr>
        <w:tc>
          <w:tcPr>
            <w:tcW w:w="4537" w:type="dxa"/>
          </w:tcPr>
          <w:p>
            <w:pPr>
              <w:spacing w:before="0" w:after="0"/>
              <w:jc w:val="left"/>
              <w:rPr>
                <w:noProof/>
                <w:sz w:val="22"/>
                <w:szCs w:val="24"/>
              </w:rPr>
            </w:pPr>
            <w:r>
              <w:rPr>
                <w:noProof/>
                <w:sz w:val="22"/>
              </w:rPr>
              <w:t>–</w:t>
            </w:r>
          </w:p>
        </w:tc>
        <w:tc>
          <w:tcPr>
            <w:tcW w:w="4819" w:type="dxa"/>
          </w:tcPr>
          <w:p>
            <w:pPr>
              <w:spacing w:before="0" w:after="0"/>
              <w:rPr>
                <w:noProof/>
                <w:szCs w:val="24"/>
              </w:rPr>
            </w:pPr>
            <w:r>
              <w:rPr>
                <w:noProof/>
              </w:rPr>
              <w:t>Članak 45. Statuta (mjere za suzbijanje prijevara)</w:t>
            </w:r>
          </w:p>
        </w:tc>
      </w:tr>
      <w:tr>
        <w:tc>
          <w:tcPr>
            <w:tcW w:w="4537" w:type="dxa"/>
          </w:tcPr>
          <w:p>
            <w:pPr>
              <w:spacing w:before="0" w:after="0"/>
              <w:jc w:val="left"/>
              <w:rPr>
                <w:noProof/>
                <w:sz w:val="22"/>
                <w:szCs w:val="24"/>
              </w:rPr>
            </w:pPr>
            <w:r>
              <w:rPr>
                <w:noProof/>
                <w:sz w:val="22"/>
              </w:rPr>
              <w:t xml:space="preserve">– </w:t>
            </w:r>
          </w:p>
        </w:tc>
        <w:tc>
          <w:tcPr>
            <w:tcW w:w="4819" w:type="dxa"/>
          </w:tcPr>
          <w:p>
            <w:pPr>
              <w:spacing w:before="0" w:after="0"/>
              <w:rPr>
                <w:noProof/>
                <w:szCs w:val="24"/>
              </w:rPr>
            </w:pPr>
            <w:r>
              <w:rPr>
                <w:noProof/>
              </w:rPr>
              <w:t>Članak 46. Statuta (pristup dokumentima)</w:t>
            </w:r>
          </w:p>
        </w:tc>
      </w:tr>
      <w:tr>
        <w:tc>
          <w:tcPr>
            <w:tcW w:w="4537" w:type="dxa"/>
          </w:tcPr>
          <w:p>
            <w:pPr>
              <w:spacing w:before="0" w:after="0"/>
              <w:jc w:val="left"/>
              <w:rPr>
                <w:noProof/>
                <w:sz w:val="22"/>
                <w:szCs w:val="24"/>
              </w:rPr>
            </w:pPr>
            <w:r>
              <w:rPr>
                <w:noProof/>
                <w:sz w:val="22"/>
              </w:rPr>
              <w:t>–</w:t>
            </w:r>
          </w:p>
        </w:tc>
        <w:tc>
          <w:tcPr>
            <w:tcW w:w="4819" w:type="dxa"/>
          </w:tcPr>
          <w:p>
            <w:pPr>
              <w:spacing w:before="0" w:after="0"/>
              <w:rPr>
                <w:noProof/>
                <w:szCs w:val="24"/>
              </w:rPr>
            </w:pPr>
            <w:r>
              <w:rPr>
                <w:noProof/>
              </w:rPr>
              <w:t>Članak 47. Statuta (jezični zahtjevi)</w:t>
            </w:r>
          </w:p>
        </w:tc>
      </w:tr>
    </w:tbl>
    <w:p>
      <w:pPr>
        <w:spacing w:before="0" w:after="0"/>
        <w:rPr>
          <w:rFonts w:eastAsia="Times New Roman"/>
          <w:noProof/>
          <w:szCs w:val="24"/>
        </w:rPr>
      </w:pPr>
    </w:p>
    <w:p>
      <w:pPr>
        <w:spacing w:before="0" w:after="0"/>
        <w:rPr>
          <w:noProof/>
        </w:rPr>
      </w:pP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pBdr>
          <w:top w:val="nil"/>
          <w:left w:val="nil"/>
          <w:bottom w:val="nil"/>
          <w:right w:val="nil"/>
          <w:between w:val="nil"/>
          <w:bar w:val="nil"/>
        </w:pBdr>
        <w:spacing w:before="0" w:after="240"/>
        <w:rPr>
          <w:rFonts w:eastAsia="Arial Unicode MS"/>
          <w:noProof/>
        </w:rPr>
      </w:pPr>
      <w:r>
        <w:rPr>
          <w:noProof/>
        </w:rPr>
        <w:t>Na temelju prijedloga o osnivanju Europskog monetarnog fonda Unija bi osnovala tijelo koje bi na razini Unije odlučno štitilo financijsku stabilnost njezinih država članica. Točnije, u kombinaciji s trajnim instrumentom za pružanje srednjoročne potpore platnim bilancama država članica čija valuta nije euro, Unija bi na raspolaganju imala čitav raspon trajnih instrumenata za stabilnost koji bi se primjenjivali na sve države članice i raspolagali znatnim financijskim sredstvima, mnogo većim od onih koji su dostupni u okviru MEFS-a.</w:t>
      </w:r>
    </w:p>
    <w:p>
      <w:pPr>
        <w:pBdr>
          <w:top w:val="nil"/>
          <w:left w:val="nil"/>
          <w:bottom w:val="nil"/>
          <w:right w:val="nil"/>
          <w:between w:val="nil"/>
          <w:bar w:val="nil"/>
        </w:pBdr>
        <w:spacing w:before="0" w:after="240"/>
        <w:rPr>
          <w:rFonts w:eastAsia="Arial Unicode MS"/>
          <w:noProof/>
        </w:rPr>
      </w:pPr>
      <w:r>
        <w:rPr>
          <w:noProof/>
        </w:rPr>
        <w:t>Logično je da se Prijedlog uredbe o osnivanju EMF-a nadovezuje na Uredbu (EU) br. 472/2013. Potonjom uredbom Unija je potvrdila svoju nadležnost u području financijske pomoći i koordinacije ekonomske politike koja se na nju odnosi, a ujedno je pokazala svoju sposobnost pronalaženja odgovarajućih rješenja, kombinirajući demokratsku legitimnost svojeg okvira i učinkovitost struktura odlučivanja. Osnivanje EMF-a u okviru Unije stoga je potpuno u skladu s prošlim  inicijativama politika Unije i nadopunjuje prethodne mjere poduzete u tom pogledu.</w:t>
      </w:r>
    </w:p>
    <w:p>
      <w:pPr>
        <w:pBdr>
          <w:top w:val="nil"/>
          <w:left w:val="nil"/>
          <w:bottom w:val="nil"/>
          <w:right w:val="nil"/>
          <w:between w:val="nil"/>
          <w:bar w:val="nil"/>
        </w:pBdr>
        <w:spacing w:before="0" w:after="240"/>
        <w:rPr>
          <w:rFonts w:eastAsia="Arial Unicode MS"/>
          <w:noProof/>
        </w:rPr>
      </w:pPr>
      <w:r>
        <w:rPr>
          <w:noProof/>
        </w:rPr>
        <w:t>Nadalje, uspostavom funkcije zaštitnog mehanizma kao potpore jedinstvenom sanacijskom odboru dopunjuju se nedavne inicijative kojima će se znatno oslabiti povezanost financija država članica i njihovih bankarskih sustava. Budući da je jedinstvenom sanacijskom odboru povjerena izrada i provedba programa za sanaciju kreditnih institucija, Uredba (EU) br. 806/2014 i Direktiva 2014/59/EU bile su važan korak u tom smjeru. Tom se uredbom jedinstveni sanacijski odbor ovlašćuje za sklapanje financijskih aranžmana u cilju određivanja načina financiranja. Ovim se Prijedlogom to provodi te se istovremeno pojašnjava da bi sva sredstva koja jedinstveni sanacijski odbor pozajmljuje od EMF-a trebao u potpunosti nadoknaditi  bankarski sektor.</w:t>
      </w:r>
    </w:p>
    <w:p>
      <w:pPr>
        <w:pBdr>
          <w:top w:val="nil"/>
          <w:left w:val="nil"/>
          <w:bottom w:val="nil"/>
          <w:right w:val="nil"/>
          <w:between w:val="nil"/>
          <w:bar w:val="nil"/>
        </w:pBdr>
        <w:spacing w:before="0" w:after="240"/>
        <w:rPr>
          <w:noProof/>
        </w:rPr>
      </w:pPr>
      <w:r>
        <w:rPr>
          <w:noProof/>
        </w:rPr>
        <w:t>U tom bi se kontekstu mogle osmisliti buduće inicijative politike , primjerice uspostava funkcije stabilizacije. Jedna od značajki  funkcije stabilizacije jest mogućnost da se brzo i automatski aktiviraju sredstva, pod uvjetom da se zadovolje unaprijed definirani kriteriji prihvatljivosti. Ta bi se sredstva koristila za ublažavanje posljedica znatnih asimetričnih šokova. U slučaju krize države članice bi u prvom redu primijenile svoje automatske stabilizatore i diskrecijsku fiskalnu politiku u skladu s Paktom o stabilnosti i rastu. Paktom se predviđaju dodatne zaštitne mjere i potreba za manjim fiskalnim naporima koji se trebaju poduzeti u nepovoljnijim gospodarskim uvjetima. Funkcija stabilizacije aktivirala bi se samo ako u slučaju velikih asimetričnih šokova te zaštitne mjere i stabilizatori ne budu dovoljni. EMF bi mogao poduprijeti provedbu takve funkcije organiziranjem i stavljanjem na raspolaganje svih potrebnih financijskih sredstava koja pružaju tržišta i koja su povezan s aktivacijom funkcije.</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noProof/>
        </w:rPr>
      </w:pPr>
      <w:r>
        <w:rPr>
          <w:noProof/>
        </w:rPr>
        <w:t>Pravna je osnova ovog Prijedloga članak 352. UFEU-a. Za primjenu tog članka moraju biti ispunjena tri uvjeta. Prva su dva uvjeta da ne postoji posebna pravna osnova u Ugovorima te da se djeluje u okviru politika Unije. Sud Europske unije već je presudio (u predmetu Pringle</w:t>
      </w:r>
      <w:r>
        <w:rPr>
          <w:rStyle w:val="FootnoteReference"/>
          <w:noProof/>
        </w:rPr>
        <w:footnoteReference w:id="21"/>
      </w:r>
      <w:r>
        <w:rPr>
          <w:noProof/>
        </w:rPr>
        <w:t>) da su u pogledu ESM-a ispunjena oba uvjeta. U okviru ekonomske politike Unije, kako je predviđeno u Glavi VIII. „Ekonomska i monetarna politika” dijela III. UFEU-a, ovlasti potrebne za osnivanje tijela Unije zaduženog za pružanje financijske potpore za osiguravanje financijske stabilnosti europodručja nisu bile utvrđene. Zbog nepostojanja tih ovlasti, u skladu s člankom 352. UFEU-a Vijeće može jednoglasno donijeti odgovarajuće mjere na temelju prijedloga Komisije uz prethodnu suglasnost Europskog parlamenta. Treći je uvjet nužnost postizanja cilja Ugovora. Potreba postojanja tijela kao što je ESM kojim se štiti financijska stabilnost europodručja temelji se na činjenicama i članku 136. stavku 3. UFEU-a te na drugoj uvodnoj izjavi Ugovora o ESM-u u kojoj se aktualni ESM opisuje kao „stabilizacijski mehanizam koji će se aktivirati ako je to nužno za zaštitu stabilnosti europodručja u cjelini”. Osnivanje EMF-a nužno je kako bi se pridonijelo zaštiti financijske stabilnosti europodručja u cjelini, njegovih država članica i država članica čija valuta nije euro a koje sudjeluju u bankarskoj uniji na temelju sporazuma o bliskoj suradnji s ESB-om u skladu s Uredbom Vijeća (EU) br. 1024/2013.</w:t>
      </w:r>
    </w:p>
    <w:p>
      <w:pPr>
        <w:pBdr>
          <w:top w:val="nil"/>
          <w:left w:val="nil"/>
          <w:bottom w:val="nil"/>
          <w:right w:val="nil"/>
          <w:between w:val="nil"/>
          <w:bar w:val="nil"/>
        </w:pBdr>
        <w:spacing w:before="0" w:after="240"/>
        <w:rPr>
          <w:rFonts w:eastAsia="Arial Unicode MS"/>
          <w:noProof/>
        </w:rPr>
      </w:pPr>
      <w:r>
        <w:rPr>
          <w:noProof/>
        </w:rPr>
        <w:t xml:space="preserve">Uključivanjem ESM-a u okvir Unije Uredbom na temelju članka 352. UFEU-a osigurao bi se nesmetan prijenos aktivnosti s postojećeg ESM-a na novo tijelo Unije (EMF) i izravno pravno sljedništvo. Države članice europodručja pojednostavnjenim multilateralnim aktom dogovorile bi se da se kapital ESM-a pridruži tom tijelu. </w:t>
      </w:r>
    </w:p>
    <w:p>
      <w:pPr>
        <w:pBdr>
          <w:top w:val="nil"/>
          <w:left w:val="nil"/>
          <w:bottom w:val="nil"/>
          <w:right w:val="nil"/>
          <w:between w:val="nil"/>
          <w:bar w:val="nil"/>
        </w:pBdr>
        <w:spacing w:before="0" w:after="240"/>
        <w:rPr>
          <w:rFonts w:eastAsia="Arial Unicode MS"/>
          <w:noProof/>
        </w:rPr>
      </w:pPr>
      <w:r>
        <w:rPr>
          <w:noProof/>
        </w:rPr>
        <w:t>Nakon što se ESM uključi u pravo Unije, dodjela dodatnih zadaća ESM-u mogla bi se temeljiti na primjeni članka 352.</w:t>
      </w:r>
    </w:p>
    <w:p>
      <w:pPr>
        <w:pStyle w:val="ManualHeading2"/>
        <w:ind w:left="0" w:firstLine="0"/>
        <w:rPr>
          <w:rFonts w:eastAsia="Arial Unicode MS"/>
          <w:noProof/>
          <w:u w:color="000000"/>
          <w:bdr w:val="nil"/>
        </w:rPr>
      </w:pPr>
      <w:r>
        <w:rPr>
          <w:noProof/>
        </w:rPr>
        <w:t>Iako je mjeru koja se temelji na članku 352. UFEU-a Vijeće donijelo jednoglasno (EU28), primjena takve mjere može biti ograničena na podskupine država članica ako se ograničenje temelji na objektivnom razlogu. Ograničenje članstva u ESM-u na države članice europodručja objašnjava se činjenicom da je cilj ESM-a samo zaštititi financijsku stabilnost europodručja. Stoga bi predloženi EMF mogao funkcionirati kao što trenutačno funkcionira ESM, pri čemu bi potpora u okviru njega bila dostupna samo državama članicama europodručja te bi njegov unutarnji upravljački ustroj činile samo te države članice.•</w:t>
      </w:r>
      <w:r>
        <w:rPr>
          <w:noProof/>
        </w:rPr>
        <w:tab/>
        <w:t xml:space="preserve">Supsidijarnost (za neisključivu nadležnost) </w:t>
      </w:r>
    </w:p>
    <w:p>
      <w:pPr>
        <w:pBdr>
          <w:top w:val="nil"/>
          <w:left w:val="nil"/>
          <w:bottom w:val="nil"/>
          <w:right w:val="nil"/>
          <w:between w:val="nil"/>
          <w:bar w:val="nil"/>
        </w:pBdr>
        <w:spacing w:before="0" w:after="240"/>
        <w:rPr>
          <w:noProof/>
        </w:rPr>
      </w:pPr>
      <w:r>
        <w:rPr>
          <w:noProof/>
        </w:rPr>
        <w:t>Financijska stabilnost ekonomske i monetarne unije i država članica koje sudjeluju u bankarskoj uniji imaju utjecaj na cijelu Uniju. S obzirom na snažnu povezanost država članica europodručja ozbiljni rizici za financijsku stabilnost država članica mogli bi ugroziti financijsku stabilnost drugih država članica i europodručja u cjelini.</w:t>
      </w:r>
    </w:p>
    <w:p>
      <w:pPr>
        <w:pBdr>
          <w:top w:val="nil"/>
          <w:left w:val="nil"/>
          <w:bottom w:val="nil"/>
          <w:right w:val="nil"/>
          <w:between w:val="nil"/>
          <w:bar w:val="nil"/>
        </w:pBdr>
        <w:spacing w:before="0" w:after="240"/>
        <w:rPr>
          <w:noProof/>
          <w:sz w:val="23"/>
          <w:szCs w:val="23"/>
        </w:rPr>
      </w:pPr>
      <w:r>
        <w:rPr>
          <w:noProof/>
          <w:sz w:val="23"/>
        </w:rPr>
        <w:t xml:space="preserve">U Prijedlogu uredbe utvrđuje se okvir za pružanje potpore za financijsku stabilnost državama članicama čija je valuta euro te se predviđa i nova uloga koja podrazumijeva pružanje financijskih sredstava jedinstvenom sanacijskom odboru. U pogledu potonje uloge, EMF će imati pravo osiguravati kreditne linije i jamstva jedinstvenom sanacijskom odboru, što može služiti kao zaštitni mehanizam za jedinstveni fond za sanaciju. </w:t>
      </w:r>
    </w:p>
    <w:p>
      <w:pPr>
        <w:pBdr>
          <w:top w:val="nil"/>
          <w:left w:val="nil"/>
          <w:bottom w:val="nil"/>
          <w:right w:val="nil"/>
          <w:between w:val="nil"/>
          <w:bar w:val="nil"/>
        </w:pBdr>
        <w:spacing w:before="0" w:after="240"/>
        <w:rPr>
          <w:noProof/>
          <w:sz w:val="23"/>
          <w:szCs w:val="23"/>
        </w:rPr>
      </w:pPr>
      <w:r>
        <w:rPr>
          <w:noProof/>
          <w:sz w:val="23"/>
        </w:rPr>
        <w:t xml:space="preserve">Države članice i nacionalna tijela ne mogu jednostrano ukloniti rizike za financijsku stabilnost država članica koje uzrokuju financijska tržišta na kojima se posluje prekogranično a koji su izvan okvira nacionalnih nadležnosti. Osim toga, države članice imaju poteškoća u smanjivanju vlastitih rizika. Države članice i nacionalna tijela ne mogu samostalno ukloniti sistemske rizike za financijsku stabilnost Unije u cjelini koje uzrokuje druga država članica ili njezine kreditne institucije. </w:t>
      </w:r>
    </w:p>
    <w:p>
      <w:pPr>
        <w:pBdr>
          <w:top w:val="nil"/>
          <w:left w:val="nil"/>
          <w:bottom w:val="nil"/>
          <w:right w:val="nil"/>
          <w:between w:val="nil"/>
          <w:bar w:val="nil"/>
        </w:pBdr>
        <w:spacing w:before="0" w:after="240"/>
        <w:rPr>
          <w:rFonts w:eastAsia="Arial Unicode MS"/>
          <w:noProof/>
        </w:rPr>
      </w:pPr>
      <w:r>
        <w:rPr>
          <w:noProof/>
          <w:sz w:val="23"/>
        </w:rPr>
        <w:t>Ciljeve ove Uredbe države članice ne mogu dostatno ostvariti pojedinačno, nego se zbog opsega djelovanja oni na bolji način mogu ostvariti na razini Unije u skladu s načelom supsidijarnosti kako je navedeno u članku 5. stavku 3. UFEU-a.</w:t>
      </w:r>
    </w:p>
    <w:p>
      <w:pPr>
        <w:pStyle w:val="ManualHeading2"/>
        <w:rPr>
          <w:rFonts w:eastAsia="Arial Unicode MS"/>
          <w:noProof/>
          <w:u w:color="000000"/>
          <w:bdr w:val="nil"/>
        </w:rPr>
      </w:pPr>
      <w:r>
        <w:rPr>
          <w:noProof/>
        </w:rPr>
        <w:t>•</w:t>
      </w:r>
      <w:r>
        <w:rPr>
          <w:noProof/>
        </w:rPr>
        <w:tab/>
        <w:t>Proporcionalnost</w:t>
      </w:r>
    </w:p>
    <w:p>
      <w:pPr>
        <w:autoSpaceDE w:val="0"/>
        <w:autoSpaceDN w:val="0"/>
        <w:adjustRightInd w:val="0"/>
        <w:spacing w:before="0" w:after="0"/>
        <w:rPr>
          <w:noProof/>
          <w:color w:val="000000"/>
          <w:sz w:val="23"/>
          <w:szCs w:val="23"/>
        </w:rPr>
      </w:pPr>
      <w:r>
        <w:rPr>
          <w:noProof/>
          <w:color w:val="000000"/>
          <w:sz w:val="23"/>
        </w:rPr>
        <w:t xml:space="preserve">Cilj je ovog Prijedloga osigurati financijsku stabilnost u europodručju i EU-u u cjelini, njegovih država članica i država članica koje sudjeluju u bankarskoj uniji. U Prijedlogu se utvrđuje pojednostavljen okvir za pružanje potpore za financijsku stabilnost članicama EMF-a i osiguravanja kreditnih linija i jamstava kao potpore jedinstvenom sanacijskom odboru u pogledu financiranja potencijalnih sanacijskih mjera poduzetih u državama članicama koje sudjeluju u bankarskoj uniji. </w:t>
      </w:r>
    </w:p>
    <w:p>
      <w:pPr>
        <w:autoSpaceDE w:val="0"/>
        <w:autoSpaceDN w:val="0"/>
        <w:adjustRightInd w:val="0"/>
        <w:spacing w:before="0" w:after="0"/>
        <w:rPr>
          <w:noProof/>
          <w:color w:val="000000"/>
          <w:sz w:val="23"/>
          <w:szCs w:val="23"/>
        </w:rPr>
      </w:pPr>
    </w:p>
    <w:p>
      <w:pPr>
        <w:autoSpaceDE w:val="0"/>
        <w:autoSpaceDN w:val="0"/>
        <w:adjustRightInd w:val="0"/>
        <w:spacing w:before="0" w:after="0"/>
        <w:rPr>
          <w:noProof/>
          <w:color w:val="000000"/>
          <w:sz w:val="23"/>
          <w:szCs w:val="23"/>
        </w:rPr>
      </w:pPr>
      <w:r>
        <w:rPr>
          <w:noProof/>
          <w:color w:val="000000"/>
          <w:sz w:val="23"/>
        </w:rPr>
        <w:t xml:space="preserve">U Prijedlogu se utvrđuju različite uloge i odgovornosti svih upravljačkih tijela EMF-a i drugih uključenih institucija Unije. Njime se predviđaju i financijski instrumenti koji su na raspolaganju EMF-u u cilju ostvarivanja njegovih ciljeva. </w:t>
      </w:r>
    </w:p>
    <w:p>
      <w:pPr>
        <w:autoSpaceDE w:val="0"/>
        <w:autoSpaceDN w:val="0"/>
        <w:adjustRightInd w:val="0"/>
        <w:spacing w:before="0" w:after="0"/>
        <w:rPr>
          <w:noProof/>
          <w:color w:val="000000"/>
          <w:sz w:val="23"/>
          <w:szCs w:val="23"/>
        </w:rPr>
      </w:pPr>
    </w:p>
    <w:p>
      <w:pPr>
        <w:autoSpaceDE w:val="0"/>
        <w:autoSpaceDN w:val="0"/>
        <w:adjustRightInd w:val="0"/>
        <w:spacing w:before="0" w:after="0"/>
        <w:rPr>
          <w:noProof/>
          <w:color w:val="000000"/>
          <w:sz w:val="23"/>
          <w:szCs w:val="23"/>
        </w:rPr>
      </w:pPr>
      <w:r>
        <w:rPr>
          <w:noProof/>
          <w:color w:val="000000"/>
          <w:sz w:val="23"/>
        </w:rPr>
        <w:t xml:space="preserve">Na temelju ovog prijedloga osnovalo bi se  središnje tijelo Unije zaduženo za pružanje financijske potpore državama članicama i time bi se pridonijelo uklanjanju rizika za financijsku stabilnost europodručja i njegovih država članica, pri čemu bi se zadržale fiskalne odgovornosti država članica tako što bi se od članice EMF-a korisnice zahtijevalo poštovanje strogih uvjeta politike, u skladu s odabranim instrumentom financijske potpore i nedostacima koje treba riješiti. Osim toga, EMF bi bio zadužen za pružanje financijske potpore jedinstvenom sanacijskom odboru. Osnivanjem EMF-a pridonijet će prekidu negativne povratne veze između država, banaka i realnog gospodarstva, što je od ključne važnosti za nesmetano funkcioniranje EMU-a. </w:t>
      </w:r>
    </w:p>
    <w:p>
      <w:pPr>
        <w:autoSpaceDE w:val="0"/>
        <w:autoSpaceDN w:val="0"/>
        <w:adjustRightInd w:val="0"/>
        <w:spacing w:before="0" w:after="0"/>
        <w:rPr>
          <w:noProof/>
          <w:sz w:val="23"/>
          <w:szCs w:val="23"/>
        </w:rPr>
      </w:pPr>
    </w:p>
    <w:p>
      <w:pPr>
        <w:autoSpaceDE w:val="0"/>
        <w:autoSpaceDN w:val="0"/>
        <w:adjustRightInd w:val="0"/>
        <w:spacing w:before="0" w:after="0"/>
        <w:rPr>
          <w:noProof/>
          <w:sz w:val="23"/>
          <w:szCs w:val="23"/>
        </w:rPr>
      </w:pPr>
      <w:r>
        <w:rPr>
          <w:noProof/>
          <w:sz w:val="23"/>
        </w:rPr>
        <w:t>Istodobno prijedlog ne prelazi ono što je potrebno za ostvarenje cilja EMF-a, odnosno smanjenje rizika za financijsku stabilnost europodručja i njegovih država članica. Svaka potpora koju EMF pruži članicama EMF-a podliježe uvjetima politike čiji je cilj uklanjanje nedostataka u tim članicama radi brze ponovne uspostave pouzdane i ekonomski održive financijske situacije te ponovne uspostave ili poboljšanja kapaciteta članice da se u potpunosti samostalno financira na financijskim tržištima.</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 xml:space="preserve">Ovaj je akt u obliku uredbe jer se njime osniva novo tijelo u okviru Unije koje pridonosi zaštiti financijske stabilnosti te mora biti u cijelosti obvezujući i izravno se primjenjivati u državama članicama. </w:t>
      </w:r>
    </w:p>
    <w:p>
      <w:pPr>
        <w:pStyle w:val="ManualHeading1"/>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rPr>
        <w:t>•</w:t>
      </w:r>
      <w:r>
        <w:rPr>
          <w:noProof/>
        </w:rPr>
        <w:tab/>
        <w:t>Temeljna prava</w:t>
      </w:r>
    </w:p>
    <w:p>
      <w:pPr>
        <w:pBdr>
          <w:top w:val="nil"/>
          <w:left w:val="nil"/>
          <w:bottom w:val="nil"/>
          <w:right w:val="nil"/>
          <w:between w:val="nil"/>
          <w:bar w:val="nil"/>
        </w:pBdr>
        <w:spacing w:before="0" w:after="240"/>
        <w:rPr>
          <w:noProof/>
          <w:sz w:val="23"/>
          <w:szCs w:val="23"/>
        </w:rPr>
      </w:pPr>
      <w:r>
        <w:rPr>
          <w:noProof/>
          <w:sz w:val="23"/>
        </w:rPr>
        <w:t>EU je predan visokim standardima zaštite temeljnih prava i potpisnik je brojnih konvencija o ljudskim pravima. Prijedlog bi u tom kontekstu mogao izravno utjecati</w:t>
      </w:r>
      <w:r>
        <w:rPr>
          <w:noProof/>
        </w:rPr>
        <w:t xml:space="preserve"> na ta </w:t>
      </w:r>
      <w:r>
        <w:rPr>
          <w:noProof/>
          <w:sz w:val="23"/>
        </w:rPr>
        <w:t xml:space="preserve">prava, kako su navedena u Povelji o temeljnim pravima Europske unije („Povelja”), koja je sastavni dio Ugovorâ EU-a, te Europskoj konvenciji o ljudskim pravima. </w:t>
      </w:r>
    </w:p>
    <w:p>
      <w:pPr>
        <w:pBdr>
          <w:top w:val="nil"/>
          <w:left w:val="nil"/>
          <w:bottom w:val="nil"/>
          <w:right w:val="nil"/>
          <w:between w:val="nil"/>
          <w:bar w:val="nil"/>
        </w:pBdr>
        <w:spacing w:before="0" w:after="240"/>
        <w:rPr>
          <w:rFonts w:eastAsia="Arial Unicode MS"/>
          <w:noProof/>
        </w:rPr>
      </w:pPr>
      <w:r>
        <w:rPr>
          <w:noProof/>
          <w:sz w:val="23"/>
        </w:rPr>
        <w:t xml:space="preserve">Ovom Uredbom poštuju se temeljna prava te prava, slobode i načela priznata u Povelji, a osobito pravo na pregovaranje o kolektivnim sporazumima te njihovo sklapanje i provedbu ili pravo na poduzimanje kolektivnih mjera, pravo na zaštitu osobnih podataka i pravo pristupa dokumentima te bi se ona trebala provesti u skladu s tim pravima i načelima. Uključivanjem postojećeg ESM-a u okvir Unije na odgovarajući se način proširuje područje primjene Povelje. </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rFonts w:eastAsia="Arial Unicode MS"/>
          <w:noProof/>
        </w:rPr>
      </w:pPr>
      <w:r>
        <w:rPr>
          <w:noProof/>
        </w:rPr>
        <w:t xml:space="preserve">Ne očekuje se da će prijedlog imati utjecaj na proračun. Kapital EMF-a upisat će države članice europodručja. Proračun Unije neće se teretiti rashodima ili gubicima EMF-a. Europski monetarni fond financirat će se iz vlastitog proračuna.  </w:t>
      </w:r>
    </w:p>
    <w:p>
      <w:pPr>
        <w:pStyle w:val="ManualHeading1"/>
        <w:ind w:left="0" w:firstLine="0"/>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Detaljno obrazloženje posebnih odredbi prijedloga</w:t>
      </w:r>
    </w:p>
    <w:p>
      <w:pPr>
        <w:pBdr>
          <w:top w:val="nil"/>
          <w:left w:val="nil"/>
          <w:bottom w:val="nil"/>
          <w:right w:val="nil"/>
          <w:between w:val="nil"/>
          <w:bar w:val="nil"/>
        </w:pBdr>
        <w:spacing w:before="0" w:after="240"/>
        <w:rPr>
          <w:rFonts w:eastAsia="Arial Unicode MS"/>
          <w:noProof/>
        </w:rPr>
      </w:pPr>
      <w:r>
        <w:rPr>
          <w:noProof/>
        </w:rPr>
        <w:t xml:space="preserve">U dijelu I. Prijedloga uredbe (članci 1. i 2.) predviđa se osnivanje EMF-a unutar okvira Unije. Osim toga, u tom se dijelu predviđa i primjena odredbi na pitanja o prijenosu sljedništva s ESM-a na EMF. Države članice europodručja morale bi se putem pojedinačnih preuzetih obveza ili pojednostavnjenim multilateralnim aktom dogovoriti da se kapital ESM-a pridruži tom tijelu. Kako se dodatno objašnjava u Statutu, odobreni kapital EMF-a bio bi jednak kapitalu ESM-a.  </w:t>
      </w:r>
    </w:p>
    <w:p>
      <w:pPr>
        <w:pBdr>
          <w:top w:val="nil"/>
          <w:left w:val="nil"/>
          <w:bottom w:val="nil"/>
          <w:right w:val="nil"/>
          <w:between w:val="nil"/>
          <w:bar w:val="nil"/>
        </w:pBdr>
        <w:spacing w:before="0" w:after="240"/>
        <w:rPr>
          <w:rFonts w:eastAsia="Arial Unicode MS"/>
          <w:noProof/>
        </w:rPr>
      </w:pPr>
      <w:r>
        <w:rPr>
          <w:noProof/>
        </w:rPr>
        <w:t>U dijelu II. Prijedloga uredbe (članci od 3. do 6.) navedeni su pravni razlozi i uloga Vijeća, kako bi se poštovala sudska praksa Suda Europske unije koja se temelji na predmetu</w:t>
      </w:r>
      <w:r>
        <w:rPr>
          <w:i/>
          <w:noProof/>
        </w:rPr>
        <w:t>Meroni</w:t>
      </w:r>
      <w:r>
        <w:rPr>
          <w:noProof/>
        </w:rPr>
        <w:t xml:space="preserve"> Vijeće bi  trebalo odobriti diskrecijske odluke koje donese Vijeće guvernera i Upravno vijeće. Predviđaju se i mehanizmi odgovornosti EMF-a prema Europskom parlamentu, Vijeću i Komisiji. Trenutačno takvi mehanizmi za ESM nisu utvrđeni u Ugovoru o ESM-u. EMF-a bi trebao podnositi godišnje izvješće prethodno navedenim institucijama Unije, zajedno s godišnjim financijskim izvještajima i financijskim izvještajima. Parlament može pozvati generalnog direktora ili on može zatražiti poziv na sudjelovanje u raspravi. EMF bi trebao odgovoriti i na pisana i usmena pitanja Parlamenta. Trebalo bi predvidjeti mogućnost organiziranja povjerljivih usmenih rasprava, kao što je to slučaj za jedinstveni sanacijski odbor i jedinstveni nadzorni mehanizam, s obzirom na osjetljivu i povjerljivu prirodu rasprava koje se odnose na obavljanje zadaća EMF-a. Osim toga, Uredbom se predviđa i konkretnija nadzorna uloga nacionalnih parlamenata u usporedbi s postojećim stanjem iz Ugovora o ESM-u. Ta je uloga opravdana s obzirom na utjecaj koji odluke EMF-a imaju na političke interese njegovih članica.</w:t>
      </w:r>
    </w:p>
    <w:p>
      <w:pPr>
        <w:pBdr>
          <w:top w:val="nil"/>
          <w:left w:val="nil"/>
          <w:bottom w:val="nil"/>
          <w:right w:val="nil"/>
          <w:between w:val="nil"/>
          <w:bar w:val="nil"/>
        </w:pBdr>
        <w:spacing w:before="0" w:after="240"/>
        <w:rPr>
          <w:rFonts w:eastAsia="Arial Unicode MS"/>
          <w:noProof/>
        </w:rPr>
      </w:pPr>
      <w:r>
        <w:rPr>
          <w:noProof/>
        </w:rPr>
        <w:t xml:space="preserve">U dijelu III. Prijedloga uredbe (članci 7. i 8.) uzimaju se u obzir upućivanja na ESM u zakonodavstvu Unije te stupanje na snagu Prijedloga uredbe. </w:t>
      </w:r>
    </w:p>
    <w:p>
      <w:pPr>
        <w:pBdr>
          <w:top w:val="nil"/>
          <w:left w:val="nil"/>
          <w:bottom w:val="nil"/>
          <w:right w:val="nil"/>
          <w:between w:val="nil"/>
          <w:bar w:val="nil"/>
        </w:pBdr>
        <w:spacing w:before="0" w:after="240"/>
        <w:rPr>
          <w:rFonts w:eastAsia="Arial Unicode MS"/>
          <w:noProof/>
        </w:rPr>
      </w:pPr>
      <w:r>
        <w:rPr>
          <w:noProof/>
        </w:rPr>
        <w:t>Dio I. Statuta EMF-a priloženog ovom Prijedlogu uredbe (članci od 1. do 3.) odnosi se na pravni status EMF-a. EMF je tijelo Unije koje ima pravnu osobnost. Nadalje, upućuje se na članstvo u EMF-u (članak 2.). Članice su države članice europodručja. što utječe na postojeći sastav članica ESM-a. Osim toga, predviđena je i odredba o ciljevima i zadaćama EMF-a. Jednako kao ESM EMF bi pružao potporu za financijsku stabilnost svojih članica (države članice europodručja). Uz trenutačno jedinu zadaću ESM-a, EMF-u bi bila dodijeljena nova zadaća, odnosno osiguravao bi kreditne linije ili jamstava za potporu jedinstvenom sanacijskom odboru kako bi osigurao zaštitni mehanizam za jedinstveni fond za sanaciju. Time bi se moglo pridonijeti sklapanju javnih financijskih aranžmana (zaštitni mehanizam) u smislu članka 74. Uredbe br. 806/2014.</w:t>
      </w:r>
    </w:p>
    <w:p>
      <w:pPr>
        <w:pBdr>
          <w:top w:val="nil"/>
          <w:left w:val="nil"/>
          <w:bottom w:val="nil"/>
          <w:right w:val="nil"/>
          <w:between w:val="nil"/>
          <w:bar w:val="nil"/>
        </w:pBdr>
        <w:spacing w:before="0" w:after="240"/>
        <w:rPr>
          <w:rFonts w:eastAsia="Arial Unicode MS"/>
          <w:noProof/>
        </w:rPr>
      </w:pPr>
      <w:r>
        <w:rPr>
          <w:noProof/>
        </w:rPr>
        <w:t xml:space="preserve">Dio II. Statuta EMF-a priloženog ovom Prijedlogu uredbe (članci od 4. do 7.) odnosi se na organizaciju i postupak donošenja odluka, uključujući pravila glasovanja koja se primjenjuju na EMF. Kao i ESM, EMF će imati Vijeće guvernera, Upravno vijeće i generalnog direktora, kojem će pomagati upravljački odbor. Kategorije pravila glasovanja utvrđene Ugovorom o ESM-u bit će jednake u EMF-u. Trebalo bi razlikovati četiri vrste pravila glasovanja: i. jednoglasno, ii. pojačana kvalificirana većina (85 %), iii. kvalificirana većina (80 %), i iv. obična većina. Kao i za pravila Ugovora o ESM-u, odluke koje imaju znatan izravan financijski učinak na države članice (npr. odluke o kapacitetu kreditiranja, o tome kada pozivi na uplatu kapitala nisu hitni) i dalje se donose jednoglasno. Međutim, odluke povezane s dodjelom financijske potpore ili isplate članicama EMF-a ne donose se više međusobnom suglasnošću nego pojačanom kvalificiranom većinom (85 %). Osim toga, za razliku od postojećeg postupka imenovanja generalnog direktora, savjetodavna uloga predviđena je za Europski parlament. Uvedena su dodatna objašnjenja koja proizlaze iz podzakonskih akata ESM-a o ulozi generalnog direktora i pravnog odbora ESM-a. Naposljetku, u dijelu II. predviđena su i pravila koja se odnose na plaću članova i zamjenika Vijeća guvernera i Upravnog vijeća. </w:t>
      </w:r>
    </w:p>
    <w:p>
      <w:pPr>
        <w:pBdr>
          <w:top w:val="nil"/>
          <w:left w:val="nil"/>
          <w:bottom w:val="nil"/>
          <w:right w:val="nil"/>
          <w:between w:val="nil"/>
          <w:bar w:val="nil"/>
        </w:pBdr>
        <w:spacing w:before="0" w:after="240"/>
        <w:rPr>
          <w:rFonts w:eastAsia="Arial Unicode MS"/>
          <w:noProof/>
        </w:rPr>
      </w:pPr>
      <w:r>
        <w:rPr>
          <w:noProof/>
        </w:rPr>
        <w:t>Dio III. Statuta EMF-a priloženog Prijedlogu uredbe (članci od 8. do 11.) odnosi se na odobreni kapital EMF-a i na kapacitet kreditiranja. Kapacitet kreditiranja i odobreni kapital EMF-a trebali bi biti potpuno jednaki kao što je i u okviru ESM-a. Zadržane su postojeće mogućnosti za izmjenu temeljnog kapitala i kapaciteta kreditiranja EMF-a.</w:t>
      </w:r>
    </w:p>
    <w:p>
      <w:pPr>
        <w:pBdr>
          <w:top w:val="nil"/>
          <w:left w:val="nil"/>
          <w:bottom w:val="nil"/>
          <w:right w:val="nil"/>
          <w:between w:val="nil"/>
          <w:bar w:val="nil"/>
        </w:pBdr>
        <w:spacing w:before="0" w:after="240"/>
        <w:rPr>
          <w:rFonts w:eastAsia="Arial Unicode MS"/>
          <w:noProof/>
        </w:rPr>
      </w:pPr>
      <w:r>
        <w:rPr>
          <w:noProof/>
        </w:rPr>
        <w:t xml:space="preserve">U dijelu IV. Statuta EMF-a priloženog ovom Prijedlogu uredbe (članci od 12. do 21.) predviđaju se načela potpore za stabilnost koju pruža EMF, postupak za dodjelu financijske potpore za stabilnost članicama EMF-a i povezani financijski instrumenti koji su na raspolaganju EMF-u. Načela i postupci jednaki su onima iz Ugovora o ESM-u, osim činjenice da će EMF sudjelovati u pregovaranju i potpisivanju memoranduma o razumijevanju u okviru provedbe postupka potpore za financijsku stabilnost.  Izričitim upućivanjem na članak 152. UFEU-a i Povelju o temeljnim pravima potvrđuje se da Uredba, u kontekstu pružanja potpore za financijsku stabilnost članicama EMF-a, ne zadire u pravo na kolektivno pregovaranje i kolektivne mjere. Uz instrumente već predviđene Ugovorom o ESM-u, u taj je Ugovor u pogledu pružanja potpore za financijsku stabilnost državama članicama europodručja uključen i instrument za izravnu dokapitalizaciju kreditnih institucija. Taj je instrument uspostavljen tek nakon stupanja na snagu Ugovora o ESM-u na temelju klauzule kojom se to omogućuje predviđene u članku 19. Ugovora. </w:t>
      </w:r>
    </w:p>
    <w:p>
      <w:pPr>
        <w:pBdr>
          <w:top w:val="nil"/>
          <w:left w:val="nil"/>
          <w:bottom w:val="nil"/>
          <w:right w:val="nil"/>
          <w:between w:val="nil"/>
          <w:bar w:val="nil"/>
        </w:pBdr>
        <w:spacing w:before="0" w:after="240"/>
        <w:rPr>
          <w:rFonts w:eastAsia="Arial Unicode MS"/>
          <w:noProof/>
        </w:rPr>
      </w:pPr>
      <w:r>
        <w:rPr>
          <w:noProof/>
        </w:rPr>
        <w:t>Dio V. (članci od 22. do 24.) Statuta priloženog ovom Prijedlogu uredbe odnosi se na osiguravanje zaštitnog mehanizma od strane EMF-a i država članica europodručja, a koje sudjeluju u bankarskoj uniji. Osiguravanje kreditnih linija i jamstava jedinstvenom sanacijskom odboru bila bi potpuno nova funkcija EMF-a u usporedbi s postojećim ciljevima i zadaćama ESM-a. Na ukupni iznos nepodmirenih obveza za zaštitni mehanizam jedinstvenog fonda za sanaciju primjenjuje se prag od 60 000 milijuna EUR. [Taj se prag može povećati.] Vijeće guvernera bi u dogovoru s državama članicama kojima valuta nije euro, a koje sudjeluju u bankarskoj uniji trebao utvrditi financijske uvjete takve potpore jedinstvenom sanacijskom odboru. Kako bi se osigurala brza dostupnost sredstava, generalni direktor ima ovlasti za donošenje odluke o povlačenju sredstava iz kreditne linije ili pružanju jamstava za obveze jedinstvenog sanacijskog odbora. Ako je potpora zatražena u okviru programa sanacije, jedinstveni sanacijski odbor može zatražiti takvu potporu prije donošenja programa sanacije.</w:t>
      </w:r>
    </w:p>
    <w:p>
      <w:pPr>
        <w:pBdr>
          <w:top w:val="nil"/>
          <w:left w:val="nil"/>
          <w:bottom w:val="nil"/>
          <w:right w:val="nil"/>
          <w:between w:val="nil"/>
          <w:bar w:val="nil"/>
        </w:pBdr>
        <w:spacing w:before="0" w:after="240"/>
        <w:rPr>
          <w:rFonts w:eastAsia="Arial Unicode MS"/>
          <w:noProof/>
        </w:rPr>
      </w:pPr>
      <w:r>
        <w:rPr>
          <w:noProof/>
        </w:rPr>
        <w:t xml:space="preserve">Dio VI. (članci od 25. do 28.) Statuta EMF-a priloženog ovom Prijedlogu uredbe odnosi se na financijsko upravljanje EMF-om. Te su odredne jednake odredbama Ugovora o ESM-u. </w:t>
      </w:r>
    </w:p>
    <w:p>
      <w:pPr>
        <w:pBdr>
          <w:top w:val="nil"/>
          <w:left w:val="nil"/>
          <w:bottom w:val="nil"/>
          <w:right w:val="nil"/>
          <w:between w:val="nil"/>
          <w:bar w:val="nil"/>
        </w:pBdr>
        <w:spacing w:before="0" w:after="240"/>
        <w:rPr>
          <w:rFonts w:eastAsia="Arial Unicode MS"/>
          <w:noProof/>
        </w:rPr>
      </w:pPr>
      <w:r>
        <w:rPr>
          <w:noProof/>
        </w:rPr>
        <w:t>Dio VII. (članci od 29. do 35.) Statuta EMF-a priloženog ovom Prijedlogu uredbe odnosi se na financijske odredbe o EMF-u. Ta su pravila jednaka pravilima Ugovora o ESM-u i podzakonske akte ESM-a. Ta se pravila odnose na proračun EMF-a i njegovo osnivanje, godišnje financijske izvještaje, financijske izvještaje i godišnje izvješće, unutarnje i vanjske revizije te odbor revizora.</w:t>
      </w:r>
    </w:p>
    <w:p>
      <w:pPr>
        <w:pBdr>
          <w:top w:val="nil"/>
          <w:left w:val="nil"/>
          <w:bottom w:val="nil"/>
          <w:right w:val="nil"/>
          <w:between w:val="nil"/>
          <w:bar w:val="nil"/>
        </w:pBdr>
        <w:spacing w:before="0" w:after="240"/>
        <w:rPr>
          <w:rFonts w:eastAsia="Arial Unicode MS"/>
          <w:noProof/>
        </w:rPr>
      </w:pPr>
      <w:r>
        <w:rPr>
          <w:noProof/>
        </w:rPr>
        <w:t xml:space="preserve">U dijelu VIII. (članci od 36. do 41.) Statuta EMF-a priloženog ovom Prijedlogu uredbe predviđa se niz odredbi koje se odnose na lokaciju EMF-a i mogućnost sporazuma o sjedištu. Nadalje, EMF uživa povlastice i imunitete utvrđene u Protokolu br. 7. Postojeći režim povlastica i imuniteta predviđen u Ugovoru o ESM-u ne može se zadržati zbog pravnih razloga. U dijelu VIII. predviđaju se i pravila o osoblju koja se primjenjuju na osoblje EMF-a. Pravila o povjerljivosti i razmjeni informacija trebala bi biti uključena. Takva pravila koja se razlikuju po prirodi mogu se pronaći i u podzakonskim aktima ESM-a. </w:t>
      </w:r>
    </w:p>
    <w:p>
      <w:pPr>
        <w:pBdr>
          <w:top w:val="nil"/>
          <w:left w:val="nil"/>
          <w:bottom w:val="nil"/>
          <w:right w:val="nil"/>
          <w:between w:val="nil"/>
          <w:bar w:val="nil"/>
        </w:pBdr>
        <w:spacing w:before="0" w:after="240"/>
        <w:rPr>
          <w:rFonts w:eastAsia="Arial Unicode MS"/>
          <w:noProof/>
        </w:rPr>
      </w:pPr>
      <w:r>
        <w:rPr>
          <w:noProof/>
        </w:rPr>
        <w:t xml:space="preserve">U dijelu IX. (članci od 42. do 44.) Statuta EMF-a priloženog ovom Prijedlogu uredbe predviđaju se prijelazni aranžmani u pogledu plaćanja doprinosa odobrenom kapitalu novih članica EMF-a. Ta odredba ista je kao odredba za članice ESM-a iz Ugovora o ESM-u, pri čemu se taj članak u ovoj Uredbi odnosi samo na nove članice EMF-a koje bi mu se pridružile kada uvedu euro. Pravilo o privremenoj korekciji ključa kapitala koje je predviđeno u Ugovoru o ESM-u također se neće mijenjati u okviru EMF-a. </w:t>
      </w:r>
    </w:p>
    <w:p>
      <w:pPr>
        <w:pBdr>
          <w:top w:val="nil"/>
          <w:left w:val="nil"/>
          <w:bottom w:val="nil"/>
          <w:right w:val="nil"/>
          <w:between w:val="nil"/>
          <w:bar w:val="nil"/>
        </w:pBdr>
        <w:spacing w:before="0" w:after="240"/>
        <w:rPr>
          <w:rFonts w:eastAsia="Arial Unicode MS"/>
          <w:noProof/>
        </w:rPr>
      </w:pPr>
      <w:r>
        <w:rPr>
          <w:noProof/>
        </w:rPr>
        <w:t xml:space="preserve">Dio X. (članci od 45. do 47.) Statuta EMF-a priloženog ovom Prijedlogu uredbe sadržava brojne odredbe o transparentnosti. Predviđena su i pravila o mjerama za suzbijanje prijevara, pristup dokumentima i jezični zahtjevi. </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2017/0333 (APP)</w:t>
      </w:r>
    </w:p>
    <w:p>
      <w:pPr>
        <w:pStyle w:val="Statut"/>
        <w:rPr>
          <w:noProof/>
        </w:rPr>
      </w:pPr>
      <w:r>
        <w:rPr>
          <w:noProof/>
        </w:rPr>
        <w:t>Prijedlog</w:t>
      </w:r>
    </w:p>
    <w:p>
      <w:pPr>
        <w:pStyle w:val="Typedudocument"/>
        <w:rPr>
          <w:noProof/>
        </w:rPr>
      </w:pPr>
      <w:r>
        <w:rPr>
          <w:noProof/>
        </w:rPr>
        <w:t>UREDBE VIJEĆA</w:t>
      </w:r>
    </w:p>
    <w:p>
      <w:pPr>
        <w:pStyle w:val="Titreobjet"/>
        <w:rPr>
          <w:noProof/>
        </w:rPr>
      </w:pPr>
      <w:r>
        <w:rPr>
          <w:noProof/>
        </w:rPr>
        <w:t>o osnivanju Europskog monetarnog fonda</w:t>
      </w:r>
    </w:p>
    <w:p>
      <w:pPr>
        <w:pStyle w:val="Institutionquiagit"/>
        <w:rPr>
          <w:noProof/>
          <w:szCs w:val="24"/>
        </w:rPr>
      </w:pPr>
      <w:r>
        <w:rPr>
          <w:noProof/>
        </w:rPr>
        <w:t>VIJEĆE EUROPSKE UNIJE,</w:t>
      </w:r>
    </w:p>
    <w:p>
      <w:pPr>
        <w:rPr>
          <w:noProof/>
          <w:szCs w:val="24"/>
        </w:rPr>
      </w:pPr>
      <w:r>
        <w:rPr>
          <w:noProof/>
        </w:rPr>
        <w:t>uzimajući u obzir Ugovor o funkcioniranju Europske unije, a posebno njegov članak 352.,</w:t>
      </w:r>
    </w:p>
    <w:p>
      <w:pPr>
        <w:rPr>
          <w:noProof/>
          <w:szCs w:val="24"/>
        </w:rPr>
      </w:pPr>
      <w:r>
        <w:rPr>
          <w:noProof/>
        </w:rPr>
        <w:t>uzimajući u obzir prijedlog Europske komisije,</w:t>
      </w:r>
    </w:p>
    <w:p>
      <w:pPr>
        <w:rPr>
          <w:noProof/>
          <w:szCs w:val="24"/>
        </w:rPr>
      </w:pPr>
      <w:r>
        <w:rPr>
          <w:noProof/>
        </w:rPr>
        <w:t>nakon prosljeđivanja nacrta zakonodavnog akta nacionalnim parlamentima,</w:t>
      </w:r>
    </w:p>
    <w:p>
      <w:pPr>
        <w:rPr>
          <w:noProof/>
          <w:szCs w:val="24"/>
        </w:rPr>
      </w:pPr>
      <w:r>
        <w:rPr>
          <w:noProof/>
        </w:rPr>
        <w:t>uzimajući u obzir mišljenje Europske središnje banke</w:t>
      </w:r>
      <w:r>
        <w:rPr>
          <w:rStyle w:val="FootnoteReference"/>
          <w:noProof/>
        </w:rPr>
        <w:footnoteReference w:id="22"/>
      </w:r>
      <w:r>
        <w:rPr>
          <w:noProof/>
        </w:rPr>
        <w:t xml:space="preserve">, </w:t>
      </w:r>
    </w:p>
    <w:p>
      <w:pPr>
        <w:rPr>
          <w:noProof/>
          <w:szCs w:val="24"/>
        </w:rPr>
      </w:pPr>
      <w:r>
        <w:rPr>
          <w:noProof/>
        </w:rPr>
        <w:t xml:space="preserve">uzimajući u obzir suglasnost Europskog parlamenta, </w:t>
      </w:r>
    </w:p>
    <w:p>
      <w:pPr>
        <w:rPr>
          <w:noProof/>
          <w:szCs w:val="24"/>
        </w:rPr>
      </w:pPr>
      <w:r>
        <w:rPr>
          <w:noProof/>
        </w:rPr>
        <w:t>u skladu s posebnim zakonodavnim postupkom,</w:t>
      </w:r>
    </w:p>
    <w:p>
      <w:pPr>
        <w:rPr>
          <w:noProof/>
          <w:szCs w:val="24"/>
        </w:rPr>
      </w:pPr>
      <w:r>
        <w:rPr>
          <w:noProof/>
        </w:rPr>
        <w:t>budući da:</w:t>
      </w:r>
    </w:p>
    <w:p>
      <w:pPr>
        <w:pStyle w:val="ManualConsidrant"/>
        <w:rPr>
          <w:noProof/>
        </w:rPr>
      </w:pPr>
      <w:r>
        <w:rPr>
          <w:noProof/>
        </w:rPr>
        <w:t>(1)</w:t>
      </w:r>
      <w:r>
        <w:rPr>
          <w:noProof/>
        </w:rPr>
        <w:tab/>
        <w:t xml:space="preserve">Financijska i gospodarska kriza bez presedana koja je pogodila svijet i Uniju 2007. ozbiljno je ugrozila financijsku stabilnost i nanijela štetu gospodarskom rastu te je uzrokovala veliko povećanje državnog deficita i zaduženosti više država članica, zbog čega je nekoliko njih zatražilo financijsku pomoć unutar i izvan okvira Unije. </w:t>
      </w:r>
    </w:p>
    <w:p>
      <w:pPr>
        <w:pStyle w:val="ManualConsidrant"/>
        <w:rPr>
          <w:noProof/>
        </w:rPr>
      </w:pPr>
      <w:r>
        <w:rPr>
          <w:noProof/>
        </w:rPr>
        <w:t>(2)</w:t>
      </w:r>
      <w:r>
        <w:rPr>
          <w:noProof/>
        </w:rPr>
        <w:tab/>
        <w:t xml:space="preserve">Ta je kriza pokazala da Unija nije imala dovoljno čvrste instrumente za brz i odlučan odgovor na prijetnje njezinoj financijskoj stabilnosti. Ti su instrumenti ključni za stabilnost europodručja i njegovih država članica, za njegove građane i druge gospodarske subjekte te su iznimno važni za jačanje povjerenja u jedinstvenu valutu. </w:t>
      </w:r>
    </w:p>
    <w:p>
      <w:pPr>
        <w:pStyle w:val="ManualConsidrant"/>
        <w:rPr>
          <w:noProof/>
        </w:rPr>
      </w:pPr>
      <w:r>
        <w:rPr>
          <w:noProof/>
        </w:rPr>
        <w:t>(3)</w:t>
      </w:r>
      <w:r>
        <w:rPr>
          <w:noProof/>
        </w:rPr>
        <w:tab/>
        <w:t xml:space="preserve">Kao odgovor na izvanrednu situaciju ozbiljnog pogoršanja uvjeta kreditiranja u više država članica, koje se nije moglo objasniti ekonomskim stanjem i koje je ugrožavalo financijsku stabilnost Unije, donesen je niz mjera, a neke su od njih izvan okvira Unije. </w:t>
      </w:r>
    </w:p>
    <w:p>
      <w:pPr>
        <w:pStyle w:val="ManualConsidrant"/>
        <w:rPr>
          <w:noProof/>
        </w:rPr>
      </w:pPr>
      <w:r>
        <w:rPr>
          <w:noProof/>
        </w:rPr>
        <w:t>(4)</w:t>
      </w:r>
      <w:r>
        <w:rPr>
          <w:noProof/>
        </w:rPr>
        <w:tab/>
        <w:t xml:space="preserve">Prvo je 2010. uspostavljen Mehanizam za europsku financijsku stabilnost („MEFS”) s pomoću kojeg je Unija mogla državama članicama pružati financijsku pomoć. Taj je mehanizam Uniji pomogao da koordinirano, brzo i aktivno riješi ozbiljne probleme u pojedinim državama članicama, ali s ograničenim financijskim kapacitetima i strogo na privremenoj osnovi. </w:t>
      </w:r>
    </w:p>
    <w:p>
      <w:pPr>
        <w:pStyle w:val="ManualConsidrant"/>
        <w:rPr>
          <w:noProof/>
        </w:rPr>
      </w:pPr>
      <w:r>
        <w:rPr>
          <w:noProof/>
        </w:rPr>
        <w:t>(5)</w:t>
      </w:r>
      <w:r>
        <w:rPr>
          <w:noProof/>
        </w:rPr>
        <w:tab/>
        <w:t>Zatim su 2010. države članice čija je valuta euro međusobno uspostavile privremeni Europski fond za financijsku stabilnost („EFSF”). Tim je fondom pružena financijska pomoć Irskoj, Portugalu i Grčkoj. Pomoć je financirana sredstvima Europskog fonda za financijsku stabilnost izdavanjem obveznica i drugih dužničkih instrumenata na tržištima kapitala. Njime se ne pruža daljnja financijska pomoć jer se ta zadaća trenutačno obavlja samo s pomoću Europskog stabilizacijskog mehanizma („ESM”).</w:t>
      </w:r>
    </w:p>
    <w:p>
      <w:pPr>
        <w:pStyle w:val="ManualConsidrant"/>
        <w:rPr>
          <w:noProof/>
        </w:rPr>
      </w:pPr>
      <w:r>
        <w:rPr>
          <w:noProof/>
        </w:rPr>
        <w:t>(6)</w:t>
      </w:r>
      <w:r>
        <w:rPr>
          <w:noProof/>
        </w:rPr>
        <w:tab/>
        <w:t>Nakon toga se 17. prosinca 2010. Europsko vijeće usuglasilo da države članice čija je valuta euro trebaju uspostaviti trajni stabilizacijski mehanizam kojim bi se zamijenio Europski fond za financijsku stabilnost radi mogućeg odobravanja nove financijske potpore.</w:t>
      </w:r>
    </w:p>
    <w:p>
      <w:pPr>
        <w:pStyle w:val="ManualConsidrant"/>
        <w:rPr>
          <w:noProof/>
        </w:rPr>
      </w:pPr>
      <w:r>
        <w:rPr>
          <w:noProof/>
        </w:rPr>
        <w:t>(7)</w:t>
      </w:r>
      <w:r>
        <w:rPr>
          <w:noProof/>
        </w:rPr>
        <w:tab/>
        <w:t>ESM je uspostavljen kao međunarodna financijska institucija Ugovorom o Europskom stabilizacijskom mehanizmu od 2. veljače 2012., koji je zaključen izvan okvira Unije. ESM je od Europskog fonda za financijsku stabilnost preuzeo zadaću pružanja financijske pomoći državama članicama čija je valuta euro i postao je operativan u listopadu 2012.</w:t>
      </w:r>
    </w:p>
    <w:p>
      <w:pPr>
        <w:pStyle w:val="ManualConsidrant"/>
        <w:rPr>
          <w:noProof/>
        </w:rPr>
      </w:pPr>
      <w:r>
        <w:rPr>
          <w:noProof/>
        </w:rPr>
        <w:t>(8)</w:t>
      </w:r>
      <w:r>
        <w:rPr>
          <w:noProof/>
        </w:rPr>
        <w:tab/>
        <w:t>S vremenom se pokazalo da je Europski stabilizacijski mehanizam ključan za održavanje financijske stabilnosti europodručja. On je pridonio stabilnosti tako što se u okviru njega osigurala dodatna financijska potpora državama članicama europodručja koje su imale poteškoće. Nakon što postane Europski monetarni fond, dodatno će se ojačati njegovi institucijski temelji. Njime će se uspostaviti nova sinergija unutar okvira EU-a, prvenstveno u pogledu transparentnosti, učinkovitosti korištenja financijskih sredstava EU-a i pravne revizije, čime će se pružiti bolja potpora državama članicama. Pridonijet će i poboljšanju daljnje suradnje s Komisijom i većoj odgovornosti prema Europskom parlamentu, no time se neće utjecati na odgovornost nacionalnih vlada prema svojim nacionalnim parlamentima i zadržat će se obveze iz postojećeg Europskog stabilizacijskog mehanizma.</w:t>
      </w:r>
    </w:p>
    <w:p>
      <w:pPr>
        <w:pStyle w:val="ManualConsidrant"/>
        <w:rPr>
          <w:noProof/>
        </w:rPr>
      </w:pPr>
      <w:r>
        <w:rPr>
          <w:noProof/>
        </w:rPr>
        <w:t>(9)</w:t>
      </w:r>
      <w:r>
        <w:rPr>
          <w:noProof/>
        </w:rPr>
        <w:tab/>
        <w:t xml:space="preserve">Uključivanjem Europskog stabilizacijskog mehanizma u okvir Unije uspostavom EMF-a pridonosi se i većoj transparentnosti i odgovornosti u ekonomskoj i monetarnoj uniji („EMU”). Na vrhuncu krize donesene su dalekosežne odluke za države članice čija je valuta euro i njihove građane. Uključivanje Europskog stabilizacijskog mehanizma u okvir Unije kako bi se zajamčio bolji dijalog, međusobno povjerenje i veća demokratska odgovornost i legitimnost u postupcima odlučivanja u Uniji opravdano je njegovom ključnom ulogom u osiguravanju financijske stabilnosti pod strogim uvjetima. EMF bi stoga trebao odgovarati Europskom parlamentu i Vijeću. </w:t>
      </w:r>
    </w:p>
    <w:p>
      <w:pPr>
        <w:pStyle w:val="ManualConsidrant"/>
        <w:rPr>
          <w:noProof/>
        </w:rPr>
      </w:pPr>
      <w:r>
        <w:rPr>
          <w:noProof/>
        </w:rPr>
        <w:t>(10)</w:t>
      </w:r>
      <w:r>
        <w:rPr>
          <w:noProof/>
        </w:rPr>
        <w:tab/>
        <w:t xml:space="preserve">Kako bi se povećala demokratska kontrola koju vrši Europski parlament, EMF bi trebao svake godine izvješćivati o obavljanju svojih zadaća. Parlament bi trebao biti ovlašten postavljati usmena i pisana pitanja te organizirati saslušanja. S obzirom na osjetljivu prirodu aktivnosti EMF-a i njihov učinak na financijska tržišta, Parlament bi trebao moći organizirati povjerljive usmene rasprave s generalnim direktorom EMF-a o napretku postignutom u vezi s postupkom pružanja ili provedbe potpore za financijsku stabilnost članici EMF-a te o pružanju financijske potpore jedinstvenom sanacijskom odboru. </w:t>
      </w:r>
    </w:p>
    <w:p>
      <w:pPr>
        <w:pStyle w:val="ManualConsidrant"/>
        <w:rPr>
          <w:noProof/>
        </w:rPr>
      </w:pPr>
      <w:r>
        <w:rPr>
          <w:noProof/>
        </w:rPr>
        <w:t>(11)</w:t>
      </w:r>
      <w:r>
        <w:rPr>
          <w:noProof/>
        </w:rPr>
        <w:tab/>
        <w:t xml:space="preserve">Radi transparentnosti i demokratske kontrole nacionalni bi parlamenti trebali imati prava na pristup informacijama o aktivnostima EMF-a i dijalog s EMF-om. Nacionalni parlamenti članica EMF-a trebali bi moći pozvati generalnog direktora da sudjeluje u raspravi o ostvarenom napretku u provedbi postupka potpore za financijsku stabilnost s obzirom na učinak takve mjere na predmetnu članicu EMF-a. Takva razmjena mišljenja može pridonijeti boljem razumijevanju između EMF-a i predmetne članice EMF-a. </w:t>
      </w:r>
    </w:p>
    <w:p>
      <w:pPr>
        <w:pStyle w:val="ManualConsidrant"/>
        <w:rPr>
          <w:noProof/>
        </w:rPr>
      </w:pPr>
      <w:r>
        <w:rPr>
          <w:noProof/>
        </w:rPr>
        <w:t>(12)</w:t>
      </w:r>
      <w:r>
        <w:rPr>
          <w:noProof/>
        </w:rPr>
        <w:tab/>
        <w:t>U UEU-u i UFEU-u nisu predviđene potrebne ovlasti, u obliku posebne pravne osnove, za osnivanje stalnog tijela Unije zaduženog za pružanje financijske potpore radi osiguravanja financijske stabilnosti europodručja i država članica čija valuta nije euro, ali koje sudjeluju u bankarskoj uniji.</w:t>
      </w:r>
    </w:p>
    <w:p>
      <w:pPr>
        <w:pStyle w:val="ManualConsidrant"/>
        <w:rPr>
          <w:noProof/>
        </w:rPr>
      </w:pPr>
      <w:r>
        <w:rPr>
          <w:noProof/>
        </w:rPr>
        <w:t>(13)</w:t>
      </w:r>
      <w:r>
        <w:rPr>
          <w:noProof/>
        </w:rPr>
        <w:tab/>
        <w:t>U nedostatku takve posebne pravne osnove Vijeću je dopušteno da uz suglasnost Europskog parlamenta osnuje EMF kao nužnu mjeru za ostvarivanje jednog od ciljeva utvrđenih u Ugovorima u smislu članka 352. UFEU-a.</w:t>
      </w:r>
    </w:p>
    <w:p>
      <w:pPr>
        <w:pStyle w:val="ManualConsidrant"/>
        <w:rPr>
          <w:noProof/>
        </w:rPr>
      </w:pPr>
      <w:r>
        <w:rPr>
          <w:noProof/>
        </w:rPr>
        <w:t>(14)</w:t>
      </w:r>
      <w:r>
        <w:rPr>
          <w:noProof/>
        </w:rPr>
        <w:tab/>
        <w:t>S obzirom na snažnu međusobnu povezanost država članica čija je valuta euro ozbiljni rizici za financijsku stabilnost tih država članica mogli bi ugroziti financijsku stabilnost europodručja u cjelini. Stoga bi EMF trebao podupirati financijsku stabilnost država članica čija je valuta euro ako je to neophodno za očuvanje financijske stabilnosti europodručja ili njegovih država članica.</w:t>
      </w:r>
    </w:p>
    <w:p>
      <w:pPr>
        <w:pStyle w:val="ManualConsidrant"/>
        <w:rPr>
          <w:noProof/>
        </w:rPr>
      </w:pPr>
      <w:r>
        <w:rPr>
          <w:noProof/>
        </w:rPr>
        <w:t>(15)</w:t>
      </w:r>
      <w:r>
        <w:rPr>
          <w:noProof/>
        </w:rPr>
        <w:tab/>
        <w:t>Djelovanje Unije stoga je nužno kako bi se ostvario cilj uspostave ekonomske i monetarne unije čija je valuta euro u skladu s člankom 3. stavkom 4. UEU-a i cilj osiguravanja održivog razvoja Europe koji se temelji na uravnoteženom gospodarskom rastu i stabilnosti cijena te visoko konkurentnom socijalnom tržišnom gospodarstvu, s ciljem ostvarenja pune zaposlenosti i društvenog napretka u skladu s člankom 3. stavkom 3. UEU-a. Točnije, cilj očuvanja financijske stabilnosti europodručja, država članica čija je valuta euro i država članica čija valuta nije euro ali koje sudjeluju u bankarskoj uniji jest ostvariti dublju, pravedniju i otporniju ekonomsku i monetarnu uniju.</w:t>
      </w:r>
    </w:p>
    <w:p>
      <w:pPr>
        <w:pStyle w:val="ManualConsidrant"/>
        <w:rPr>
          <w:noProof/>
        </w:rPr>
      </w:pPr>
      <w:r>
        <w:rPr>
          <w:noProof/>
        </w:rPr>
        <w:t>(16)</w:t>
      </w:r>
      <w:r>
        <w:rPr>
          <w:noProof/>
        </w:rPr>
        <w:tab/>
        <w:t>S obzirom na to da ciljeve ove Uredbe ne mogu dostatno ostvariti države članice pojedinačno, nego se zbog opsega djelovanja oni na bolji način mogu ostvariti na razini Unije, Unija može donijeti mjere u skladu s načelom supsidijarnosti utvrđenim u članku 5. UEU-a.</w:t>
      </w:r>
    </w:p>
    <w:p>
      <w:pPr>
        <w:pStyle w:val="ManualConsidrant"/>
        <w:rPr>
          <w:noProof/>
          <w:szCs w:val="24"/>
        </w:rPr>
      </w:pPr>
      <w:r>
        <w:rPr>
          <w:noProof/>
        </w:rPr>
        <w:t>(17)</w:t>
      </w:r>
      <w:r>
        <w:rPr>
          <w:noProof/>
        </w:rPr>
        <w:tab/>
        <w:t xml:space="preserve">EMF bi se u skladu s pravom Unije trebao osnovati kao tijelo Unije s pravnom osobnošću. </w:t>
      </w:r>
    </w:p>
    <w:p>
      <w:pPr>
        <w:pStyle w:val="ManualConsidrant"/>
        <w:rPr>
          <w:noProof/>
          <w:szCs w:val="24"/>
        </w:rPr>
      </w:pPr>
      <w:r>
        <w:rPr>
          <w:noProof/>
        </w:rPr>
        <w:t>(18)</w:t>
      </w:r>
      <w:r>
        <w:rPr>
          <w:noProof/>
        </w:rPr>
        <w:tab/>
        <w:t xml:space="preserve">Trebao bi biti uređen ovom Uredbom i Statutom EMF-a, koji je sastavni dio Uredbe. Statut EMF-a trebao bi sadržavati odgovarajuće odredbe o pravnom statusu, članstvu, ciljevima i zadaćama EMF-a, njegovoj organizaciji i internim postupcima odlučivanja, njegovom kapacitetu kreditiranja i njegovom kapitalu, pravilima kojima se uređuje pružanje potpore za stabilnost državama članicama čija je valuta euro i EMF-ove potpore jedinstvenom sanacijskom odboru, pravilima koja se odnose na financijske odredbe EMF-a i njegovo financijsko upravljanje, prijelaznim odredbama kojima se uređuje plaćanje početnog kapitala novih članica EMF-a, pravilima o privremenoj korekciji EMF-ova ključa za upis kapitala te nizu općih odredbi. </w:t>
      </w:r>
    </w:p>
    <w:p>
      <w:pPr>
        <w:pStyle w:val="ManualConsidrant"/>
        <w:rPr>
          <w:noProof/>
          <w:szCs w:val="24"/>
        </w:rPr>
      </w:pPr>
      <w:r>
        <w:rPr>
          <w:noProof/>
        </w:rPr>
        <w:t>(19)</w:t>
      </w:r>
      <w:r>
        <w:rPr>
          <w:noProof/>
        </w:rPr>
        <w:tab/>
        <w:t xml:space="preserve">Kako bi se osigurao neometan nastavak aktivnosti i potrebna pravna sigurnost, EMF bi trebao zamijeniti ESM i naslijediti njegov pravni položaj, uključujući u svim njegovim pravima i obvezama. </w:t>
      </w:r>
    </w:p>
    <w:p>
      <w:pPr>
        <w:pStyle w:val="ManualConsidrant"/>
        <w:rPr>
          <w:noProof/>
          <w:szCs w:val="24"/>
        </w:rPr>
      </w:pPr>
      <w:r>
        <w:rPr>
          <w:noProof/>
        </w:rPr>
        <w:t>(20)</w:t>
      </w:r>
      <w:r>
        <w:rPr>
          <w:noProof/>
        </w:rPr>
        <w:tab/>
        <w:t xml:space="preserve">Prijelazom ESM-a u EMF ne stvaraju se nikakve nove financijske obveze za države članice čija je valuta euro u pogledu njihovih već uplaćenih doprinosa odobrenom kapitalu EMF-a. </w:t>
      </w:r>
    </w:p>
    <w:p>
      <w:pPr>
        <w:pStyle w:val="ManualConsidrant"/>
        <w:rPr>
          <w:noProof/>
          <w:szCs w:val="24"/>
        </w:rPr>
      </w:pPr>
      <w:r>
        <w:rPr>
          <w:noProof/>
        </w:rPr>
        <w:t>(21)</w:t>
      </w:r>
      <w:r>
        <w:rPr>
          <w:noProof/>
        </w:rPr>
        <w:tab/>
        <w:t>S obzirom na pravnu prirodu ESM-a kao međunarodne financijske institucije koja se temelji na međunarodnom sporazumu između država članica čija je valuta euro, Vijeće guvernera bi kao najviše tijelo ESM-a koje odlučuje i predstavlja ugovorne stranke Ugovora o ESM-u trebalo dati svoj pristanak za taj prijelaz i prijenos upisanog kapitala. Prijelaz bi se trebao dovršiti stupanjem na snagu ove Uredbe i pristankom ESM-a, ovisno o tome što nastupi kasnije.</w:t>
      </w:r>
    </w:p>
    <w:p>
      <w:pPr>
        <w:pStyle w:val="ManualConsidrant"/>
        <w:rPr>
          <w:noProof/>
        </w:rPr>
      </w:pPr>
      <w:r>
        <w:rPr>
          <w:noProof/>
        </w:rPr>
        <w:t>(22)</w:t>
      </w:r>
      <w:r>
        <w:rPr>
          <w:noProof/>
        </w:rPr>
        <w:tab/>
        <w:t xml:space="preserve">Sve države članice čija je valuta euro i koje su trenutačno ugovorne stranke Ugovora o ESM-u trebale bi biti članice EMF-a u trenutku stupanja na snagu ove Uredbe. Kao posljedica uvođenja eura, država članica trebala bi postati članica EMF-a uz puna prava i obveze u skladu s onima postojećih članica EMF-a. </w:t>
      </w:r>
    </w:p>
    <w:p>
      <w:pPr>
        <w:pStyle w:val="ManualConsidrant"/>
        <w:rPr>
          <w:noProof/>
        </w:rPr>
      </w:pPr>
      <w:r>
        <w:rPr>
          <w:noProof/>
        </w:rPr>
        <w:t>(23)</w:t>
      </w:r>
      <w:r>
        <w:rPr>
          <w:noProof/>
        </w:rPr>
        <w:tab/>
        <w:t>Uvjet za ostvarivanje prava novih članica EMF-a na temelju ove Uredbe, uključujući glasačka prava, trebao bi biti upis njihova doprinosa odobrenom kapitalu.</w:t>
      </w:r>
    </w:p>
    <w:p>
      <w:pPr>
        <w:pStyle w:val="ManualConsidrant"/>
        <w:rPr>
          <w:noProof/>
        </w:rPr>
      </w:pPr>
      <w:r>
        <w:rPr>
          <w:noProof/>
        </w:rPr>
        <w:t>(24)</w:t>
      </w:r>
      <w:r>
        <w:rPr>
          <w:noProof/>
        </w:rPr>
        <w:tab/>
        <w:t>Trebalo bi utvrditi prijelazna pravila slična onima iz Ugovora o ESM-u o novim članicama EMF-a koje uvedu euro nakon stupanja na snagu ove Uredbe. Tim bi članicama trebalo omogućiti obročno uplaćivanje doprinosa kapitalu EMF-a. Novim članicama EMF-a čiji je BDP po stanovniku ispod 75 % BDP-a Unije po stanovniku u godini prije njihova ulaska u EMF trebalo bi omogućiti privremenu korekciju ključa za upis kapitala EMF-a. U tom bi se slučaju privremena korekcija trebala primjenjivati u razdoblju od dvanaest godina.</w:t>
      </w:r>
    </w:p>
    <w:p>
      <w:pPr>
        <w:pStyle w:val="ManualConsidrant"/>
        <w:rPr>
          <w:noProof/>
        </w:rPr>
      </w:pPr>
      <w:r>
        <w:rPr>
          <w:noProof/>
        </w:rPr>
        <w:t>(25)</w:t>
      </w:r>
      <w:r>
        <w:rPr>
          <w:noProof/>
        </w:rPr>
        <w:tab/>
        <w:t>Potpora za stabilnost koju pruža EMF trebala bi podlijegati strogim uvjetima politike. Ti bi uvjeti trebali biti prilagođeni odabranom instrumentu financijske pomoći.</w:t>
      </w:r>
    </w:p>
    <w:p>
      <w:pPr>
        <w:pStyle w:val="ManualConsidrant"/>
        <w:rPr>
          <w:noProof/>
        </w:rPr>
      </w:pPr>
      <w:r>
        <w:rPr>
          <w:noProof/>
        </w:rPr>
        <w:t>(26)</w:t>
      </w:r>
      <w:r>
        <w:rPr>
          <w:noProof/>
        </w:rPr>
        <w:tab/>
        <w:t>Uvjeti politike povezani s instrumentom financijske pomoći trebali bi biti utvrđeni u memorandumu o razumijevanju i u potpunosti usklađeni sa svim mjerama koordinacije ekonomske politike donesenima na temelju UFEU-a. U pregovorima o memorandumu o razumijevanju trebalo bi uzeti u obzir procjenu socijalnog učinka na kojoj bi se trebalo temeljiti praćenje i nadzor njegove provedbe.</w:t>
      </w:r>
    </w:p>
    <w:p>
      <w:pPr>
        <w:pStyle w:val="ManualConsidrant"/>
        <w:rPr>
          <w:noProof/>
        </w:rPr>
      </w:pPr>
      <w:r>
        <w:rPr>
          <w:noProof/>
        </w:rPr>
        <w:t>(27)</w:t>
      </w:r>
      <w:r>
        <w:rPr>
          <w:noProof/>
        </w:rPr>
        <w:tab/>
        <w:t>Jedinstveni nadzorni mehanizam uspostavljen Uredbom Vijeća (EU) br.1024/2013</w:t>
      </w:r>
      <w:r>
        <w:rPr>
          <w:rStyle w:val="FootnoteReference"/>
          <w:noProof/>
        </w:rPr>
        <w:footnoteReference w:id="23"/>
      </w:r>
      <w:r>
        <w:rPr>
          <w:noProof/>
        </w:rPr>
        <w:t xml:space="preserve"> i jedinstveni sanacijski mehanizam uspostavljen Uredbom br. 806/2014 Europskog parlamenta i Vijeća</w:t>
      </w:r>
      <w:r>
        <w:rPr>
          <w:rStyle w:val="FootnoteReference"/>
          <w:noProof/>
        </w:rPr>
        <w:footnoteReference w:id="24"/>
      </w:r>
      <w:r>
        <w:rPr>
          <w:noProof/>
        </w:rPr>
        <w:t xml:space="preserve"> osnovani su kao odgovor na krizu, kao koraci prema stvaranju bankarske unije, za države članice čija je valuta euro i države članice čija valuta nije euro ali su odlučile sudjelovati u jedinstvenom nadzornom mehanizmu („države članice sudionice”) u skladu s člankom 7. Uredbe (EU) br. 1024/2013, čime su podvrgnute nadzornim ovlastima Europske središnje banke i sanacijskim ovlastima jedinstvenog sanacijskog odbora u pogledu svojih kreditnih institucija.</w:t>
      </w:r>
    </w:p>
    <w:p>
      <w:pPr>
        <w:pStyle w:val="ManualConsidrant"/>
        <w:rPr>
          <w:noProof/>
        </w:rPr>
      </w:pPr>
      <w:r>
        <w:rPr>
          <w:noProof/>
        </w:rPr>
        <w:t>(28)</w:t>
      </w:r>
      <w:r>
        <w:rPr>
          <w:noProof/>
        </w:rPr>
        <w:tab/>
        <w:t>Osnivanje bankarske unije temelji se na postupcima nadzorne kontrole i sanacije na razini Unije. EMF bi stoga trebao s pomoću kreditnih linija ili jamstava pružiti financijsku potporu jedinstvenom sanacijskom odboru, središnjem sanacijskom tijelu koje je osnovano Uredbom br. 806/2014, za zadaće koje taj odbor obavlja ili će obavljati u vezi s kreditnim institucijama u bankarskoj uniji.</w:t>
      </w:r>
    </w:p>
    <w:p>
      <w:pPr>
        <w:pStyle w:val="ManualConsidrant"/>
        <w:rPr>
          <w:noProof/>
        </w:rPr>
      </w:pPr>
      <w:r>
        <w:rPr>
          <w:noProof/>
        </w:rPr>
        <w:t>(29)</w:t>
      </w:r>
      <w:r>
        <w:rPr>
          <w:noProof/>
        </w:rPr>
        <w:tab/>
        <w:t>U okviru osnivanja jedinstvenog sanacijskog mehanizma uspostavljen je jedinstveni fond za sanaciju. Financira se doprinosima banaka prikupljenima na nacionalnoj razini i udruženima na razini Unije. U skladu s člankom 74. Uredbe br. 806/2014 jedinstveni sanacijski odbor može za jedinstveni fond za sanaciju sklapati javne financijske aranžmane o dodatnim financijskim sredstvima koja će se upotrijebiti ako</w:t>
      </w:r>
      <w:r>
        <w:rPr>
          <w:i/>
          <w:noProof/>
        </w:rPr>
        <w:t xml:space="preserve"> ex ante</w:t>
      </w:r>
      <w:r>
        <w:rPr>
          <w:noProof/>
        </w:rPr>
        <w:t xml:space="preserve"> i </w:t>
      </w:r>
      <w:r>
        <w:rPr>
          <w:i/>
          <w:noProof/>
        </w:rPr>
        <w:t>ex post</w:t>
      </w:r>
      <w:r>
        <w:rPr>
          <w:noProof/>
        </w:rPr>
        <w:t xml:space="preserve"> doprinosi nisu dovoljni za pokrivanje obveza Fonda.</w:t>
      </w:r>
    </w:p>
    <w:p>
      <w:pPr>
        <w:pStyle w:val="ManualConsidrant"/>
        <w:rPr>
          <w:noProof/>
        </w:rPr>
      </w:pPr>
      <w:r>
        <w:rPr>
          <w:noProof/>
        </w:rPr>
        <w:t>(30)</w:t>
      </w:r>
      <w:r>
        <w:rPr>
          <w:noProof/>
        </w:rPr>
        <w:tab/>
        <w:t>EMF bi trebao raspolagati dostatnim financijskim sredstvima za učinkovito obavljanje svojih dužnosti. S obzirom na ograničena vlastita sredstva Unije članice EMF-a trebale bi osigurati potrebna sredstva u zamjenu za prava predviđena ovom Uredbom. To bi trebalo uzeti u obzir u odgovarajućim mehanizmima upravljanja i pravilima glasovanja kojima se članicama osigurava dostatan nadzor nad upotrebom sredstava koja uplaćuju.</w:t>
      </w:r>
    </w:p>
    <w:p>
      <w:pPr>
        <w:pStyle w:val="ManualConsidrant"/>
        <w:rPr>
          <w:noProof/>
        </w:rPr>
      </w:pPr>
      <w:r>
        <w:rPr>
          <w:noProof/>
        </w:rPr>
        <w:t>(31)</w:t>
      </w:r>
      <w:r>
        <w:rPr>
          <w:noProof/>
        </w:rPr>
        <w:tab/>
        <w:t>S obzirom na posebnu financijsku strukturu EMF-a glasačka prava svake članice EMF-a trebala bi odražavati težinu njihova pojedinačnog financijskog doprinosa EMF-u. Donošenje odluka u okviru upravljačkih tijela EMF-a trebalo bi se stoga odvijati u skladu s pravilima glasovanja koja se nadograđuju na već postojeća pravila u Ugovoru o ESM-u kako bi se u najvećoj mogućoj mjeri osigurao nastavak primjene postojeće prakse glasovanja.</w:t>
      </w:r>
    </w:p>
    <w:p>
      <w:pPr>
        <w:pStyle w:val="ManualConsidrant"/>
        <w:rPr>
          <w:noProof/>
        </w:rPr>
      </w:pPr>
      <w:r>
        <w:rPr>
          <w:noProof/>
        </w:rPr>
        <w:t>(32)</w:t>
      </w:r>
      <w:r>
        <w:rPr>
          <w:noProof/>
        </w:rPr>
        <w:tab/>
        <w:t>Ako države članice čija valuta nije euro sudjeluju u bankarskoj uniji, njihovi bi predstavnici trebali sudjelovati na sastancima Vijeća guvernera na svim raspravama o primjeni kreditnih linija ili jamstava za potporu jedinstvenom sanacijskom odboru.</w:t>
      </w:r>
    </w:p>
    <w:p>
      <w:pPr>
        <w:pStyle w:val="ManualConsidrant"/>
        <w:rPr>
          <w:noProof/>
        </w:rPr>
      </w:pPr>
      <w:r>
        <w:rPr>
          <w:noProof/>
        </w:rPr>
        <w:t>(33)</w:t>
      </w:r>
      <w:r>
        <w:rPr>
          <w:noProof/>
        </w:rPr>
        <w:tab/>
        <w:t xml:space="preserve">Vijeće guvernera i Upravno vijeće trebali bi moći osnivati stalne ili </w:t>
      </w:r>
      <w:r>
        <w:rPr>
          <w:i/>
          <w:noProof/>
        </w:rPr>
        <w:t>ad hoc</w:t>
      </w:r>
      <w:r>
        <w:rPr>
          <w:noProof/>
        </w:rPr>
        <w:t xml:space="preserve"> odbore ili pomoćna tijela ako smatraju da su potrebni ili primjereni radi savjetovanja ili drugog načina pružanja pomoći njima ili generalnom direktoru u obavljanju svojih dužnosti. Trebalo bi interno utvrditi pravila o njihovim zadaćama, sastavu i radu. Takvi odbori ili pomoćna tijela ne bi trebali imati ovlasti za donošenje odluka. </w:t>
      </w:r>
    </w:p>
    <w:p>
      <w:pPr>
        <w:pStyle w:val="ManualConsidrant"/>
        <w:rPr>
          <w:noProof/>
        </w:rPr>
      </w:pPr>
      <w:r>
        <w:rPr>
          <w:noProof/>
        </w:rPr>
        <w:t>(34)</w:t>
      </w:r>
      <w:r>
        <w:rPr>
          <w:noProof/>
        </w:rPr>
        <w:tab/>
        <w:t>Prema ustaljenoj sudskoj praksi odluke donesene u okviru EMF-a koje se odnose na ekonomsku politiku i koje uključuju visok stupanj diskrecijskog prava trebale bi se donositi samo uz odobrenje i u nadležnosti institucija Unije. U skladu s ovlastima sadržanima u Ugovorima u pogledu koordinacije ekonomskih politika država članica i s drugim aktima sekundarnog prava Unije ovlast za odobravanje takvih odluka trebalo bi dodijeliti Vijeću u skladu s člankom 291. UFEU-a.</w:t>
      </w:r>
    </w:p>
    <w:p>
      <w:pPr>
        <w:pStyle w:val="ManualConsidrant"/>
        <w:rPr>
          <w:noProof/>
        </w:rPr>
      </w:pPr>
      <w:r>
        <w:rPr>
          <w:noProof/>
        </w:rPr>
        <w:t>(35)</w:t>
      </w:r>
      <w:r>
        <w:rPr>
          <w:noProof/>
        </w:rPr>
        <w:tab/>
        <w:t>Kad je riječ o instrumentima za dodjelu potpore za stabilnost članicama EMF-a, ova je Uredba donesena u skladu s člankom 352. UFEU-a kao nužna mjera kojom se dopunjuju ovlasti utvrđene odredbama Ugovora specifičnima za države članice čija je valuta euro (članci od 136. do 138. UFEU-a). U skladu s tim odredbama, u glasovanju o mjerama Vijeća sudjeluju samo članovi Vijeća koji predstavljaju države članice čija je valuta euro. U pogledu tih instrumenata, ova se Uredba isključivo odnosi na upotrebu sredstava koja na raspolaganje stavljaju države članice čija je valuta euro isključivo u korist tih država članica kako bi se zajamčila stabilnost u europodručju. Stoga bi za odluke Vijeća kojima se odobravaju akti iz prethodne uvodne izjave trebalo suspendirati glasove država članica izvan europodručja te bi u glasovanju trebali sudjelovati samo članovi Vijeća koji predstavljaju države članice čija je valuta euro.</w:t>
      </w:r>
    </w:p>
    <w:p>
      <w:pPr>
        <w:pStyle w:val="ManualConsidrant"/>
        <w:rPr>
          <w:noProof/>
        </w:rPr>
      </w:pPr>
      <w:r>
        <w:rPr>
          <w:noProof/>
        </w:rPr>
        <w:t>(36)</w:t>
      </w:r>
      <w:r>
        <w:rPr>
          <w:noProof/>
        </w:rPr>
        <w:tab/>
        <w:t xml:space="preserve">Trebalo bi uspostaviti hitni postupak kako bi Vijeće moglo potvrditi ili uložiti prigovor na odluke upravljačkih tijela EMF-a ako je članicama EMF-a potrebna hitna potpora za financijsku stabilnost. U tom bi slučaju predsjednik Vijeća guvernera trebao moći zatražiti od Vijeća da potvrdi ili uloži prigovor na odluku u roku od 24 sata od prosljeđivanja odluke. Hitni postupak mogao bi se primijeniti za odobravanje financijskih uvjeta i sporazuma o instrumentu financijske pomoći radi potpore jedinstvenom sanacijskom odboru s pomoću kreditnih linija ili jamstava EMF-a. </w:t>
      </w:r>
    </w:p>
    <w:p>
      <w:pPr>
        <w:pStyle w:val="ManualConsidrant"/>
        <w:rPr>
          <w:noProof/>
        </w:rPr>
      </w:pPr>
      <w:r>
        <w:rPr>
          <w:noProof/>
        </w:rPr>
        <w:t>(37)</w:t>
      </w:r>
      <w:r>
        <w:rPr>
          <w:noProof/>
        </w:rPr>
        <w:tab/>
        <w:t xml:space="preserve">Vijeću guvernera trebalo bi dodijeliti ovlast donošenja Poslovnika za uređenje praktičnih aspekata EMF-ovih operacija. Taj bi Poslovnik trebao zamijeniti podzakonske akte i Poslovnik Vijeća guvernera i Upravnog vijeća ESM-a. </w:t>
      </w:r>
    </w:p>
    <w:p>
      <w:pPr>
        <w:pStyle w:val="ManualConsidrant"/>
        <w:rPr>
          <w:noProof/>
        </w:rPr>
      </w:pPr>
      <w:r>
        <w:rPr>
          <w:noProof/>
        </w:rPr>
        <w:t>(38)</w:t>
      </w:r>
      <w:r>
        <w:rPr>
          <w:noProof/>
        </w:rPr>
        <w:tab/>
        <w:t>EMF-ov kapacitet kreditiranja trebao bi iznositi najmanje 500 000 milijuna EUR. Taj iznos odražava aktualni kapacitet kreditiranja ESM-a. Vijeće guvernera trebalo bi moći povećati kapacitet kreditiranja ako smatra da je takva izmjena primjerena kako bi se EMF-u omogućilo da ostvari svoje ciljeve i povezane zadaće. Budući da takva odluka ima znatan financijski učinak na članice EMF-a, Vijeće guvernera trebalo bi je donijeti jednoglasno. U opravdanim iznimnim slučajevima Vijeće guvernera može i privremeno smanjiti kapacitet kreditiranja ako je to potrebno kako bi EMF mogao obavljati svoje funkcije.</w:t>
      </w:r>
    </w:p>
    <w:p>
      <w:pPr>
        <w:pStyle w:val="ManualConsidrant"/>
        <w:rPr>
          <w:noProof/>
        </w:rPr>
      </w:pPr>
      <w:r>
        <w:rPr>
          <w:noProof/>
        </w:rPr>
        <w:t>(39)</w:t>
      </w:r>
      <w:r>
        <w:rPr>
          <w:noProof/>
        </w:rPr>
        <w:tab/>
        <w:t>U početku bi početni odobreni kapital EMF-a trebao odražavati odobreni kapital ESM-a. Države članice čija je valuta euro trebale bi jedine uplaćivati u odobreni kapital EMF-a, koji bi trebao iznositi 704 798,7 milijuna EUR, te bi se taj iznos trebao podijeliti u jednake dijelove. Odgovornost pojedine članice EMF-a trebala bi biti ograničena na njezin udio u odobrenom kapitalu. Članice EMF-a ne bi trebale biti odgovorne za obveze EMF-a. Proračun Unije ne bi se smio teretiti rashodima ili gubicima EMF-a.</w:t>
      </w:r>
    </w:p>
    <w:p>
      <w:pPr>
        <w:pStyle w:val="ManualConsidrant"/>
        <w:rPr>
          <w:noProof/>
        </w:rPr>
      </w:pPr>
      <w:r>
        <w:rPr>
          <w:noProof/>
        </w:rPr>
        <w:t>(40)</w:t>
      </w:r>
      <w:r>
        <w:rPr>
          <w:noProof/>
        </w:rPr>
        <w:tab/>
        <w:t xml:space="preserve">Vijeće guvernera trebalo bi moći povećati iznos početnog odobrenog kapitala ako smatra da je takvo povećanje primjereno kako bi se EMF-u omogućilo da ostvari svoje ciljeve i povezane zadaće. Posljedični iznos kapitala i udjeli članica EMF-a trebali bi se objaviti u </w:t>
      </w:r>
      <w:r>
        <w:rPr>
          <w:i/>
          <w:noProof/>
        </w:rPr>
        <w:t>Službenom listu Europske unije</w:t>
      </w:r>
      <w:r>
        <w:rPr>
          <w:noProof/>
        </w:rPr>
        <w:t xml:space="preserve">. </w:t>
      </w:r>
    </w:p>
    <w:p>
      <w:pPr>
        <w:pStyle w:val="ManualConsidrant"/>
        <w:rPr>
          <w:noProof/>
        </w:rPr>
      </w:pPr>
      <w:r>
        <w:rPr>
          <w:noProof/>
        </w:rPr>
        <w:t>(41)</w:t>
      </w:r>
      <w:r>
        <w:rPr>
          <w:noProof/>
        </w:rPr>
        <w:tab/>
        <w:t>Kao u slučaju ESM-a, EMF bi trebao pružati potporu za stabilnost njegovim članicama ako je njihov redovan pristup tržišnom financiranju ograničen ili izložen riziku ograničenja pristupa.</w:t>
      </w:r>
    </w:p>
    <w:p>
      <w:pPr>
        <w:pStyle w:val="ManualConsidrant"/>
        <w:rPr>
          <w:noProof/>
        </w:rPr>
      </w:pPr>
      <w:r>
        <w:rPr>
          <w:noProof/>
        </w:rPr>
        <w:t>(42)</w:t>
      </w:r>
      <w:r>
        <w:rPr>
          <w:noProof/>
        </w:rPr>
        <w:tab/>
        <w:t xml:space="preserve">EMF bi trebao sudjelovati u pregovaranju o memorandumu o razumijevanju i njegovu potpisivanju zbog važnosti uvjeta koji se odnose na financijsku pomoć kako bi se osigurala otplata financijske pomoći EMF-a.  </w:t>
      </w:r>
    </w:p>
    <w:p>
      <w:pPr>
        <w:pStyle w:val="ManualConsidrant"/>
        <w:rPr>
          <w:noProof/>
        </w:rPr>
      </w:pPr>
      <w:r>
        <w:rPr>
          <w:noProof/>
        </w:rPr>
        <w:t>(43)</w:t>
      </w:r>
      <w:r>
        <w:rPr>
          <w:noProof/>
        </w:rPr>
        <w:tab/>
        <w:t xml:space="preserve">Raspon financijskih instrumenata trenutačno dostupnih ESM-u trebao bi biti dostupan i EMF-u, uključujući mogućnost pružanja preventivne financijske pomoći, financijske pomoći za dokapitalizaciju kreditnih institucija u članicama EMF-a, izravnu dokapitalizaciju kreditnih institucija u članicama EMF-a, osiguravanje zajmova i kupnju obveznica članica EMF-a na primarnim i sekundarnim tržištima. </w:t>
      </w:r>
    </w:p>
    <w:p>
      <w:pPr>
        <w:pStyle w:val="ManualConsidrant"/>
        <w:rPr>
          <w:noProof/>
        </w:rPr>
      </w:pPr>
      <w:r>
        <w:rPr>
          <w:noProof/>
        </w:rPr>
        <w:t>(44)</w:t>
      </w:r>
      <w:r>
        <w:rPr>
          <w:noProof/>
        </w:rPr>
        <w:tab/>
        <w:t xml:space="preserve">Cilj potpore za financijsku stabilnost u obliku preventivne financijske pomoći jest podupiranje dobrih politika i sprečavanje kriznih situacija, čime se članicama EMF-a omogućuje pristup pomoći EMF-a prije nego što se suoče s velikim poteškoćama u prikupljanju sredstava na tržištima kapitala. Cilj je preventivne financijske pomoći omogućiti članicama EMF-a koje još imaju stabilne gospodarske uvjete da održe kontinuirani pristup tržišnom financiranju jačanjem vjerodostojnosti njihovih makroekonomskih rezultata uz osiguravanje primjerene sigurnosne mreže. </w:t>
      </w:r>
    </w:p>
    <w:p>
      <w:pPr>
        <w:pStyle w:val="ManualConsidrant"/>
        <w:rPr>
          <w:noProof/>
        </w:rPr>
      </w:pPr>
      <w:r>
        <w:rPr>
          <w:noProof/>
        </w:rPr>
        <w:t>(45)</w:t>
      </w:r>
      <w:r>
        <w:rPr>
          <w:noProof/>
        </w:rPr>
        <w:tab/>
        <w:t>Financijska pomoć članicama EMF-a u obliku zajma za dokapitalizaciju kreditnih institucija članice korisnice trebala bi se primjenjivati u slučajevima kada su financijski ili gospodarski problemi povezani s financijskim sektorom, a ne izravno povezani s fiskalnim ili strukturnim politikama. Stoga bi se financijska pomoć radi dokapitalizacije financijskih institucija trebala članici EMF-a dodijeliti izvan okvira programa makroekonomske prilagodbe.</w:t>
      </w:r>
    </w:p>
    <w:p>
      <w:pPr>
        <w:pStyle w:val="ManualConsidrant"/>
        <w:rPr>
          <w:noProof/>
        </w:rPr>
      </w:pPr>
      <w:r>
        <w:rPr>
          <w:noProof/>
        </w:rPr>
        <w:t>(46)</w:t>
      </w:r>
      <w:r>
        <w:rPr>
          <w:noProof/>
        </w:rPr>
        <w:tab/>
        <w:t>Instrument izravne dokapitalizacije kreditnih institucija ima za cilj očuvanje financijske stabilnosti europodručja u cjelini i njegovih država članica te se primjenjuje u posebnim slučajevima kada se financijski sektor članice EMF-a suočava s ozbiljnim poteškoćama koje se ne mogu ukloniti bez znatnog ugrožavanja njezine fiskalne održivosti zbog ozbiljnog rizika od širenja zaraze iz financijskog sektora na državu. Taj se instrument eventualno može primijeniti i u slučajevima kada bi druga rješenja ugrozila kontinuirani pristup članice EMF-a tržištu. Budući da primjena instrumenta zajma EMF-a za dokapitalizaciju financijskih institucija nije moguća, takvom se financijskom pomoći nastoji ukloniti rizik od širenja zaraze iz financijskog sektora na državu time što se omogućuje izravna dokapitalizacija institucija, čime se smanjuju rizici začaranog kruga između krhkog financijskog sektora i pogoršanja kreditne sposobnosti države.</w:t>
      </w:r>
    </w:p>
    <w:p>
      <w:pPr>
        <w:pStyle w:val="ManualConsidrant"/>
        <w:rPr>
          <w:noProof/>
        </w:rPr>
      </w:pPr>
      <w:r>
        <w:rPr>
          <w:noProof/>
        </w:rPr>
        <w:t>(47)</w:t>
      </w:r>
      <w:r>
        <w:rPr>
          <w:noProof/>
        </w:rPr>
        <w:tab/>
        <w:t xml:space="preserve">Trebala bi postojati potpora za financijsku stabilnost u obliku zajmova kako bi se pomoglo članicama EMF-a koje imaju znatne potrebe za financiranjem, ali su u velikoj mjeri izgubile pristup tržišnom financiranju zbog toga što ne mogu naći zajmodavca ili zajmodavci osiguravaju financiranje isključivo po previsokim cijenama što bi negativno utjecalo na održivost javnih financija. </w:t>
      </w:r>
    </w:p>
    <w:p>
      <w:pPr>
        <w:pStyle w:val="ManualConsidrant"/>
        <w:rPr>
          <w:noProof/>
        </w:rPr>
      </w:pPr>
      <w:r>
        <w:rPr>
          <w:noProof/>
        </w:rPr>
        <w:t>(48)</w:t>
      </w:r>
      <w:r>
        <w:rPr>
          <w:noProof/>
        </w:rPr>
        <w:tab/>
        <w:t xml:space="preserve">Kao i kod zajmova ESM-a, budući zajmovi EMF-a i nepodmireni zajmovi ESM-a trebali bi imati status povlaštenog vjerovnika na sličan način kao zajmovi Međunarodnog monetarnog fonda („MMF”). No, trebali bi biti na drugom mjestu nakon zajmova MMF-a. Taj bi status trebao biti na snazi od datuma stupanja na snagu ove Uredbe. </w:t>
      </w:r>
    </w:p>
    <w:p>
      <w:pPr>
        <w:pStyle w:val="ManualConsidrant"/>
        <w:rPr>
          <w:noProof/>
        </w:rPr>
      </w:pPr>
      <w:r>
        <w:rPr>
          <w:noProof/>
        </w:rPr>
        <w:t>(49)</w:t>
      </w:r>
      <w:r>
        <w:rPr>
          <w:noProof/>
        </w:rPr>
        <w:tab/>
        <w:t>Kako bi članice EMF-a održale ili obnovile svoj pristup tržištu, EMF bi trebao moći sudjelovati u kupnji obveznica i drugih dužničkih vrijednosnih papira na primarnom tržištu koje članice EMF-a izdaju u okviru instrumenta za potporu na primarnom tržištu, uz redovne zajmove u okviru programa makroekonomske prilagodbe ili povlačenja sredstava u okviru instrumenta preventivne financijske pomoći.</w:t>
      </w:r>
    </w:p>
    <w:p>
      <w:pPr>
        <w:pStyle w:val="ManualConsidrant"/>
        <w:rPr>
          <w:noProof/>
        </w:rPr>
      </w:pPr>
      <w:r>
        <w:rPr>
          <w:noProof/>
        </w:rPr>
        <w:t>(50)</w:t>
      </w:r>
      <w:r>
        <w:rPr>
          <w:noProof/>
        </w:rPr>
        <w:tab/>
        <w:t>EMF-u bi trebalo omogućiti kupnju obveznica članica EMF-a na sekundarnom tržištu. Instrument za potporu na sekundarnom tržištu trebao bi biti usmjeren na podupiranje dobrog funkcioniranja tržišta državnog duga članica EMF-a u iznimnim okolnostima kada nedostatak likvidnosti tržišta ugrožava financijsku stabilnost te postoji rizik od povećanja državnih kamatnih stopa do neodrživih razina i stvaranja poteškoća u smislu refinanciranja za bankarski sustav predmetne članice EMF-a. Intervencijom EMF-a na sekundarnom tržištu trebalo bi omogućiti stvaranje tržišta kojim bi se osigurala određena likvidnost tržišta duga i ulagači potaknuli da i dalje sudjeluju u financiranju članica EMF-a.</w:t>
      </w:r>
    </w:p>
    <w:p>
      <w:pPr>
        <w:pStyle w:val="ManualConsidrant"/>
        <w:rPr>
          <w:noProof/>
        </w:rPr>
      </w:pPr>
      <w:r>
        <w:rPr>
          <w:noProof/>
        </w:rPr>
        <w:t>(51)</w:t>
      </w:r>
      <w:r>
        <w:rPr>
          <w:noProof/>
        </w:rPr>
        <w:tab/>
        <w:t>Države članice čija je valuta euro trebale bi podupirati istovrijedni status vjerovnika za EMF i druge države članice koje daju bilateralne zajmove u suradnji s EMF-om.</w:t>
      </w:r>
    </w:p>
    <w:p>
      <w:pPr>
        <w:pStyle w:val="ManualConsidrant"/>
        <w:rPr>
          <w:noProof/>
        </w:rPr>
      </w:pPr>
      <w:r>
        <w:rPr>
          <w:noProof/>
        </w:rPr>
        <w:t>(52)</w:t>
      </w:r>
      <w:r>
        <w:rPr>
          <w:noProof/>
        </w:rPr>
        <w:tab/>
        <w:t>Ova Uredba ne bi smjela utjecati na obveze dogovorene između ugovornih stranaka Ugovora o osnivanju ESM-a u skladu s člankom 12. stavkom 3. tog Ugovora, odnosno na to da klauzule o zajedničkom djelovanju moraju biti uključene u sve nove državne vrijednosne papire europodručja, s dospijećem duljim od jedne godine, na način kojim se osigurava da je njihov pravni učinak identičan.</w:t>
      </w:r>
    </w:p>
    <w:p>
      <w:pPr>
        <w:pStyle w:val="ManualConsidrant"/>
        <w:rPr>
          <w:noProof/>
        </w:rPr>
      </w:pPr>
      <w:r>
        <w:rPr>
          <w:noProof/>
        </w:rPr>
        <w:t>(53)</w:t>
      </w:r>
      <w:r>
        <w:rPr>
          <w:noProof/>
        </w:rPr>
        <w:tab/>
        <w:t xml:space="preserve">Potpora jedinstvenom sanacijskom odboru s pomoću kreditnih linija ili jamstava trebala bi biti dostupna kada iznosi prikupljeni u skladu s člankom 70. Uredbe (EU) br. 806/2014 nisu dostatni za pokrivanje gubitaka, troškova ili drugih izdataka nastalih upotrebom sredstava iz jedinstvenog fonda za sanaciju za sanacijske mjere i kada izvanredni </w:t>
      </w:r>
      <w:r>
        <w:rPr>
          <w:i/>
          <w:noProof/>
        </w:rPr>
        <w:t>ex post</w:t>
      </w:r>
      <w:r>
        <w:rPr>
          <w:noProof/>
        </w:rPr>
        <w:t xml:space="preserve"> doprinosi navedeni u članku 71. Uredbe (EU) br. 806/2014 nisu odmah dostupni. </w:t>
      </w:r>
    </w:p>
    <w:p>
      <w:pPr>
        <w:pStyle w:val="ManualConsidrant"/>
        <w:rPr>
          <w:noProof/>
        </w:rPr>
      </w:pPr>
      <w:r>
        <w:rPr>
          <w:noProof/>
        </w:rPr>
        <w:t>(54)</w:t>
      </w:r>
      <w:r>
        <w:rPr>
          <w:noProof/>
        </w:rPr>
        <w:tab/>
        <w:t>Kako bi se osiguralo primjereno jednako postupanje u okviru bankarske unije, države članice sudionice čija valuta nije euro trebale bi odobriti jedinstvenom sanacijskom odboru, usporedno s EMF-om, kreditne linije ili jamstva pod jednakim uvjetima kao i EMF.</w:t>
      </w:r>
    </w:p>
    <w:p>
      <w:pPr>
        <w:pStyle w:val="ManualConsidrant"/>
        <w:rPr>
          <w:noProof/>
        </w:rPr>
      </w:pPr>
      <w:r>
        <w:rPr>
          <w:noProof/>
        </w:rPr>
        <w:t>(55)</w:t>
      </w:r>
      <w:r>
        <w:rPr>
          <w:noProof/>
        </w:rPr>
        <w:tab/>
        <w:t>Druge države članice čija valuta nije euro trebale bi odobriti kreditne linije ili jamstva prilikom obavješćivanja drugih država članica, Komisije, Europske središnje banke (ESB) i Europskog nadzornog tijela za bankarstvo o zahtjevu za uspostavu bliske suradnje s ESB-om u vezi s obavljanjem zadaća koje su mu dodijeljene na temelju Uredbe Vijeća (EU) br. 1024/2013, podložno donošenju odluke ESB-a.</w:t>
      </w:r>
    </w:p>
    <w:p>
      <w:pPr>
        <w:pStyle w:val="ManualConsidrant"/>
        <w:rPr>
          <w:noProof/>
        </w:rPr>
      </w:pPr>
      <w:r>
        <w:rPr>
          <w:noProof/>
        </w:rPr>
        <w:t>(56)</w:t>
      </w:r>
      <w:r>
        <w:rPr>
          <w:noProof/>
        </w:rPr>
        <w:tab/>
        <w:t xml:space="preserve">Od 1. siječnja 2024. sredstva jedinstvenog fonda za sanaciju bit će u potpunosti objedinjena. Uredbom (EU) br. 806/2014 propisuje se da od tog datuma banke u svim državama članicama koje sudjeluju u bankarskoj uniji moraju doprinositi jedinstvenom fondu za sanaciju i plaćati izvanredne </w:t>
      </w:r>
      <w:r>
        <w:rPr>
          <w:i/>
          <w:noProof/>
        </w:rPr>
        <w:t>ex post</w:t>
      </w:r>
      <w:r>
        <w:rPr>
          <w:noProof/>
        </w:rPr>
        <w:t xml:space="preserve"> doprinose za otplatu zajmova trećih strana, u skladu s ključem utvrđenim na temelju njihove veličine i profila rizičnosti. Budući da bi se potporom jedinstvenom sanacijskom odboru trebala dopuniti sredstva jedinstvenog fonda za sanaciju, isti ključ koji se primjenjuje na razinu država članica čija valuta nije euro a koje sudjeluju u bankarskoj uniji i EMF-u trebao bi biti osnova za utvrđivanje njihova sudjelovanja u potpori.</w:t>
      </w:r>
    </w:p>
    <w:p>
      <w:pPr>
        <w:pStyle w:val="ManualConsidrant"/>
        <w:rPr>
          <w:noProof/>
        </w:rPr>
      </w:pPr>
      <w:r>
        <w:rPr>
          <w:noProof/>
        </w:rPr>
        <w:t>(57)</w:t>
      </w:r>
      <w:r>
        <w:rPr>
          <w:noProof/>
        </w:rPr>
        <w:tab/>
        <w:t>Vijeće guvernera trebalo bi donijeti primjenjive financijske uvjete za uspostavu zaštitnog mehanizma EMF-a. Kako bi se osiguralo njihovo odgovarajuće sudjelovanje, EMF i države članice sudionice čija valuta nije euro trebale bi se usuglasiti o financijskim uvjetima kreditnih linija ili jamstava koje se odobravaju  jedinstvenom sanacijskom odboru te ukupnog primjenjivog praga, koji bi se trebali proporcionalno izmijeniti kada se država članica čija valuta nije euro pridruži bankarskoj uniji.</w:t>
      </w:r>
    </w:p>
    <w:p>
      <w:pPr>
        <w:pStyle w:val="ManualConsidrant"/>
        <w:rPr>
          <w:noProof/>
        </w:rPr>
      </w:pPr>
      <w:r>
        <w:rPr>
          <w:noProof/>
        </w:rPr>
        <w:t>(58)</w:t>
      </w:r>
      <w:r>
        <w:rPr>
          <w:noProof/>
        </w:rPr>
        <w:tab/>
        <w:t>Generalni direktor trebao bi imati ovlasti za odlučivanje o povlačenju sredstava iz kreditne linije ili odobrenju jamstava za obveze jedinstvenog sanacijskog odbora u roku od 12 sati nakon primitka zahtjeva tog odbora.</w:t>
      </w:r>
    </w:p>
    <w:p>
      <w:pPr>
        <w:pStyle w:val="ManualConsidrant"/>
        <w:rPr>
          <w:noProof/>
        </w:rPr>
      </w:pPr>
      <w:r>
        <w:rPr>
          <w:noProof/>
        </w:rPr>
        <w:t>(59)</w:t>
      </w:r>
      <w:r>
        <w:rPr>
          <w:noProof/>
        </w:rPr>
        <w:tab/>
        <w:t>Kako bi se osigurala trenutačna dostupnost dodatnih financijskih sredstava jedinstvenom fondu za sanaciju, jedinstveni sanacijski odbor trebao bi moći podnijeti zahtjev za potporu prije donošenja posebnog sanacijskog programa. To bi trebalo učiniti u suradnji s Komisijom, u skladu s postupkom iz članka 18. Uredbe (EU) br. 806/2014. Kad je riječ o odlukama o sanacijskim programima, odluka generalnog direktora trebala bi proizvoditi učinke tek nakon što sanacijski program stupi na snagu u skladu s člankom 18. te uredbe. Redoslijedom obrade zahtjeva i donošenja odluke ne bi se smio prekoračiti postojeći vremenski okvir za sanacijski postupak kako je utvrđen u članku 18. Uredbe (EU) br. 806/2014.</w:t>
      </w:r>
    </w:p>
    <w:p>
      <w:pPr>
        <w:pStyle w:val="ManualConsidrant"/>
        <w:rPr>
          <w:noProof/>
        </w:rPr>
      </w:pPr>
      <w:r>
        <w:rPr>
          <w:noProof/>
        </w:rPr>
        <w:t>(60)</w:t>
      </w:r>
      <w:r>
        <w:rPr>
          <w:noProof/>
        </w:rPr>
        <w:tab/>
        <w:t xml:space="preserve">Odluka generalnog direktora o isplati sredstava ili odobravanju jamstava trebala bi ovisiti samo o tome obavlja li jedinstveni sanacijski odbor svoje aktivnosti u skladu s Uredbom (EU) br. 806/2014, uključujući primjenjiva </w:t>
      </w:r>
      <w:r>
        <w:rPr>
          <w:i/>
          <w:noProof/>
        </w:rPr>
        <w:t>bail-in</w:t>
      </w:r>
      <w:r>
        <w:rPr>
          <w:noProof/>
        </w:rPr>
        <w:t xml:space="preserve"> pravila. Ne bi se trebali primjenjivati dodatni uvjeti.</w:t>
      </w:r>
    </w:p>
    <w:p>
      <w:pPr>
        <w:pStyle w:val="ManualConsidrant"/>
        <w:rPr>
          <w:noProof/>
          <w:szCs w:val="24"/>
        </w:rPr>
      </w:pPr>
      <w:r>
        <w:rPr>
          <w:noProof/>
        </w:rPr>
        <w:t>(61)</w:t>
      </w:r>
      <w:r>
        <w:rPr>
          <w:noProof/>
        </w:rPr>
        <w:tab/>
        <w:t xml:space="preserve">Kako bi se osigurao trajni kapacitet EMF-a za pružanje financijske potpore svojim članicama kad je to potrebno, iznos dostupan za potrebe potpore jedinstvenom sanacijskom odboru ne bi smio prijeći prag od 60 000 milijuna EUR. Međutim, EMF bi trebao moći fleksibilno odgovoriti na nepredviđene potrebe za financiranjem koje proizlaze iz sanacijskih postupaka. Stoga bi Vijeće guvernera trebalo imati ovlasti povećati prag na odgovarajući način. </w:t>
      </w:r>
    </w:p>
    <w:p>
      <w:pPr>
        <w:pStyle w:val="ManualConsidrant"/>
        <w:rPr>
          <w:noProof/>
        </w:rPr>
      </w:pPr>
      <w:r>
        <w:rPr>
          <w:noProof/>
        </w:rPr>
        <w:t>(62)</w:t>
      </w:r>
      <w:r>
        <w:rPr>
          <w:noProof/>
        </w:rPr>
        <w:tab/>
        <w:t xml:space="preserve">Jedinstveni sanacijski odbor bi iz vlastitih sredstava trebao vratiti svaku financijsku potporu koju mu je pružio EMF ili države članice sudionice čija valuta nije euro, uključujući doprinose sektora. </w:t>
      </w:r>
    </w:p>
    <w:p>
      <w:pPr>
        <w:pStyle w:val="ManualConsidrant"/>
        <w:rPr>
          <w:noProof/>
        </w:rPr>
      </w:pPr>
      <w:r>
        <w:rPr>
          <w:noProof/>
        </w:rPr>
        <w:t>(63)</w:t>
      </w:r>
      <w:r>
        <w:rPr>
          <w:noProof/>
        </w:rPr>
        <w:tab/>
        <w:t xml:space="preserve">Trebalo bi utvrditi odgovarajuća pravila o proračunu EMF-a te unutarnje i vanjske revizije njegovih godišnjih financijskih izvještaja. EMF-ove financijske izvještaje i godišnje financijske izvještaje trebali bi revidirati i potvrditi neovisni vanjski revizori jer je EMF subjekt na financijskim tržištima. Osim toga, trebao bi postojati neovisan Odbor revizora koji bi trebao pregledavati i revidirati financijske izvještaje EMF-a te osigurati zakonitost, učinkovitost i pravilno upravljanje rizicima tog fonda. Osim toga, taj bi odbor trebao pratiti i preispitivati postupke unutarnjih i vanjskih revizija u EMF-u. </w:t>
      </w:r>
    </w:p>
    <w:p>
      <w:pPr>
        <w:pStyle w:val="ManualConsidrant"/>
        <w:rPr>
          <w:noProof/>
        </w:rPr>
      </w:pPr>
      <w:r>
        <w:rPr>
          <w:noProof/>
        </w:rPr>
        <w:t>(64)</w:t>
      </w:r>
      <w:r>
        <w:rPr>
          <w:noProof/>
        </w:rPr>
        <w:tab/>
        <w:t>Ovlasti neovisnih vanjskih revizora i Odbora revizora ne dovode u pitanje ovlasti Europskog revizorskog suda u skladu s člankom 287. UFEU-a.</w:t>
      </w:r>
    </w:p>
    <w:p>
      <w:pPr>
        <w:pStyle w:val="ManualConsidrant"/>
        <w:rPr>
          <w:noProof/>
        </w:rPr>
      </w:pPr>
      <w:r>
        <w:rPr>
          <w:noProof/>
        </w:rPr>
        <w:t>(65)</w:t>
      </w:r>
      <w:r>
        <w:rPr>
          <w:noProof/>
        </w:rPr>
        <w:tab/>
        <w:t xml:space="preserve">Na EMF bi se trebao primjenjivati Protokol br.7. o povlasticama i imunitetima Europske unije, koji je priložen UEU-u i UFEU-u. Predsjednik Vijeća guvernera, a posebno guverneri, zamjenici guvernera, direktori i zamjenici direktora trebali bi kao predstavnici članica EMF-a uživati povlastice i imunitete koji se odobravaju na temelju članka 10. tog Protokola. </w:t>
      </w:r>
    </w:p>
    <w:p>
      <w:pPr>
        <w:pStyle w:val="ManualConsidrant"/>
        <w:rPr>
          <w:noProof/>
        </w:rPr>
      </w:pPr>
      <w:r>
        <w:rPr>
          <w:noProof/>
        </w:rPr>
        <w:t>(66)</w:t>
      </w:r>
      <w:r>
        <w:rPr>
          <w:noProof/>
        </w:rPr>
        <w:tab/>
        <w:t xml:space="preserve">Kako bi se EMF-u omogućilo obavljanje zadaća koje trenutačno obavlja ESM te novih zadaća, trebalo bi utvrditi prijelazne mjere, osobito u vezi s generalnim direktorom, Upravnim odborom i osobljem koje je trenutačno zaposleno na temelju ugovora s ESM-om. One bi se trebale odnositi i na državljane trećih zemalja koji su trenutačno zaposleni u ESM-u. Postojeći ugovorni aranžmani trebali bi se nastaviti primjenjivati na osoblje koje je zaposleno u ESM-u prije stupanja na snagu ove Uredbe. Na osoblje koje se zaposli u EMF-u nakon stupanja na snagu ove Uredbe primjenjivat će se Pravilnik o osoblju, Uvjeti zaposlenja ostalih službenika i pravila primjene. </w:t>
      </w:r>
    </w:p>
    <w:p>
      <w:pPr>
        <w:pStyle w:val="ManualConsidrant"/>
        <w:rPr>
          <w:noProof/>
        </w:rPr>
      </w:pPr>
      <w:r>
        <w:rPr>
          <w:noProof/>
        </w:rPr>
        <w:t>(67)</w:t>
      </w:r>
      <w:r>
        <w:rPr>
          <w:noProof/>
        </w:rPr>
        <w:tab/>
        <w:t xml:space="preserve">Kako bi se očuvala povjerljivost rada EMF-a, članovi njegovih upravljačkih tijela i njegovo osoblje, uključujući osoblje razmijenjeno s članicama EMF-a ili koje je članica EMF-a uputila na rad u cilju provedbe zadaća EMF-a trebali bi podlijegati zahtjevima čuvanja profesionalne tajne, čak i nakon prestanka njihovih dužnosti. Stoga bi trebalo utvrditi kodeks ponašanja. </w:t>
      </w:r>
    </w:p>
    <w:p>
      <w:pPr>
        <w:pStyle w:val="ManualConsidrant"/>
        <w:rPr>
          <w:noProof/>
        </w:rPr>
      </w:pPr>
      <w:r>
        <w:rPr>
          <w:noProof/>
        </w:rPr>
        <w:t>(68)</w:t>
      </w:r>
      <w:r>
        <w:rPr>
          <w:noProof/>
        </w:rPr>
        <w:tab/>
        <w:t>Obveza povjerljivosti trebala bi se primjenjivati i na promatrače koji su pozvani da sudjeluju na sastancima Vijeća guvernera te na sudionike na takvim sastancima iz država članica sudionica čija valuta nije euro. U svrhu obavljanja zadaća koje su mu dodijeljene ovom Uredbom EMF bi trebao biti ovlašten, uz određene uvjete, za razmjenu informacija sa svojim članicama, drugim tijelima Unije te određenim nacionalnim tijelima.</w:t>
      </w:r>
    </w:p>
    <w:p>
      <w:pPr>
        <w:pStyle w:val="ManualConsidrant"/>
        <w:rPr>
          <w:noProof/>
        </w:rPr>
      </w:pPr>
      <w:r>
        <w:rPr>
          <w:noProof/>
        </w:rPr>
        <w:t>(69)</w:t>
      </w:r>
      <w:r>
        <w:rPr>
          <w:noProof/>
        </w:rPr>
        <w:tab/>
        <w:t xml:space="preserve">U svrhu ostvarivanja svojih ciljeva EMF bi trebao surađivati s institucijama Unije, drugim tijelima, uredima i agencijama Unije te s trećim državama koje pružaju financijsku pomoć članici EMF-a. EMF bi trebao imati pravo i na suradnju s međunarodnim organizacijama ili subjektima koji imaju posebne odgovornosti u područjima povezanima s aktivnostima EMF-a.  To su, među ostalim, MMF i središnje banke. </w:t>
      </w:r>
    </w:p>
    <w:p>
      <w:pPr>
        <w:pStyle w:val="ManualConsidrant"/>
        <w:rPr>
          <w:noProof/>
        </w:rPr>
      </w:pPr>
      <w:r>
        <w:rPr>
          <w:noProof/>
        </w:rPr>
        <w:t>(70)</w:t>
      </w:r>
      <w:r>
        <w:rPr>
          <w:noProof/>
        </w:rPr>
        <w:tab/>
        <w:t>Na EMF bi se trebala primjenjivati pravila Unije o javnom pristupu dokumentima. Pri procjeni razloga za odbijanje pristupa dokumentu kako je utvrđeno u članku 4. Uredbe (EZ) br. 1049/2001 Europskog parlamenta i Vijeća</w:t>
      </w:r>
      <w:r>
        <w:rPr>
          <w:rStyle w:val="FootnoteReference"/>
          <w:noProof/>
        </w:rPr>
        <w:footnoteReference w:id="25"/>
      </w:r>
      <w:r>
        <w:rPr>
          <w:noProof/>
        </w:rPr>
        <w:t>, EMF bi primjereno trebao uzeti u obzir potrebu da se zaštiti povjerljivost postupaka Vijeća guvernera, Upravnog vijeća, svih njihovih odbora, Upravnog odbora i Odbora revizora, povjerljivost internih financija EMF-a i stabilnosti financijskog sustava u europodručju, članica EMF-a ili država članica sudionica kako je definirano u članku 2. Uredbe Vijeća (EU) br. 1024/2013 te međunarodnih, financijskih, monetarnih ili ekonomskih odnosa.</w:t>
      </w:r>
    </w:p>
    <w:p>
      <w:pPr>
        <w:pStyle w:val="ManualConsidrant"/>
        <w:rPr>
          <w:noProof/>
          <w:szCs w:val="24"/>
        </w:rPr>
      </w:pPr>
      <w:r>
        <w:rPr>
          <w:noProof/>
        </w:rPr>
        <w:t>(71)</w:t>
      </w:r>
      <w:r>
        <w:rPr>
          <w:noProof/>
        </w:rPr>
        <w:tab/>
        <w:t>EMF-u bi se u budućnosti mogli dodijeliti novi financijski instrumenti, primjerice za podupiranje političkih inicijativa koje se odnose na uspostavu funkcije stabilizacije. Svrha funkcije stabilizacije jest ublažiti učinke znatnih asimetričnih šokova. Njome bi se u tom smislu brzo i automatski aktivirala protuciklička sredstva, podložno unaprijed definiranim kriterijima prihvatljivosti. EMF bi mogao poduprijeti uvođenje takve funkcije organiziranjem i stavljanjem na raspolaganje svih potrebnih tržišnih financijskih sredstava povezanih s pokretanjem funkcije.</w:t>
      </w:r>
    </w:p>
    <w:p>
      <w:pPr>
        <w:pStyle w:val="ManualConsidrant"/>
        <w:rPr>
          <w:noProof/>
        </w:rPr>
      </w:pPr>
      <w:r>
        <w:rPr>
          <w:noProof/>
        </w:rPr>
        <w:t>(72)</w:t>
      </w:r>
      <w:r>
        <w:rPr>
          <w:noProof/>
        </w:rPr>
        <w:tab/>
        <w:t>Mogući oblik takve potpore EMF-a funkciji stabilizacije bio bi da EMF prilikom njezina aktiviranja odobri zajmove članici EMF-a korisnici. Zajmovi EMF-a mogli bi se dati bez uvjetovanja, dok bi aktivacija same funkcije stabilizacije ovisila o ispunjivanju prethodno definiranih kriterija prihvatljivosti,</w:t>
      </w:r>
    </w:p>
    <w:p>
      <w:pPr>
        <w:rPr>
          <w:noProof/>
        </w:rPr>
      </w:pPr>
    </w:p>
    <w:p>
      <w:pPr>
        <w:pStyle w:val="Formuledadoption"/>
        <w:rPr>
          <w:noProof/>
          <w:szCs w:val="24"/>
        </w:rPr>
      </w:pPr>
      <w:r>
        <w:rPr>
          <w:noProof/>
        </w:rPr>
        <w:t>DONIJELO JE OVU UREDBU:</w:t>
      </w:r>
    </w:p>
    <w:p>
      <w:pPr>
        <w:pStyle w:val="Titrearticle"/>
        <w:rPr>
          <w:i w:val="0"/>
          <w:noProof/>
          <w:szCs w:val="24"/>
        </w:rPr>
      </w:pPr>
      <w:r>
        <w:rPr>
          <w:i w:val="0"/>
          <w:noProof/>
        </w:rPr>
        <w:t xml:space="preserve">DIO I. </w:t>
      </w:r>
    </w:p>
    <w:p>
      <w:pPr>
        <w:pStyle w:val="Titrearticle"/>
        <w:spacing w:before="0"/>
        <w:rPr>
          <w:b/>
          <w:i w:val="0"/>
          <w:noProof/>
          <w:szCs w:val="24"/>
        </w:rPr>
      </w:pPr>
      <w:r>
        <w:rPr>
          <w:b/>
          <w:i w:val="0"/>
          <w:noProof/>
        </w:rPr>
        <w:t>EUROPSKI MONETARNI FOND</w:t>
      </w:r>
    </w:p>
    <w:p>
      <w:pPr>
        <w:pStyle w:val="Titrearticle"/>
        <w:rPr>
          <w:noProof/>
          <w:szCs w:val="24"/>
        </w:rPr>
      </w:pPr>
      <w:r>
        <w:rPr>
          <w:noProof/>
        </w:rPr>
        <w:t>Članak 1.</w:t>
      </w:r>
    </w:p>
    <w:p>
      <w:pPr>
        <w:jc w:val="center"/>
        <w:rPr>
          <w:noProof/>
          <w:szCs w:val="24"/>
        </w:rPr>
      </w:pPr>
      <w:r>
        <w:rPr>
          <w:noProof/>
        </w:rPr>
        <w:t>Osnivanje</w:t>
      </w:r>
    </w:p>
    <w:p>
      <w:pPr>
        <w:rPr>
          <w:noProof/>
          <w:szCs w:val="24"/>
        </w:rPr>
      </w:pPr>
      <w:r>
        <w:rPr>
          <w:noProof/>
        </w:rPr>
        <w:t xml:space="preserve">1. Ovom se Uredbom osniva Europski monetarni fond („EMF”). </w:t>
      </w:r>
    </w:p>
    <w:p>
      <w:pPr>
        <w:rPr>
          <w:noProof/>
          <w:szCs w:val="24"/>
        </w:rPr>
      </w:pPr>
      <w:r>
        <w:rPr>
          <w:noProof/>
        </w:rPr>
        <w:t xml:space="preserve">2. Statut EMF-a utvrđen je u Prilogu ovoj Uredbi i njezin je sastavni dio. </w:t>
      </w:r>
    </w:p>
    <w:p>
      <w:pPr>
        <w:jc w:val="center"/>
        <w:rPr>
          <w:i/>
          <w:noProof/>
          <w:szCs w:val="24"/>
        </w:rPr>
      </w:pPr>
      <w:r>
        <w:rPr>
          <w:i/>
          <w:noProof/>
        </w:rPr>
        <w:t>Članak 2.</w:t>
      </w:r>
    </w:p>
    <w:p>
      <w:pPr>
        <w:pStyle w:val="Default"/>
        <w:jc w:val="center"/>
        <w:rPr>
          <w:noProof/>
        </w:rPr>
      </w:pPr>
      <w:r>
        <w:rPr>
          <w:noProof/>
        </w:rPr>
        <w:t>Slijednik i zamjena Europskog stabilizacijskog mehanizma</w:t>
      </w:r>
    </w:p>
    <w:p>
      <w:pPr>
        <w:pStyle w:val="Default"/>
        <w:jc w:val="both"/>
        <w:rPr>
          <w:noProof/>
        </w:rPr>
      </w:pPr>
    </w:p>
    <w:p>
      <w:pPr>
        <w:pStyle w:val="Default"/>
        <w:jc w:val="both"/>
        <w:rPr>
          <w:noProof/>
        </w:rPr>
      </w:pPr>
      <w:r>
        <w:rPr>
          <w:noProof/>
        </w:rPr>
        <w:t>1. EMF je slijednik i zamjena za Europski stabilizacijski mehanizam („ESM”), uključujući njegov pravni položaj uz sva pripadajuća prava i obveze. Taj se postupak dovršava stupanjem na snagu ove Uredbe ili pristankom ESM-a, ovisno o tome što nastupi kasnije.</w:t>
      </w:r>
    </w:p>
    <w:p>
      <w:pPr>
        <w:pStyle w:val="Default"/>
        <w:jc w:val="both"/>
        <w:rPr>
          <w:noProof/>
        </w:rPr>
      </w:pPr>
      <w:r>
        <w:rPr>
          <w:noProof/>
        </w:rPr>
        <w:t>2. Sva postojeća imenovanja i mandati u ESM-u zadržavaju se u okviru EMF-a do kraja preostalog razdoblja njihova mandata.</w:t>
      </w:r>
    </w:p>
    <w:p>
      <w:pPr>
        <w:pStyle w:val="Titrearticle"/>
        <w:rPr>
          <w:i w:val="0"/>
          <w:noProof/>
          <w:szCs w:val="24"/>
        </w:rPr>
      </w:pPr>
      <w:r>
        <w:rPr>
          <w:i w:val="0"/>
          <w:noProof/>
        </w:rPr>
        <w:t xml:space="preserve">DIO II. </w:t>
      </w:r>
    </w:p>
    <w:p>
      <w:pPr>
        <w:jc w:val="center"/>
        <w:rPr>
          <w:b/>
          <w:noProof/>
        </w:rPr>
      </w:pPr>
      <w:r>
        <w:rPr>
          <w:b/>
          <w:noProof/>
        </w:rPr>
        <w:t>ULOGA I ODGOVORNOST VIJEĆA</w:t>
      </w:r>
    </w:p>
    <w:p>
      <w:pPr>
        <w:jc w:val="center"/>
        <w:rPr>
          <w:b/>
          <w:noProof/>
        </w:rPr>
      </w:pPr>
    </w:p>
    <w:p>
      <w:pPr>
        <w:jc w:val="center"/>
        <w:rPr>
          <w:noProof/>
        </w:rPr>
      </w:pPr>
      <w:r>
        <w:rPr>
          <w:noProof/>
        </w:rPr>
        <w:t xml:space="preserve">Glava I. </w:t>
      </w:r>
    </w:p>
    <w:p>
      <w:pPr>
        <w:jc w:val="center"/>
        <w:rPr>
          <w:noProof/>
        </w:rPr>
      </w:pPr>
      <w:r>
        <w:rPr>
          <w:noProof/>
        </w:rPr>
        <w:t>Uloga Vijeća</w:t>
      </w:r>
    </w:p>
    <w:p>
      <w:pPr>
        <w:pStyle w:val="Titrearticle"/>
        <w:rPr>
          <w:noProof/>
          <w:szCs w:val="24"/>
        </w:rPr>
      </w:pPr>
      <w:r>
        <w:rPr>
          <w:noProof/>
        </w:rPr>
        <w:t>Članak 3.</w:t>
      </w:r>
    </w:p>
    <w:p>
      <w:pPr>
        <w:jc w:val="center"/>
        <w:rPr>
          <w:noProof/>
          <w:color w:val="000000"/>
          <w:szCs w:val="24"/>
        </w:rPr>
      </w:pPr>
      <w:r>
        <w:rPr>
          <w:noProof/>
          <w:color w:val="000000"/>
        </w:rPr>
        <w:t>Uloga Vijeća</w:t>
      </w:r>
    </w:p>
    <w:p>
      <w:pPr>
        <w:rPr>
          <w:noProof/>
          <w:color w:val="000000"/>
          <w:szCs w:val="24"/>
        </w:rPr>
      </w:pPr>
      <w:r>
        <w:rPr>
          <w:noProof/>
          <w:color w:val="000000"/>
        </w:rPr>
        <w:t>1. Odluke koje donosi Vijeće guvernera u skladu s člankom 8. stavkom 6., člankom 9. stavkom 1., člankom 10., člankom 11. stavcima 4., 5. i 6., člankom 13. stavkom 2., člankom 13. stavkom 4., člankom 14. stavcima 1. i 2., člankom 15. stavcima 1. i 2., člankom 19. stavkom 1., člankom 19. stavkom 4., člankom 16. stavcima 1. i 2., člankom 17. stavcima 1. i 2., člankom 18. stavkom 1.</w:t>
      </w:r>
      <w:r>
        <w:rPr>
          <w:rStyle w:val="CommentReference"/>
          <w:noProof/>
          <w:sz w:val="24"/>
        </w:rPr>
        <w:t>, člankom 18. stavkom 3., člankom</w:t>
      </w:r>
      <w:r>
        <w:rPr>
          <w:noProof/>
          <w:color w:val="000000"/>
        </w:rPr>
        <w:t xml:space="preserve"> 22. stavcima 4. i 5., i člankom 23. stavkom 1. Statuta EMF-a, odluke koje donosi Vijeće guvernera o sporazumima o instrumentu financijske pomoći u skladu s člankom 13. stavkom 3. Statuta EMF-a i odluke koje donosi Upravno vijeće u skladu s člankom 9. stavkom 2., člankom 14. stavkom 4., člankom 15. stavkom 4., člankom 19. stavkom 5., člankom 16. stavkom 4., člankom 17. stavkom 4., člankom 18. stavkom 5. i člankom 23. stavkom 3. Statuta EMF-a dostavljaju se Vijeću odmah nakon njihova donošenja, zajedno s obrazloženjima. Odluke mogu stupiti na snagu samo ako ih odobri Vijeće. </w:t>
      </w:r>
    </w:p>
    <w:p>
      <w:pPr>
        <w:rPr>
          <w:noProof/>
          <w:color w:val="000000"/>
          <w:szCs w:val="24"/>
        </w:rPr>
      </w:pPr>
      <w:r>
        <w:rPr>
          <w:noProof/>
          <w:color w:val="000000"/>
        </w:rPr>
        <w:t>2. A</w:t>
      </w:r>
      <w:r>
        <w:rPr>
          <w:noProof/>
        </w:rPr>
        <w:t xml:space="preserve">ko okolnosti zahtijevaju hitnu potporu za stabilnost članici EMF-a u skladu s člankom 16., odluke se mogu donijeti hitnim postupkom. U tom slučaju odluka koju donese Vijeće guvernera ili Upravno vijeće dostavlja se Vijeću odmah nakon njezina donošenja, zajedno s obrazloženjem. Na zahtjev predsjednika Vijeće raspravlja o odluci u roku od 24 sata od njezine dostave. Vijeće može uložiti prigovor na odluku. U slučaju prigovora Vijeće može sâmo donijeti drugu odluku o tom pitanju ili vratiti predmet Vijeću guvernera na ponovno odlučivanje. </w:t>
      </w:r>
    </w:p>
    <w:p>
      <w:pPr>
        <w:rPr>
          <w:rFonts w:eastAsia="Calibri"/>
          <w:noProof/>
          <w:szCs w:val="24"/>
        </w:rPr>
      </w:pPr>
      <w:r>
        <w:rPr>
          <w:noProof/>
        </w:rPr>
        <w:t xml:space="preserve">Vijeće guvernera može također primijeniti hitni postupak za donošenje odluke u skladu člankom 22. stavcima 4. i 5. i člankom 23. stavkom 1. </w:t>
      </w:r>
    </w:p>
    <w:p>
      <w:pPr>
        <w:rPr>
          <w:noProof/>
          <w:color w:val="000000"/>
          <w:szCs w:val="24"/>
        </w:rPr>
      </w:pPr>
      <w:r>
        <w:rPr>
          <w:noProof/>
          <w:color w:val="000000"/>
        </w:rPr>
        <w:t>3. Vijeće je dužno navesti razloge za izvršavanje svojih ovlasti iz stavka 1. ako ne odobri odluku ili za izvršavanje svojih ovlasti iz stavka 2. ako uloži prigovor na odluku. U svakoj novoj odluci Vijeća guvernera ili Upravnog vijeća u vezi s istim predmetom moraju se poštovati razlozi Vijeća.</w:t>
      </w:r>
    </w:p>
    <w:p>
      <w:pPr>
        <w:rPr>
          <w:noProof/>
          <w:color w:val="000000"/>
          <w:szCs w:val="24"/>
        </w:rPr>
      </w:pPr>
      <w:r>
        <w:rPr>
          <w:noProof/>
          <w:color w:val="000000"/>
        </w:rPr>
        <w:t>4. Kada Vijeće djeluje u skladu sa stavcima 1. ili 2. i uz iznimku odluka donesenih na temelju članaka od 22. do 23.</w:t>
      </w:r>
      <w:r>
        <w:rPr>
          <w:i/>
          <w:noProof/>
          <w:color w:val="000000"/>
        </w:rPr>
        <w:t xml:space="preserve"> </w:t>
      </w:r>
      <w:r>
        <w:rPr>
          <w:noProof/>
          <w:color w:val="000000"/>
        </w:rPr>
        <w:t xml:space="preserve">ovog Statuta, glasovi članova Vijeća koji predstavljaju države članice čija valuta nije euro suspendiraju se. Kvalificirana većina određuje se u skladu s člankom 238. stavkom 3. UFEU-a. Predsjednik Vijeća guvernera može sudjelovati na sastancima Vijeća. </w:t>
      </w:r>
    </w:p>
    <w:p>
      <w:pPr>
        <w:rPr>
          <w:noProof/>
          <w:color w:val="000000"/>
          <w:szCs w:val="24"/>
        </w:rPr>
      </w:pPr>
    </w:p>
    <w:p>
      <w:pPr>
        <w:jc w:val="center"/>
        <w:rPr>
          <w:i/>
          <w:noProof/>
          <w:color w:val="000000"/>
          <w:szCs w:val="24"/>
        </w:rPr>
      </w:pPr>
      <w:r>
        <w:rPr>
          <w:i/>
          <w:noProof/>
          <w:color w:val="000000"/>
        </w:rPr>
        <w:t>Članak 4.</w:t>
      </w:r>
    </w:p>
    <w:p>
      <w:pPr>
        <w:jc w:val="center"/>
        <w:rPr>
          <w:noProof/>
          <w:color w:val="000000"/>
          <w:szCs w:val="24"/>
        </w:rPr>
      </w:pPr>
      <w:r>
        <w:rPr>
          <w:noProof/>
          <w:color w:val="000000"/>
        </w:rPr>
        <w:t>Objava</w:t>
      </w:r>
    </w:p>
    <w:p>
      <w:pPr>
        <w:rPr>
          <w:noProof/>
          <w:szCs w:val="24"/>
        </w:rPr>
      </w:pPr>
      <w:r>
        <w:rPr>
          <w:noProof/>
        </w:rPr>
        <w:t xml:space="preserve">Odluke koje donese Vijeće guvernera i Vijeće odobri u skladu s člankom 3. stavkom 1. objavljuju se u </w:t>
      </w:r>
      <w:r>
        <w:rPr>
          <w:i/>
          <w:noProof/>
        </w:rPr>
        <w:t>Službenom listu Europske unije</w:t>
      </w:r>
      <w:r>
        <w:rPr>
          <w:noProof/>
        </w:rPr>
        <w:t>.</w:t>
      </w:r>
    </w:p>
    <w:p>
      <w:pPr>
        <w:rPr>
          <w:noProof/>
          <w:color w:val="000000"/>
          <w:szCs w:val="24"/>
        </w:rPr>
      </w:pPr>
    </w:p>
    <w:p>
      <w:pPr>
        <w:jc w:val="center"/>
        <w:rPr>
          <w:noProof/>
          <w:color w:val="000000"/>
          <w:szCs w:val="24"/>
        </w:rPr>
      </w:pPr>
      <w:r>
        <w:rPr>
          <w:noProof/>
          <w:color w:val="000000"/>
        </w:rPr>
        <w:t>Glava II.</w:t>
      </w:r>
    </w:p>
    <w:p>
      <w:pPr>
        <w:jc w:val="center"/>
        <w:rPr>
          <w:noProof/>
          <w:color w:val="000000"/>
          <w:szCs w:val="24"/>
        </w:rPr>
      </w:pPr>
      <w:r>
        <w:rPr>
          <w:noProof/>
          <w:color w:val="000000"/>
        </w:rPr>
        <w:t xml:space="preserve">Odgovornost </w:t>
      </w:r>
    </w:p>
    <w:p>
      <w:pPr>
        <w:jc w:val="center"/>
        <w:rPr>
          <w:noProof/>
          <w:color w:val="000000"/>
          <w:szCs w:val="24"/>
        </w:rPr>
      </w:pPr>
    </w:p>
    <w:p>
      <w:pPr>
        <w:jc w:val="center"/>
        <w:rPr>
          <w:i/>
          <w:noProof/>
          <w:color w:val="000000"/>
          <w:szCs w:val="24"/>
        </w:rPr>
      </w:pPr>
      <w:r>
        <w:rPr>
          <w:i/>
          <w:noProof/>
          <w:color w:val="000000"/>
        </w:rPr>
        <w:t>Članak 5.</w:t>
      </w:r>
    </w:p>
    <w:p>
      <w:pPr>
        <w:jc w:val="center"/>
        <w:rPr>
          <w:noProof/>
          <w:color w:val="000000"/>
          <w:szCs w:val="24"/>
        </w:rPr>
      </w:pPr>
      <w:r>
        <w:rPr>
          <w:noProof/>
          <w:color w:val="000000"/>
        </w:rPr>
        <w:t>Odgovornost prema Europskom parlamentu i Vijeću</w:t>
      </w:r>
    </w:p>
    <w:p>
      <w:pPr>
        <w:rPr>
          <w:noProof/>
          <w:color w:val="000000"/>
          <w:szCs w:val="24"/>
        </w:rPr>
      </w:pPr>
      <w:r>
        <w:rPr>
          <w:noProof/>
          <w:color w:val="000000"/>
        </w:rPr>
        <w:t xml:space="preserve">1. EMF odgovara Europskom parlamentu i Vijeću za obavljanje svojih zadaća. </w:t>
      </w:r>
    </w:p>
    <w:p>
      <w:pPr>
        <w:rPr>
          <w:noProof/>
          <w:color w:val="000000"/>
          <w:szCs w:val="24"/>
        </w:rPr>
      </w:pPr>
      <w:r>
        <w:rPr>
          <w:noProof/>
          <w:color w:val="000000"/>
        </w:rPr>
        <w:t xml:space="preserve">2. EMF podnosi Europskom parlamentu, Vijeću i Komisiji godišnje izvješće o obavljanju svojih zadaća, zajedno sa svojim godišnjim financijskim izvještajem i financijskim izvještajem. Generalni direktor te dokumente podnosi Europskom parlamentu i Vijeću, koji o tome mogu održati opću raspravu. </w:t>
      </w:r>
    </w:p>
    <w:p>
      <w:pPr>
        <w:rPr>
          <w:noProof/>
          <w:color w:val="000000"/>
          <w:szCs w:val="24"/>
        </w:rPr>
      </w:pPr>
      <w:r>
        <w:rPr>
          <w:noProof/>
          <w:color w:val="000000"/>
        </w:rPr>
        <w:t>3. Generalni direktor može na zahtjev Europskog parlamenta ili na vlastitu inicijativu biti saslušan pred nadležnim odborima Europskog parlamenta o obavljanju EMF-ovih zadaća.</w:t>
      </w:r>
    </w:p>
    <w:p>
      <w:pPr>
        <w:rPr>
          <w:noProof/>
          <w:color w:val="000000"/>
          <w:szCs w:val="24"/>
        </w:rPr>
      </w:pPr>
      <w:r>
        <w:rPr>
          <w:noProof/>
          <w:color w:val="000000"/>
        </w:rPr>
        <w:t xml:space="preserve">4. EMF usmeno ili pismeno odgovara na pitanja Europskog parlamenta ili Vijeća u skladu s vlastitim postupcima. </w:t>
      </w:r>
    </w:p>
    <w:p>
      <w:pPr>
        <w:rPr>
          <w:noProof/>
          <w:color w:val="000000"/>
          <w:szCs w:val="24"/>
        </w:rPr>
      </w:pPr>
      <w:r>
        <w:rPr>
          <w:noProof/>
          <w:color w:val="000000"/>
        </w:rPr>
        <w:t>5. Generalni direktor na zahtjev održava povjerljive usmene rasprave iza zatvorenih vrata s predsjednikom i potpredsjednicima nadležnih odbora Europskog parlamenta u vezi s njegovim zadaćama, uključujući procjenu socijalnog učinka, provedbu potpore za financijsku stabilnost i odobravanje kreditnih linija ili jamstava za potporu jedinstvenom sanacijskom odboru. Europski parlament i EMF sklapaju sporazum o detaljnim aranžmanima za organiziranje takvih rasprava u cilju osiguravanja potpune povjerljivosti.</w:t>
      </w:r>
    </w:p>
    <w:p>
      <w:pPr>
        <w:rPr>
          <w:noProof/>
          <w:color w:val="000000"/>
          <w:szCs w:val="24"/>
        </w:rPr>
      </w:pPr>
    </w:p>
    <w:p>
      <w:pPr>
        <w:jc w:val="center"/>
        <w:rPr>
          <w:i/>
          <w:noProof/>
          <w:color w:val="000000"/>
          <w:szCs w:val="24"/>
        </w:rPr>
      </w:pPr>
      <w:r>
        <w:rPr>
          <w:i/>
          <w:noProof/>
          <w:color w:val="000000"/>
        </w:rPr>
        <w:t>Članak 6.</w:t>
      </w:r>
    </w:p>
    <w:p>
      <w:pPr>
        <w:jc w:val="center"/>
        <w:rPr>
          <w:i/>
          <w:noProof/>
          <w:color w:val="000000"/>
          <w:szCs w:val="24"/>
        </w:rPr>
      </w:pPr>
      <w:r>
        <w:rPr>
          <w:noProof/>
        </w:rPr>
        <w:t>Odgovornost prema nacionalnim parlamentima</w:t>
      </w:r>
    </w:p>
    <w:p>
      <w:pPr>
        <w:rPr>
          <w:noProof/>
          <w:szCs w:val="24"/>
        </w:rPr>
      </w:pPr>
      <w:r>
        <w:rPr>
          <w:noProof/>
        </w:rPr>
        <w:t>1. Pri podnošenju izvješća iz članka 5. stavka 2. EMF ga istodobno dostavlja izravno nacionalnim parlamentima članica EMF-a i država članica sudionica, kako su definirane u članku 2. Uredbe (EU) br. 1024/2013. Nacionalni parlamenti mogu uputiti EMF-u svoja obrazložena zapažanja o tom izvješću.</w:t>
      </w:r>
    </w:p>
    <w:p>
      <w:pPr>
        <w:rPr>
          <w:noProof/>
          <w:szCs w:val="24"/>
        </w:rPr>
      </w:pPr>
      <w:r>
        <w:rPr>
          <w:noProof/>
        </w:rPr>
        <w:t>2. Nacionalni parlamenti država članica iz stavka 1. mogu od EMF-a zatražiti da odgovori u pisanom obliku na sva zapažanja ili pitanja koja su mu uputili u vezi s njegovim zadaćama.</w:t>
      </w:r>
    </w:p>
    <w:p>
      <w:pPr>
        <w:rPr>
          <w:noProof/>
          <w:szCs w:val="24"/>
        </w:rPr>
      </w:pPr>
      <w:r>
        <w:rPr>
          <w:noProof/>
        </w:rPr>
        <w:t xml:space="preserve">3. Nacionalni parlament članice EMF-a može pozvati generalnog direktora da sudjeluje u razmjeni stajališta u vezi s ostvarenim napretkom u provedbi potpore za financijsku stabilnost. </w:t>
      </w:r>
    </w:p>
    <w:p>
      <w:pPr>
        <w:rPr>
          <w:noProof/>
        </w:rPr>
      </w:pPr>
    </w:p>
    <w:p>
      <w:pPr>
        <w:jc w:val="center"/>
        <w:rPr>
          <w:noProof/>
        </w:rPr>
      </w:pPr>
      <w:r>
        <w:rPr>
          <w:noProof/>
        </w:rPr>
        <w:t>DIO III.</w:t>
      </w:r>
    </w:p>
    <w:p>
      <w:pPr>
        <w:jc w:val="center"/>
        <w:rPr>
          <w:b/>
          <w:noProof/>
        </w:rPr>
      </w:pPr>
      <w:r>
        <w:rPr>
          <w:b/>
          <w:noProof/>
        </w:rPr>
        <w:t xml:space="preserve">ZAVRŠNE ODREDBE </w:t>
      </w:r>
    </w:p>
    <w:p>
      <w:pPr>
        <w:jc w:val="center"/>
        <w:rPr>
          <w:noProof/>
        </w:rPr>
      </w:pPr>
    </w:p>
    <w:p>
      <w:pPr>
        <w:jc w:val="center"/>
        <w:rPr>
          <w:i/>
          <w:noProof/>
        </w:rPr>
      </w:pPr>
      <w:r>
        <w:rPr>
          <w:i/>
          <w:noProof/>
        </w:rPr>
        <w:t>Članak 7.</w:t>
      </w:r>
    </w:p>
    <w:p>
      <w:pPr>
        <w:jc w:val="center"/>
        <w:rPr>
          <w:noProof/>
        </w:rPr>
      </w:pPr>
      <w:r>
        <w:rPr>
          <w:noProof/>
        </w:rPr>
        <w:t>Upućivanja u pravu Unije</w:t>
      </w:r>
    </w:p>
    <w:p>
      <w:pPr>
        <w:rPr>
          <w:noProof/>
        </w:rPr>
      </w:pPr>
      <w:r>
        <w:rPr>
          <w:noProof/>
        </w:rPr>
        <w:t xml:space="preserve">Upućivanja na Europski stabilizacijski mehanizam ili ESM u aktima prava Unije tumače se kao upućivanja na Europski monetarni fond ili EMF. </w:t>
      </w:r>
    </w:p>
    <w:p>
      <w:pPr>
        <w:rPr>
          <w:noProof/>
        </w:rPr>
      </w:pPr>
    </w:p>
    <w:p>
      <w:pPr>
        <w:jc w:val="center"/>
        <w:rPr>
          <w:i/>
          <w:noProof/>
        </w:rPr>
      </w:pPr>
      <w:r>
        <w:rPr>
          <w:i/>
          <w:noProof/>
        </w:rPr>
        <w:t>Članak 8.</w:t>
      </w:r>
    </w:p>
    <w:p>
      <w:pPr>
        <w:jc w:val="center"/>
        <w:rPr>
          <w:noProof/>
          <w:szCs w:val="24"/>
        </w:rPr>
      </w:pPr>
      <w:r>
        <w:rPr>
          <w:noProof/>
        </w:rPr>
        <w:t>Stupanje na snagu</w:t>
      </w:r>
    </w:p>
    <w:p>
      <w:pPr>
        <w:rPr>
          <w:noProof/>
          <w:szCs w:val="24"/>
        </w:rPr>
      </w:pPr>
      <w:r>
        <w:rPr>
          <w:noProof/>
        </w:rPr>
        <w:t xml:space="preserve">Ova Uredba stupa na snagu na dan objave u </w:t>
      </w:r>
      <w:r>
        <w:rPr>
          <w:i/>
          <w:noProof/>
        </w:rPr>
        <w:t>Službenom listu Europske unije</w:t>
      </w:r>
      <w:r>
        <w:rPr>
          <w:noProof/>
        </w:rPr>
        <w:t xml:space="preserve">. </w:t>
      </w:r>
    </w:p>
    <w:p>
      <w:pPr>
        <w:rPr>
          <w:noProof/>
          <w:szCs w:val="24"/>
        </w:rPr>
      </w:pPr>
      <w:r>
        <w:rPr>
          <w:noProof/>
        </w:rPr>
        <w:t>Ova je Uredba u cijelosti obvezujuća i izravno se primjenjuje u svim državama članicama.</w:t>
      </w:r>
    </w:p>
    <w:p>
      <w:pPr>
        <w:rPr>
          <w:noProof/>
          <w:szCs w:val="24"/>
        </w:rPr>
      </w:pPr>
    </w:p>
    <w:p>
      <w:pPr>
        <w:pStyle w:val="Fait"/>
        <w:rPr>
          <w:noProof/>
        </w:rPr>
      </w:pPr>
      <w:r>
        <w:t>Sastavljeno u Bruxellesu,</w:t>
      </w:r>
    </w:p>
    <w:p>
      <w:pPr>
        <w:pStyle w:val="Institutionquisigne"/>
        <w:rPr>
          <w:noProof/>
          <w:szCs w:val="24"/>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Europska ekonomska prognoza – jesen 2017.; Institutional Paper 63.</w:t>
      </w:r>
    </w:p>
  </w:footnote>
  <w:footnote w:id="2">
    <w:p>
      <w:pPr>
        <w:pStyle w:val="FootnoteText"/>
        <w:ind w:left="284" w:hanging="284"/>
      </w:pPr>
      <w:r>
        <w:rPr>
          <w:rStyle w:val="FootnoteReference"/>
        </w:rPr>
        <w:footnoteRef/>
      </w:r>
      <w:r>
        <w:tab/>
        <w:t>Flash Eurobarometer br. 458, 4. prosinca 2017.</w:t>
      </w:r>
    </w:p>
  </w:footnote>
  <w:footnote w:id="3">
    <w:p>
      <w:pPr>
        <w:pStyle w:val="FootnoteText"/>
        <w:ind w:left="284" w:hanging="284"/>
      </w:pPr>
      <w:r>
        <w:rPr>
          <w:rStyle w:val="FootnoteReference"/>
        </w:rPr>
        <w:footnoteRef/>
      </w:r>
      <w:r>
        <w:tab/>
        <w:t xml:space="preserve">„Dovršetak europske ekonomske i monetarne unije”, Izvješće Jean-Claudea Junckera, u bliskoj suradnji s Donaldom Tuskom, Jeroenom Dijsselbloemom, Marijem Draghijem i Martinom Schulzom, 22. lipnja 2015. </w:t>
      </w:r>
    </w:p>
  </w:footnote>
  <w:footnote w:id="4">
    <w:p>
      <w:pPr>
        <w:pStyle w:val="FootnoteText"/>
        <w:ind w:left="284" w:hanging="284"/>
      </w:pPr>
      <w:r>
        <w:rPr>
          <w:rStyle w:val="FootnoteReference"/>
        </w:rPr>
        <w:footnoteRef/>
      </w:r>
      <w:r>
        <w:tab/>
        <w:t xml:space="preserve">Vidjeti posebno COM(2017) 592 final, 11. listopada 2017. </w:t>
      </w:r>
    </w:p>
  </w:footnote>
  <w:footnote w:id="5">
    <w:p>
      <w:pPr>
        <w:pStyle w:val="FootnoteText"/>
        <w:ind w:left="284" w:hanging="284"/>
        <w:rPr>
          <w:lang w:val="pt-PT"/>
        </w:rPr>
      </w:pPr>
      <w:r>
        <w:rPr>
          <w:rStyle w:val="FootnoteReference"/>
        </w:rPr>
        <w:footnoteRef/>
      </w:r>
      <w:r>
        <w:tab/>
        <w:t>COM(2017) 292 final, 8. lipnja 2017.</w:t>
      </w:r>
    </w:p>
  </w:footnote>
  <w:footnote w:id="6">
    <w:p>
      <w:pPr>
        <w:pStyle w:val="FootnoteText"/>
        <w:ind w:left="284" w:hanging="284"/>
        <w:rPr>
          <w:lang w:val="pt-PT"/>
        </w:rPr>
      </w:pPr>
      <w:r>
        <w:rPr>
          <w:rStyle w:val="FootnoteReference"/>
        </w:rPr>
        <w:footnoteRef/>
      </w:r>
      <w:r>
        <w:tab/>
        <w:t>COM(2017) 291, 31. svibnja 2017.</w:t>
      </w:r>
    </w:p>
  </w:footnote>
  <w:footnote w:id="7">
    <w:p>
      <w:pPr>
        <w:pStyle w:val="FootnoteText"/>
        <w:ind w:left="284" w:hanging="284"/>
      </w:pPr>
      <w:r>
        <w:rPr>
          <w:rStyle w:val="FootnoteReference"/>
        </w:rPr>
        <w:footnoteRef/>
      </w:r>
      <w:r>
        <w:tab/>
        <w:t>COM(2017) 358, 28. lipnja 2017.</w:t>
      </w:r>
    </w:p>
  </w:footnote>
  <w:footnote w:id="8">
    <w:p>
      <w:pPr>
        <w:pStyle w:val="FootnoteText"/>
        <w:ind w:left="284" w:hanging="284"/>
      </w:pPr>
      <w:r>
        <w:rPr>
          <w:rStyle w:val="FootnoteReference"/>
        </w:rPr>
        <w:footnoteRef/>
      </w:r>
      <w:r>
        <w:tab/>
        <w:t>COM(2017) 2025, 1. ožujka 2017.</w:t>
      </w:r>
    </w:p>
  </w:footnote>
  <w:footnote w:id="9">
    <w:p>
      <w:pPr>
        <w:pStyle w:val="FootnoteText"/>
        <w:ind w:left="284" w:hanging="284"/>
      </w:pPr>
      <w:r>
        <w:rPr>
          <w:rStyle w:val="FootnoteReference"/>
        </w:rPr>
        <w:footnoteRef/>
      </w:r>
      <w:r>
        <w:tab/>
        <w:t>Govor predsjednika Jean-Claudea Junckera o stanju Unije 2017., 13. rujna 2017.</w:t>
      </w:r>
    </w:p>
  </w:footnote>
  <w:footnote w:id="10">
    <w:p>
      <w:pPr>
        <w:pStyle w:val="FootnoteText"/>
        <w:ind w:left="284" w:hanging="284"/>
      </w:pPr>
      <w:r>
        <w:rPr>
          <w:rStyle w:val="FootnoteReference"/>
        </w:rPr>
        <w:footnoteRef/>
      </w:r>
      <w:r>
        <w:tab/>
        <w:t>Program čelnikȃ: Zajednička izgradnja naše budućnosti, koji je Europsko vijeće potvrdilo 20. listopada 2017.</w:t>
      </w:r>
    </w:p>
  </w:footnote>
  <w:footnote w:id="11">
    <w:p>
      <w:pPr>
        <w:pStyle w:val="FootnoteText"/>
        <w:ind w:left="284" w:hanging="284"/>
      </w:pPr>
      <w:r>
        <w:rPr>
          <w:rStyle w:val="FootnoteReference"/>
        </w:rPr>
        <w:footnoteRef/>
      </w:r>
      <w:r>
        <w:tab/>
        <w:t>Napomena: među državama članicama izvan europodručja</w:t>
      </w:r>
      <w:r>
        <w:rPr>
          <w:b/>
          <w:color w:val="1F497D"/>
        </w:rPr>
        <w:t xml:space="preserve"> </w:t>
      </w:r>
      <w:r>
        <w:t>Danska i Bugarska vezale su svoju valutu uz euro od njegova uvođenja 1999. Za razliku od Danske, Bugarska ne sudjeluje u tečajnom mehanizmu II:, ali lev je vezan uz euro u okviru monetarnog sustava o tečaju valute.</w:t>
      </w:r>
    </w:p>
  </w:footnote>
  <w:footnote w:id="12">
    <w:p>
      <w:pPr>
        <w:pStyle w:val="FootnoteText"/>
        <w:ind w:left="284" w:hanging="284"/>
      </w:pPr>
      <w:r>
        <w:rPr>
          <w:rStyle w:val="FootnoteReference"/>
        </w:rPr>
        <w:footnoteRef/>
      </w:r>
      <w:r>
        <w:tab/>
        <w:t>Izjava Euroskupine i ministara Vijeća za ekonomska i financijska pitanja o zaštitnom mehanizmu jedinstvenog sanacijskog mehanizma, 18. prosinca 2013.</w:t>
      </w:r>
    </w:p>
  </w:footnote>
  <w:footnote w:id="13">
    <w:p>
      <w:pPr>
        <w:pStyle w:val="FootnoteText"/>
        <w:ind w:left="284" w:hanging="284"/>
      </w:pPr>
      <w:r>
        <w:rPr>
          <w:rStyle w:val="FootnoteReference"/>
        </w:rPr>
        <w:footnoteRef/>
      </w:r>
      <w:r>
        <w:tab/>
        <w:t>Vidjeti posebno rezolucije Europskog parlamenta od 16. veljače 2017. o i. proračunskom kapacitetu europodručja ((2015/2344(INI)), ii. mogućim promjenama i prilagodbama aktualnog institucijskog ustroja Europske unije (2014/2248(INI)) i iii. o poboljšanju funkcioniranja Europske unije korištenjem potencijala Ugovora iz Lisabona (2014/2249(INI)).</w:t>
      </w:r>
    </w:p>
  </w:footnote>
  <w:footnote w:id="14">
    <w:p>
      <w:pPr>
        <w:pStyle w:val="FootnoteText"/>
        <w:ind w:left="284" w:hanging="284"/>
      </w:pPr>
      <w:r>
        <w:rPr>
          <w:rStyle w:val="FootnoteReference"/>
        </w:rPr>
        <w:footnoteRef/>
      </w:r>
      <w:r>
        <w:tab/>
        <w:t>Vidjeti konkretno informacije o sastanku Euroskupine od 6. studenoga 2017. na temu „Fisklani kapacitet i fiskalna pravila EMU-a”, sastanku Euroskupine od 9. listopada 2017. na temu „Produbljivanje ekonomske i monetarne unije; uloga europskog stabilizacijskog mehanizma” (ecfin.cef.cpe(2017)5598799) ili sastanku Euroskupine od 10. srpnja 2017. na temu „Produbljivanje ekonomske i monetarne Unije” (ecfin.cef.cpe(2017)3980511).</w:t>
      </w:r>
    </w:p>
  </w:footnote>
  <w:footnote w:id="15">
    <w:p>
      <w:pPr>
        <w:pStyle w:val="FootnoteText"/>
        <w:ind w:left="284" w:hanging="284"/>
      </w:pPr>
      <w:r>
        <w:rPr>
          <w:rStyle w:val="FootnoteReference"/>
        </w:rPr>
        <w:footnoteRef/>
      </w:r>
      <w:r>
        <w:tab/>
        <w:t>Rezolucija Europskog parlamenta od 16. veljače 2017. o proračunskom kapacitetu europodručja (2015/2344(INI)).</w:t>
      </w:r>
    </w:p>
  </w:footnote>
  <w:footnote w:id="16">
    <w:p>
      <w:pPr>
        <w:pStyle w:val="FootnoteText"/>
        <w:ind w:left="284" w:hanging="284"/>
      </w:pPr>
      <w:r>
        <w:rPr>
          <w:rStyle w:val="FootnoteReference"/>
        </w:rPr>
        <w:footnoteRef/>
      </w:r>
      <w:r>
        <w:tab/>
        <w:t>COM(2012)777 „Nacrt za snažnu i istinsku ekonomsku i monetarnu uniju”, 28. studenoga 2012.</w:t>
      </w:r>
    </w:p>
  </w:footnote>
  <w:footnote w:id="17">
    <w:p>
      <w:pPr>
        <w:pStyle w:val="FootnoteText"/>
        <w:ind w:left="284" w:hanging="284"/>
      </w:pPr>
      <w:r>
        <w:rPr>
          <w:rStyle w:val="FootnoteReference"/>
        </w:rPr>
        <w:footnoteRef/>
      </w:r>
      <w:r>
        <w:tab/>
        <w:t>Potreba za tijelom kao što je Europski stabilizacijski mehanizam kojim se štiti stabilnost europodručja temelji se na činjenicama i članku 136. stavku 3. Ugovora o funkcioniranju EU-a te na drugoj uvodnoj izjavi iz Ugovora o Europskom stabilizacijskom mehanizmu u kojoj se aktualni Europski stabilizacijski mehanizam opisuje kao „stabilizacijski mehanizam koji će se aktivirati ako je to nužno za zaštitu stabilnosti europodručja u cjelini”.</w:t>
      </w:r>
    </w:p>
  </w:footnote>
  <w:footnote w:id="18">
    <w:p>
      <w:pPr>
        <w:pStyle w:val="FootnoteText"/>
        <w:ind w:left="284" w:hanging="284"/>
      </w:pPr>
      <w:r>
        <w:rPr>
          <w:rStyle w:val="FootnoteReference"/>
        </w:rPr>
        <w:footnoteRef/>
      </w:r>
      <w:r>
        <w:tab/>
        <w:t>Sud Europske unije već je razmatrao mogućnost da se na temelju članka 352. osnuje tijelo Unije zaduženo za pružanje financijske pomoći kako bi se osigurala stabilnost euopodručja. Vidjeti predmet „Pringle” – presuda od 27. studenoga 2012., predmet C-370/12, EU:C:2012:756, t. 67.</w:t>
      </w:r>
    </w:p>
  </w:footnote>
  <w:footnote w:id="19">
    <w:p>
      <w:pPr>
        <w:pStyle w:val="FootnoteText"/>
        <w:ind w:left="284" w:hanging="284"/>
      </w:pPr>
      <w:r>
        <w:rPr>
          <w:rStyle w:val="FootnoteReference"/>
        </w:rPr>
        <w:footnoteRef/>
      </w:r>
      <w:r>
        <w:tab/>
        <w:t>Time će se osigurati usklađenost s doktrinom Meroni koja se temelji na predmetima H-9/56 i and10/56 (Meroni protiv Visokog tijela [1957/1958] ECR 133) i odnosi se na to u kojoj mjeri i pod kojim uvjetima institucije EU-a mogu svoje zadaće delegirati regulatornim agencijama.</w:t>
      </w:r>
    </w:p>
  </w:footnote>
  <w:footnote w:id="20">
    <w:p>
      <w:pPr>
        <w:pStyle w:val="FootnoteText"/>
        <w:ind w:left="284" w:hanging="284"/>
      </w:pPr>
      <w:r>
        <w:rPr>
          <w:rStyle w:val="FootnoteReference"/>
        </w:rPr>
        <w:footnoteRef/>
      </w:r>
      <w:r>
        <w:tab/>
        <w:t>Uredba (EU) br. 806/2014. Jedinstveni sanacijski odbor sanacijsko je tijelo za velike i sistemske banke europodručja koji je operativan od siječnja 2016. Jedinstveni fond za sanaciju financira se doprinosima bankarskog sektora europodručja. Može se koristiti za financiranje troškova sanacije ako su ispunjeni svi uvjeti iz regulatornog okvira, među ostalim primjena instrumenta bail-in na 8 % ukupnih obveza dotične banke.</w:t>
      </w:r>
    </w:p>
  </w:footnote>
  <w:footnote w:id="21">
    <w:p>
      <w:pPr>
        <w:pStyle w:val="FootnoteText"/>
        <w:ind w:left="284" w:hanging="284"/>
      </w:pPr>
      <w:r>
        <w:rPr>
          <w:rStyle w:val="FootnoteReference"/>
        </w:rPr>
        <w:footnoteRef/>
      </w:r>
      <w:r>
        <w:tab/>
        <w:t xml:space="preserve">Predmet C-370/12 </w:t>
      </w:r>
      <w:r>
        <w:rPr>
          <w:i/>
        </w:rPr>
        <w:t xml:space="preserve">Pringle </w:t>
      </w:r>
      <w:r>
        <w:t xml:space="preserve">EU:C:2012:756. Irski Vrhovni sud uputio je pitanje Sudu jesu li države članice europodručja bile, zbog različitih odredbi Ugovorâ, uključujući članke od 119. do 123. UFEU-a i članke od 125. do 127. UFEU-a, spriječene sklopiti Ugovor o ESM-u. </w:t>
      </w:r>
    </w:p>
  </w:footnote>
  <w:footnote w:id="22">
    <w:p>
      <w:pPr>
        <w:pStyle w:val="FootnoteText"/>
        <w:ind w:left="284" w:hanging="284"/>
      </w:pPr>
      <w:r>
        <w:rPr>
          <w:rStyle w:val="FootnoteReference"/>
        </w:rPr>
        <w:footnoteRef/>
      </w:r>
      <w:r>
        <w:tab/>
        <w:t>SL C , , str.. .</w:t>
      </w:r>
    </w:p>
  </w:footnote>
  <w:footnote w:id="23">
    <w:p>
      <w:pPr>
        <w:pStyle w:val="FootnoteText"/>
        <w:ind w:left="284" w:hanging="284"/>
        <w:rPr>
          <w:lang w:val="mt-MT"/>
        </w:rPr>
      </w:pPr>
      <w:r>
        <w:rPr>
          <w:rStyle w:val="FootnoteReference"/>
        </w:rPr>
        <w:footnoteRef/>
      </w:r>
      <w:r>
        <w:tab/>
        <w:t>Uredba Vijeća (EU) br. 1024/2013 od 15. listopada 2013. o dodjeli određenih zadaća Europskoj središnjoj banci u vezi s politikama bonitetnog nadzora kreditnih institucija (SL L 287, 29.10.2013., str. 63.).</w:t>
      </w:r>
    </w:p>
  </w:footnote>
  <w:footnote w:id="24">
    <w:p>
      <w:pPr>
        <w:pStyle w:val="FootnoteText"/>
        <w:ind w:left="284" w:hanging="284"/>
      </w:pPr>
      <w:r>
        <w:rPr>
          <w:rStyle w:val="FootnoteReference"/>
        </w:rPr>
        <w:footnoteRef/>
      </w:r>
      <w:r>
        <w:tab/>
        <w:t>Uredba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30.7.2014., str. 1.).</w:t>
      </w:r>
    </w:p>
  </w:footnote>
  <w:footnote w:id="25">
    <w:p>
      <w:pPr>
        <w:pStyle w:val="FootnoteText"/>
        <w:ind w:left="284" w:hanging="284"/>
        <w:rPr>
          <w:lang w:val="mt-MT"/>
        </w:rPr>
      </w:pPr>
      <w:r>
        <w:rPr>
          <w:rStyle w:val="FootnoteReference"/>
        </w:rPr>
        <w:footnoteRef/>
      </w:r>
      <w:r>
        <w:tab/>
        <w:t>Uredba (EZ) br. 1049/2001 Europskog parlamenta i Vijeća od 30. svibnja 2001. o javnom pristupu dokumentima Europskog parlamenta, Vijeća i Komisije (SL L 145, 31.5.2001., str.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C78C6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B217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B7211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44D0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4E3B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6A91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82DED6"/>
    <w:lvl w:ilvl="0">
      <w:start w:val="1"/>
      <w:numFmt w:val="decimal"/>
      <w:pStyle w:val="ListNumber"/>
      <w:lvlText w:val="%1."/>
      <w:lvlJc w:val="left"/>
      <w:pPr>
        <w:tabs>
          <w:tab w:val="num" w:pos="360"/>
        </w:tabs>
        <w:ind w:left="360" w:hanging="360"/>
      </w:pPr>
    </w:lvl>
  </w:abstractNum>
  <w:abstractNum w:abstractNumId="7">
    <w:nsid w:val="FFFFFF89"/>
    <w:multiLevelType w:val="singleLevel"/>
    <w:tmpl w:val="22CEBB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17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7 11:52: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0"/>
    <w:docVar w:name="DQCResult_StructureCheck" w:val="0;0"/>
    <w:docVar w:name="DQCResult_SuperfluousWhitespace" w:val="0;62"/>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77D7B291-52A0-4469-B2B5-9191C9C77BF6"/>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xelle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APP"/>
    <w:docVar w:name="LW_REF.II.NEW.CP_NUMBER" w:val="0333"/>
    <w:docVar w:name="LW_REF.II.NEW.CP_YEAR" w:val="2017"/>
    <w:docVar w:name="LW_REF.INST.NEW" w:val="COM"/>
    <w:docVar w:name="LW_REF.INST.NEW_ADOPTED" w:val="final"/>
    <w:docVar w:name="LW_REF.INST.NEW_TEXT" w:val="(2017) 8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osnivanju Europskog monetarnog fonda"/>
    <w:docVar w:name="LW_TYPE.DOC.CP" w:val="UREDB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217A-A569-41D3-948D-BFD1001D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11954</Words>
  <Characters>71369</Characters>
  <Application>Microsoft Office Word</Application>
  <DocSecurity>0</DocSecurity>
  <Lines>1252</Lines>
  <Paragraphs>387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2017-11-30T16:12:00Z</cp:lastPrinted>
  <dcterms:created xsi:type="dcterms:W3CDTF">2017-12-06T13:38:00Z</dcterms:created>
  <dcterms:modified xsi:type="dcterms:W3CDTF">2017-12-07T10:52:00Z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