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07950E-7836-4D85-A447-52C32F1F555C"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widowControl w:val="0"/>
        <w:shd w:val="clear" w:color="auto" w:fill="FFFFFF"/>
        <w:autoSpaceDE w:val="0"/>
        <w:autoSpaceDN w:val="0"/>
        <w:adjustRightInd w:val="0"/>
        <w:spacing w:before="230" w:after="0" w:line="269" w:lineRule="exact"/>
        <w:ind w:right="86"/>
        <w:rPr>
          <w:noProof/>
        </w:rPr>
      </w:pPr>
      <w:r>
        <w:rPr>
          <w:noProof/>
        </w:rPr>
        <w:t>Od 20. svibnja 2017. u funkciji je Program potpore strukturnim reformama za razdoblje od 2017. do 2020., a proračun mu iznosi 142,8 milijuna EUR.</w:t>
      </w:r>
      <w:r>
        <w:rPr>
          <w:rStyle w:val="FootnoteReference"/>
          <w:noProof/>
        </w:rPr>
        <w:footnoteReference w:id="2"/>
      </w:r>
      <w:r>
        <w:rPr>
          <w:noProof/>
        </w:rPr>
        <w:t xml:space="preserve"> Uspostavljen je s ciljem jačanja kapaciteta država članica da pripreme i provedu administrativne i strukturne reforme kojima se održava rast, među ostalim upotrebom pomoći za učinkovito i djelotvorno korištenje fondova Unije. Potporu u okviru Programa pruža Komisija na zahtjev države članice, a ona može obuhvaćati razna područja politike.</w:t>
      </w:r>
    </w:p>
    <w:p>
      <w:pPr>
        <w:widowControl w:val="0"/>
        <w:shd w:val="clear" w:color="auto" w:fill="FFFFFF"/>
        <w:autoSpaceDE w:val="0"/>
        <w:autoSpaceDN w:val="0"/>
        <w:adjustRightInd w:val="0"/>
        <w:spacing w:before="230" w:after="0" w:line="269" w:lineRule="exact"/>
        <w:ind w:right="86"/>
        <w:rPr>
          <w:noProof/>
        </w:rPr>
      </w:pPr>
      <w:r>
        <w:rPr>
          <w:noProof/>
        </w:rPr>
        <w:t>Otkad je Uredba o Programu potpore strukturnim reformama stupila na snagu, zabilježena je vrlo visoka razina sudjelovanja država članica u Programu, a zahtjevi za potporu znatno su veći od iznosa sredstava koja su na raspolaganju za njegove godišnje cikluse. To je vidljivo iz podataka o ciklusu za 2017., u kojem je, unatoč kasnom donošenju Uredbe o Programu potpore strukturnim reformama, 16 država članica podnijelo 271 zahtjev za potporu – procijenjena vrijednost tih zahtjeva bila je veća od 80 milijuna EUR, dok su sredstva dodijeljena za 2017. iznosila 22,5 milijuna EUR. Zbog toga je Komisija morala strogo odrediti prioritete i za nekoliko zahtjeva odlučeno je da ih se neće financirati. Situacija je još ozbiljnija u ciklusu za 2018., koji je tek započeo (rok za podnošenje zahtjeva bio je 31. listopada 2017.). Ukupno 24 države članice podnijele su 444 zahtjeva za potporu – procijenjeni trošak tih zahtjeva iznosi otprilike 152 milijuna EUR, dok godišnja sredstva dodijeljena za 2018. iznose 30,5 milijuna EUR. To je jasan pokazatelj da stvarne potrebe za potporom i interes država članica daleko premašuju trenutačno raspoloživa financijska sredstva u Programu.</w:t>
      </w:r>
    </w:p>
    <w:p>
      <w:pPr>
        <w:widowControl w:val="0"/>
        <w:shd w:val="clear" w:color="auto" w:fill="FFFFFF"/>
        <w:autoSpaceDE w:val="0"/>
        <w:autoSpaceDN w:val="0"/>
        <w:adjustRightInd w:val="0"/>
        <w:spacing w:before="230" w:after="0" w:line="269" w:lineRule="exact"/>
        <w:ind w:right="86"/>
        <w:rPr>
          <w:noProof/>
        </w:rPr>
      </w:pPr>
      <w:r>
        <w:rPr>
          <w:noProof/>
        </w:rPr>
        <w:t xml:space="preserve">Dosadašnje iskustvo pokazalo je da su mnoge države članice zatražile potporu u okviru Programa te da zahtjevi za potporu obuhvaćaju sva područja politike u kojima se nudi potpora, a to su, primjerice, upravljanje i javna uprava, upravljanje prihodima i upravljanje javnim financijama, rast i poslovno okruženje, tržište rada, obrazovanje, zdravstvo i socijalne usluge te financijski sektor i pristup financiranju. </w:t>
      </w:r>
    </w:p>
    <w:p>
      <w:pPr>
        <w:widowControl w:val="0"/>
        <w:shd w:val="clear" w:color="auto" w:fill="FFFFFF"/>
        <w:autoSpaceDE w:val="0"/>
        <w:autoSpaceDN w:val="0"/>
        <w:adjustRightInd w:val="0"/>
        <w:spacing w:before="230" w:line="269" w:lineRule="exact"/>
        <w:ind w:right="86"/>
        <w:rPr>
          <w:noProof/>
        </w:rPr>
      </w:pPr>
      <w:r>
        <w:rPr>
          <w:noProof/>
        </w:rPr>
        <w:t>Kako je predsjednik Juncker naveo u svojem govoru o stanju Unije održanom u Europskom parlamentu 13. rujna 2017.</w:t>
      </w:r>
      <w:r>
        <w:rPr>
          <w:rStyle w:val="FootnoteReference"/>
          <w:noProof/>
        </w:rPr>
        <w:footnoteReference w:id="3"/>
      </w:r>
      <w:r>
        <w:rPr>
          <w:noProof/>
        </w:rPr>
        <w:t xml:space="preserve"> (i priloženom pismu namjere), euro bi trebao biti jedinstvena valuta cijele Unije i zbog toga sve osim dvije države članice imaju obvezu i pravo pridružiti se europodručju. Stoga je jasno da je potrebno razmišljati unaprijed i pružiti potporu državama članicama izvan europodručja u pripremi kako bi mu se mogle pridružiti kad to budu željele. Da bi se mogle pridružiti europodručju, države članice moraju ispuniti „kriterije iz Maastrichta”, odnosno „konvergencijske kriterije”, prema kojima moraju postići „visok stupanj održive konvergencije”.  </w:t>
      </w:r>
    </w:p>
    <w:p>
      <w:pPr>
        <w:widowControl w:val="0"/>
        <w:shd w:val="clear" w:color="auto" w:fill="FFFFFF"/>
        <w:autoSpaceDE w:val="0"/>
        <w:autoSpaceDN w:val="0"/>
        <w:adjustRightInd w:val="0"/>
        <w:spacing w:before="230" w:line="269" w:lineRule="exact"/>
        <w:ind w:right="86"/>
        <w:rPr>
          <w:noProof/>
        </w:rPr>
      </w:pPr>
    </w:p>
    <w:p>
      <w:pPr>
        <w:widowControl w:val="0"/>
        <w:shd w:val="clear" w:color="auto" w:fill="FFFFFF"/>
        <w:autoSpaceDE w:val="0"/>
        <w:autoSpaceDN w:val="0"/>
        <w:adjustRightInd w:val="0"/>
        <w:spacing w:before="230" w:line="269" w:lineRule="exact"/>
        <w:ind w:right="86"/>
        <w:rPr>
          <w:noProof/>
        </w:rPr>
      </w:pPr>
      <w:r>
        <w:rPr>
          <w:noProof/>
        </w:rPr>
        <w:t xml:space="preserve">Gospodarska i financijska kriza pokazala je da je za uspješno sudjelovanje u europodručju, osim nominalne konvergencije, nužno i da države članice postignu stvarnu konvergenciju te da imaju otporna gospodarstva utemeljena na snažnim gospodarskim strukturama, koja bi im omogućila da učinkovito apsorbiraju šokove i brzo se oporave od njih. Za to je posebno potrebno da države članice imaju kapacitete za upravljanje proračunom u skladu s načelima dobrog upravljanja javnim financijama te da budu institucijski spremne za sudjelovanje u bankarskoj uniji. Osim toga, za uspješnu integraciju u europodručje iznimno je važno i sljedeće: tržište rada i tržište proizvoda koja pravilno funkcioniraju i mogu apsorbirati vanjske šokove, visok stupanj integracije u području trgovine robom i uslugama te javna uprava koja dobro funkcionira. </w:t>
      </w:r>
    </w:p>
    <w:p>
      <w:pPr>
        <w:widowControl w:val="0"/>
        <w:shd w:val="clear" w:color="auto" w:fill="FFFFFF"/>
        <w:autoSpaceDE w:val="0"/>
        <w:autoSpaceDN w:val="0"/>
        <w:adjustRightInd w:val="0"/>
        <w:spacing w:before="230" w:after="0" w:line="269" w:lineRule="exact"/>
        <w:ind w:right="86"/>
        <w:rPr>
          <w:noProof/>
        </w:rPr>
      </w:pPr>
      <w:r>
        <w:rPr>
          <w:noProof/>
        </w:rPr>
        <w:t>U kontekstu većih potreba za financiranjem za pružanje potpore u provedbi strukturnih reformi, kao i potrebe da se državama članicama koje namjeravaju uvesti euro pomogne da ubrzaju postizanje stvarne konvergencije i razviju otpornije gospodarske i socijalne strukture kako bi im se osiguralo nesmetano sudjelovanje u ekonomskoj i monetarnoj uniji, kao prvi korak Komisija se obvezala pojačati proračun Programa za potporu strukturnim reformama za 80 milijuna EUR u razdoblju 2019.–2020. To bi se trebalo učiniti upotrebom instrumenta fleksibilnosti iz članka 11. postojećeg višegodišnjeg financijskog okvira</w:t>
      </w:r>
      <w:r>
        <w:rPr>
          <w:rStyle w:val="FootnoteReference"/>
          <w:noProof/>
        </w:rPr>
        <w:footnoteReference w:id="4"/>
      </w:r>
      <w:r>
        <w:rPr>
          <w:noProof/>
        </w:rPr>
        <w:t xml:space="preserve">. Time bi se ukupna financijska omotnica Programa potpore strukturnim reformama povećala na 222,8 milijuna EUR. Zahvaljujući tom povećanju mogli bi se prihvatiti zahtjevi za potporu koje podnose države članice izvan europodručja koje žele uvesti euro i moraju provesti reforme u svojim gospodarstvima te bi se ujedno riješilo pitanje povećanog broja i troška zahtjeva za potporu u provedbi administrativnih i strukturnih reformi. </w:t>
      </w:r>
    </w:p>
    <w:p>
      <w:pPr>
        <w:widowControl w:val="0"/>
        <w:shd w:val="clear" w:color="auto" w:fill="FFFFFF"/>
        <w:autoSpaceDE w:val="0"/>
        <w:autoSpaceDN w:val="0"/>
        <w:adjustRightInd w:val="0"/>
        <w:spacing w:before="230" w:after="0" w:line="269" w:lineRule="exact"/>
        <w:ind w:right="86"/>
        <w:rPr>
          <w:noProof/>
        </w:rPr>
      </w:pPr>
      <w:r>
        <w:rPr>
          <w:noProof/>
        </w:rPr>
        <w:t xml:space="preserve">Osim tih dodatnih proračunskih sredstava, države članice pozvalo bi se da, u skladu s člankom 11. Uredbe o Programu potpore strukturnim reformama, dio svojih sredstava iz komponente tehničke pomoći u okviru europskih strukturnih i investicijskih fondova prenesu u Program potpore strukturnim reformama za potrebe pružanja potpore u provedbi reformi, uključujući reforme povezane s uvođenjem eura. Prema trenutačnim procjenama mogućih potreba za potporom, dodavanjem tih sredstava ukupni iznos proračunskih sredstava raspoloživih za potporu povećao bi se na 300 milijuna EUR, čime bi se do 2020. kapaciteti za potporu udvostručili. </w:t>
      </w:r>
    </w:p>
    <w:p>
      <w:pPr>
        <w:widowControl w:val="0"/>
        <w:shd w:val="clear" w:color="auto" w:fill="FFFFFF"/>
        <w:autoSpaceDE w:val="0"/>
        <w:autoSpaceDN w:val="0"/>
        <w:adjustRightInd w:val="0"/>
        <w:spacing w:before="230" w:after="0" w:line="269" w:lineRule="exact"/>
        <w:ind w:right="86"/>
        <w:rPr>
          <w:noProof/>
        </w:rPr>
      </w:pPr>
      <w:r>
        <w:rPr>
          <w:noProof/>
        </w:rPr>
        <w:t xml:space="preserve">Potpora bi obuhvaćala prilagođenu pomoć u provedbi svih politika koje državama članicama pomažu da postignu visok stupanj održive konvergencije. Ta će se potpora posebno pružati u sljedećim područjima: poslovno okruženje, financijski sektor, tržište rada i tržište proizvoda, javna uprava te upravljanje javnih financijama. U okviru europskog semestra istaknut će se najvažnije reforme potrebne za postizanje održive stvarne konvergencije. </w:t>
      </w:r>
    </w:p>
    <w:p>
      <w:pPr>
        <w:widowControl w:val="0"/>
        <w:shd w:val="clear" w:color="auto" w:fill="FFFFFF"/>
        <w:autoSpaceDE w:val="0"/>
        <w:autoSpaceDN w:val="0"/>
        <w:adjustRightInd w:val="0"/>
        <w:spacing w:before="230" w:after="0" w:line="269" w:lineRule="exact"/>
        <w:ind w:right="86"/>
        <w:rPr>
          <w:noProof/>
        </w:rPr>
      </w:pPr>
      <w:r>
        <w:rPr>
          <w:noProof/>
        </w:rPr>
        <w:t xml:space="preserve">U okviru posebnog postupka države članice koje žele ostvariti napredak potreban za pridruživanje europodručju u dijalogu s Komisijom dogovorile bi se o ograničenu skupu obveza za provedbu reformi koje su posebno važne za uspješno pridruživanje europodručju. Te bi preuzete obveze za reforme bile obuhvaćene i nacionalnim programima reformi predmetnih država članica. Komisija bi preko Službe za potporu strukturnim reformama s predmetnim državama članicama sklopila novi plan suradnje i potpore, čiji će glavni element biti pružanje tehničke potpore u provedbi preuzetih obveza za reforme povezane s uvođenjem eura. Sudjelovanje u tom aranžmanu bilo bi potpuno dobrovoljno i ne bi bilo potrebno da ga države članice korisnice sufinanciraju. </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Style w:val="Default"/>
        <w:jc w:val="both"/>
        <w:rPr>
          <w:noProof/>
        </w:rPr>
      </w:pPr>
      <w:r>
        <w:rPr>
          <w:noProof/>
        </w:rPr>
        <w:t>Program potpore strukturnim reformama inovativan je program Unije u okviru kojega Komisija državama članicama na njihov zahtjev pruža potporu u izradi i provedbi administrativnih i strukturnih reformi.</w:t>
      </w:r>
      <w:r>
        <w:rPr>
          <w:noProof/>
          <w:color w:val="auto"/>
        </w:rPr>
        <w:t xml:space="preserve"> </w:t>
      </w:r>
      <w:r>
        <w:rPr>
          <w:noProof/>
        </w:rPr>
        <w:t xml:space="preserve">Glavna je aktivnost u okviru Programa potpore strukturnim reformama pružanje prilagođene pomoći te stručnog znanja na terenu kako bi se nacionalnim tijelima država članica koje su podnijele zahtjev pružila potpora tijekom postupka reforme odnosno u određenim fazama ili do određenih faza tog postupka. To se temelji na najvažnijim potrebama svake zemlje, koje sporazumno utvrđuju Komisija i predmetna država članica u planu suradnje i potpore. </w:t>
      </w:r>
    </w:p>
    <w:p>
      <w:pPr>
        <w:pStyle w:val="Default"/>
        <w:jc w:val="both"/>
        <w:rPr>
          <w:noProof/>
          <w:color w:val="auto"/>
          <w:szCs w:val="22"/>
        </w:rPr>
      </w:pPr>
    </w:p>
    <w:p>
      <w:pPr>
        <w:pStyle w:val="Default"/>
        <w:jc w:val="both"/>
        <w:rPr>
          <w:noProof/>
        </w:rPr>
      </w:pPr>
      <w:r>
        <w:rPr>
          <w:noProof/>
        </w:rPr>
        <w:t xml:space="preserve">Program potpore strukturnim reformama služi kao nadopuna postojećim resursima za izgradnju kapaciteta i tehničku pomoć koji su dostupni u drugim Unijinim programima financiranja u okviru višegodišnjeg financijskog okvira, kao i tehničkoj pomoći i drugim mjerama koje se financiraju iz fondova Unije. To se osigurava i u fazi programiranja i u fazi provedbe. Zbog toga je Komisija uspostavila mehanizam za koordinaciju tehničke suradnje, u kojemu sudjeluju predmetne službe, a cilj mu je osigurati da potpora koja se pruža u okviru raznih programa i fondova Unije bude dosljedna te da se izbjegne udvostručavanje napora s mjerama u okviru Programa potpore strukturnim reformama. </w:t>
      </w:r>
    </w:p>
    <w:p>
      <w:pPr>
        <w:pStyle w:val="Default"/>
        <w:jc w:val="both"/>
        <w:rPr>
          <w:noProof/>
        </w:rPr>
      </w:pPr>
    </w:p>
    <w:p>
      <w:pPr>
        <w:pStyle w:val="Default"/>
        <w:jc w:val="both"/>
        <w:rPr>
          <w:noProof/>
          <w:color w:val="auto"/>
          <w:szCs w:val="22"/>
        </w:rPr>
      </w:pPr>
      <w:r>
        <w:rPr>
          <w:noProof/>
        </w:rPr>
        <w:t>Cilj je ovog Prijedloga povećati iznos financijskih sredstava dodijeljenih za Program potpore strukturnim reformama kako bi se Komisiji omogućilo da prvenstveno odgovori na potrebe država članica izvan europodručja, koje provode strukturne reforme kako bi njihova gospodarstva postala otpornija na šokove i bila bolje pripremljena za pridruživanje europodručju, ali i na potrebe nastale zbog povećanog broja i troška zahtjeva za potporu svih država članica povezanih s provedbom strukturnih reformi.</w:t>
      </w:r>
      <w:r>
        <w:rPr>
          <w:noProof/>
          <w:color w:val="auto"/>
        </w:rPr>
        <w:t xml:space="preserv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Dosljednost u odnosu na druge politike Unije</w:t>
      </w:r>
    </w:p>
    <w:p>
      <w:pPr>
        <w:pStyle w:val="Default"/>
        <w:jc w:val="both"/>
        <w:rPr>
          <w:noProof/>
          <w:color w:val="auto"/>
          <w:szCs w:val="22"/>
        </w:rPr>
      </w:pPr>
      <w:r>
        <w:rPr>
          <w:noProof/>
        </w:rPr>
        <w:t>Prijedlog je dosljedan u odnosu na najvažnije političke inicijative Unije, primjerice europski semestar i prijedloge iznesene u Dokumentu za razmatranje o produbljenju ekonomske i monetarne unije</w:t>
      </w:r>
      <w:r>
        <w:rPr>
          <w:rStyle w:val="FootnoteReference"/>
          <w:noProof/>
        </w:rPr>
        <w:footnoteReference w:id="5"/>
      </w:r>
      <w:r>
        <w:rPr>
          <w:noProof/>
        </w:rPr>
        <w:t>, i doprinosi njihovoj provedbi, te je u skladu s govorom o stanju Unije 2017. (i s priloženim pismom namjere), koji je predsjednik Juncker održao u Europskom parlamentu 13. rujna 2017. i u kojemu je predstavljen nacrt za jačanje ekonomske i monetarne unije u budućnosti.</w:t>
      </w:r>
      <w:r>
        <w:rPr>
          <w:noProof/>
          <w:color w:val="auto"/>
        </w:rPr>
        <w:t xml:space="preserve"> </w:t>
      </w:r>
    </w:p>
    <w:p>
      <w:pPr>
        <w:pStyle w:val="Default"/>
        <w:jc w:val="both"/>
        <w:rPr>
          <w:noProof/>
          <w:color w:val="auto"/>
          <w:szCs w:val="22"/>
        </w:rPr>
      </w:pPr>
    </w:p>
    <w:p>
      <w:pPr>
        <w:pStyle w:val="Default"/>
        <w:jc w:val="both"/>
        <w:rPr>
          <w:noProof/>
          <w:color w:val="auto"/>
          <w:szCs w:val="22"/>
        </w:rPr>
      </w:pPr>
      <w:r>
        <w:rPr>
          <w:noProof/>
          <w:color w:val="auto"/>
        </w:rPr>
        <w:t xml:space="preserve">U Prijedlogu se predviđa osiguravanje dodatnih financijskih sredstava za pružanje potpore za prijeko potrebne reforme, zahvaljujući kojima bi gospodarstva država članica izvan europodručja postala otpornija na šokove i te bi države članice bile uspješne kad se pridruže europodručju. Osim toga, u Prijedlogu se predviđa osiguravanje dodatnih financijskih sredstava za potporu u provedbi strukturnih reformi u cijeloj Uniji.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 xml:space="preserve">Pravnu osnovu za Program potpore strukturnim reformama čine članak 175. treći stavak i članak 197. stavak 2. Ugovora o funkcioniranju Europske unije. </w:t>
      </w:r>
    </w:p>
    <w:p>
      <w:pPr>
        <w:rPr>
          <w:rFonts w:eastAsia="Arial Unicode MS"/>
          <w:noProof/>
        </w:rPr>
      </w:pPr>
      <w:r>
        <w:rPr>
          <w:noProof/>
        </w:rPr>
        <w:t>Ovim se Prijedlogom utvrđuje zakonodavna izmjena radi: i. navođenja doprinosa Programa za olakšavanje pridruživanja europodručju državama članicama čija valuta nije euro; ii. povećanja financijske omotnice namijenjene za Program (upotrebom instrumenta fleksibilnosti u okviru postojećeg višegodišnjeg financijskog okvira); i iii. izmjene općeg cilja Programa potpore strukturnim reformama kako bi se naglasila njegova povezanost s pripremom za pridruživanje europodručju. Osim toga, njime se predviđaju određene tehničke promjene povezane s upotrebom rashoda za aktivnosti u okviru Programa. Zahvaljujući povećanju financijskih sredstava Program potpore strukturnim reformama može znatno doprinijeti izgradnji otpornijih gospodarskih struktura u državama članicama te postizanju održive konvergencije u državama članicama izvan europodručja koje se pripremaju za pridruživanje europodručju.</w:t>
      </w:r>
    </w:p>
    <w:p>
      <w:pPr>
        <w:rPr>
          <w:rFonts w:eastAsia="Arial Unicode MS"/>
          <w:noProof/>
        </w:rPr>
      </w:pPr>
    </w:p>
    <w:p>
      <w:pPr>
        <w:pStyle w:val="ManualHeading2"/>
        <w:rPr>
          <w:rFonts w:eastAsia="Arial Unicode MS"/>
          <w:noProof/>
          <w:u w:color="000000"/>
          <w:bdr w:val="nil"/>
        </w:rPr>
      </w:pPr>
      <w:r>
        <w:rPr>
          <w:noProof/>
        </w:rPr>
        <w:t>•</w:t>
      </w:r>
      <w:r>
        <w:rPr>
          <w:noProof/>
        </w:rPr>
        <w:tab/>
        <w:t xml:space="preserve">Supsidijarnost (za neisključivu nadležnost) </w:t>
      </w:r>
    </w:p>
    <w:p>
      <w:pPr>
        <w:rPr>
          <w:noProof/>
        </w:rPr>
      </w:pPr>
      <w:r>
        <w:rPr>
          <w:noProof/>
        </w:rPr>
        <w:t xml:space="preserve">Financiranje aktivnosti Programa s pomoću predložene izmjene u skladu je s načelima europske dodane vrijednosti i supsidijarnosti. Povećanje financijskih sredstava iz proračuna Unije potrebno je za općenitu potporu u provedbi strukturnih reformi s obzirom na neočekivano visoku razinu sudjelovanja država članica u Programu. Potrebno je i s obzirom na cilj podupiranja održive konvergencije u državama članicama izvan europodručja, koja je nužna za napredak Unije te osobito za nesmetano funkcioniranje jedinstvene valute. Ni jedan od tih ciljeva (općenita potpora za strukturne reforme i potpora za pridruživanje europodručju) države članice ne mogu same ostvariti u dovoljnoj mjeri („test nužnosti”), dok intervencija Unije može donijeti veću dodanu vrijednost nego djelovanje samih država članica („test učinkovitosti”).  </w:t>
      </w:r>
    </w:p>
    <w:p>
      <w:pPr>
        <w:rPr>
          <w:noProof/>
        </w:rPr>
      </w:pPr>
      <w:r>
        <w:rPr>
          <w:noProof/>
        </w:rPr>
        <w:t xml:space="preserve">Unija zaista može bolje nego države članice pronalaziti, mobilizirati i koordinirati najbolje dostupno stručno znanje (iz službi europskih institucija, iz drugih zemalja ili iz međunarodnih organizacija) te poticati razmjene dobrih praksi (i osiguravati njihovo stalno širenje na razini Unije) u cilju pomaganja državama članicama izvan europodručja na putu prema uvođenju jedinstvene valute te u cilju potpore u provedbi ciljanih reformi kojima se potiče rast u svim državama članicama.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 xml:space="preserve">Prijedlog je u skladu s načelom proporcionalnosti jer ne prelazi ono što je minimalno nužno za ostvarenje navedenog cilja na razini EU-a te ono što je potrebno za tu svrhu.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rPr>
      </w:pPr>
      <w:r>
        <w:rPr>
          <w:noProof/>
        </w:rPr>
        <w:t>Prijedlog obuhvaća izmjenu Uredbe o Programu potpore strukturnim reformama.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Bdr>
          <w:top w:val="nil"/>
          <w:left w:val="nil"/>
          <w:bottom w:val="nil"/>
          <w:right w:val="nil"/>
          <w:between w:val="nil"/>
          <w:bar w:val="nil"/>
        </w:pBdr>
        <w:spacing w:before="0" w:after="240"/>
        <w:rPr>
          <w:rFonts w:eastAsia="Arial Unicode MS"/>
          <w:noProof/>
        </w:rPr>
      </w:pPr>
      <w:r>
        <w:rPr>
          <w:noProof/>
        </w:rPr>
        <w:t>Cilj je izmjene predložene u ovom Prijedlogu odgovoriti na hitnu potrebu da se osigura potpora za države članice izvan europodručja koje pokreću strukturne reforme kako bi povećale otpornost svojih gospodarstava na šokove, čime bi se ubrzalo postizanje stvarne konvergencije i njihova gospodarstva bolje pripremila za pridruživanje europodručju. Osim toga, cilj je predložene izmjene i povećanje cjelokupne financijske omotnice kako bi se mogao prihvatiti neočekivano velik broj zahtjeva država članica za potporu u provedbi strukturnih reformi.</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w:t>
      </w:r>
      <w:r>
        <w:rPr>
          <w:noProof/>
        </w:rPr>
        <w:tab/>
        <w:t>Primjerenost propisa i pojednostavljivanje</w:t>
      </w:r>
    </w:p>
    <w:p>
      <w:pPr>
        <w:pBdr>
          <w:top w:val="nil"/>
          <w:left w:val="nil"/>
          <w:bottom w:val="nil"/>
          <w:right w:val="nil"/>
          <w:between w:val="nil"/>
          <w:bar w:val="nil"/>
        </w:pBdr>
        <w:spacing w:before="0" w:after="240"/>
        <w:rPr>
          <w:noProof/>
        </w:rPr>
      </w:pPr>
      <w:r>
        <w:rPr>
          <w:noProof/>
        </w:rPr>
        <w:t xml:space="preserve">Prijedlog nije povezan s programom povećanja primjerenosti propisa i njihova pojednostavnjivanja te ne podrazumijeva nikakve troškove usklađivanja za mala i srednja poduzeća te druge dionike. Program potpore strukturnim reformama uskoro će se provesti u okviru elektroničke platforme (JIRA), kojoj će moći pristupiti službe Komisije i države članice.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rPr>
          <w:rFonts w:eastAsia="Arial Unicode MS"/>
          <w:noProof/>
        </w:rPr>
      </w:pPr>
      <w:r>
        <w:rPr>
          <w:noProof/>
        </w:rPr>
        <w:t xml:space="preserve">Prijedlog ima pozitivan učinak na očuvanje i poboljšanje temeljnih prava u Uniji, pod pretpostavkom da će države članice zatražiti i primiti tehničku potporu u područjima povezanima s time. Potporom u nekim područjima, primjerice migracija, tržišta rada i socijalnog osiguranja, zdravstva, obrazovanja, zaštite okoliša, imovine te javne uprave i pravosudnog sustava, mogu se poduprijeti temeljna prava u Uniji, kao što su dostojanstvo, sloboda, jednakost, solidarnost, građanska prava i pravda.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UTJECAJ NA PRORAČUN</w:t>
      </w:r>
    </w:p>
    <w:p>
      <w:pPr>
        <w:rPr>
          <w:noProof/>
        </w:rPr>
      </w:pPr>
      <w:r>
        <w:rPr>
          <w:noProof/>
        </w:rPr>
        <w:t>Predloženo je da se financijska omotnica namijenjena za Program potpore strukturnim reformama poveća sa 142 800 000 EUR (tekuće cijene) na 222 800 000 EUR (tekuće cijene). To bi se povećanje odnosilo na 2019. i 2020. Odgovarajuća objašnjenja nalaze se u zakonodavnom financijskom izvještaju.</w:t>
      </w:r>
    </w:p>
    <w:p>
      <w:pPr>
        <w:rPr>
          <w:noProof/>
        </w:rPr>
      </w:pPr>
      <w:r>
        <w:rPr>
          <w:noProof/>
        </w:rPr>
        <w:t xml:space="preserve">Za to povećanje trebalo bi upotrijebiti 80 000 000 EUR iz instrumenta fleksibilnosti u okviru postojećeg višegodišnjeg financijskog okvira (članak 11. Uredbe Vijeća 1311/2013), kojim se omogućuje da se financijska sredstva dostupna u općem proračunu Unije za financijske godine 2018. i 2019. dodatno financiraju iznad gornje granice iz naslova 1b (kohezija). </w:t>
      </w:r>
    </w:p>
    <w:p>
      <w:pPr>
        <w:rPr>
          <w:noProof/>
        </w:rPr>
      </w:pPr>
      <w:r>
        <w:rPr>
          <w:noProof/>
        </w:rPr>
        <w:t xml:space="preserve">Osim tog povećanja proračunskih sredstava, države članice pozvalo bi se da, u skladu s člankom 11. Uredbe o Programu potpore strukturnim reformama, dio svojih sredstava iz komponente tehničke pomoći u okviru europskih strukturnih i investicijskih fondova prenesu u Program potpore strukturnim reformama za potrebe pružanja potpore u provedbi reformi, uključujući reforme povezane s uvođenjem eura. Prema trenutačnim procjenama mogućih potreba za potporom, dodavanjem tih sredstava ukupni iznos proračunskih sredstava raspoloživih za potporu povećao bi se na 300 milijuna EUR.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noProof/>
        </w:rPr>
      </w:pPr>
      <w:r>
        <w:rPr>
          <w:noProof/>
        </w:rPr>
        <w:t xml:space="preserve">U Uredbi o Programu potpore strukturnim reformama propisani su primjereni zahtjevi za praćenje, evaluaciju i izvješćivanje. Nije predviđena nikakva promjena povezana s time.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noProof/>
        </w:rPr>
      </w:pPr>
      <w:r>
        <w:rPr>
          <w:noProof/>
        </w:rPr>
        <w:t>nije primjenjivo</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Detaljno obrazloženje posebnih odredbi prijedloga</w:t>
      </w:r>
    </w:p>
    <w:p>
      <w:pPr>
        <w:autoSpaceDE w:val="0"/>
        <w:rPr>
          <w:noProof/>
        </w:rPr>
      </w:pPr>
      <w:r>
        <w:rPr>
          <w:noProof/>
        </w:rPr>
        <w:t>Prijedlogom se izmjenjuje članak 4. Uredbe o Programu potpore strukturnim reformama (opći cilj) kako bi se ciljevima za koje se pruža doprinos u okviru Programa dodala potpora za pridruživanje europodručju. Konkretno, u okviru Programa pruža se potpora nacionalnim tijelima u reformiranju institucija, upravljanja, uprave te gospodarskog i socijalnog sektora kao odgovor na gospodarske i društvene izazove. U predloženoj izmjeni naglašava se da bi poboljšanja kohezije, konkurentnosti, produktivnosti, održivog rasta i stvaranja radnih mjesta trebala doprinijeti i pripremi za pridruživanje europodručju država članica čija valuta nije euro, a koje ga žele uvesti.</w:t>
      </w:r>
    </w:p>
    <w:p>
      <w:pPr>
        <w:autoSpaceDE w:val="0"/>
        <w:rPr>
          <w:noProof/>
        </w:rPr>
      </w:pPr>
      <w:r>
        <w:rPr>
          <w:noProof/>
        </w:rPr>
        <w:t xml:space="preserve">U predloženom članku 5.a ističe se doprinos Programa u okviru posebnog postupka za potporu reformama koje bi mogle pomoći državama članicama u pripremi za pridruživanje europodručju. </w:t>
      </w:r>
    </w:p>
    <w:p>
      <w:pPr>
        <w:autoSpaceDE w:val="0"/>
        <w:rPr>
          <w:noProof/>
        </w:rPr>
      </w:pPr>
      <w:r>
        <w:rPr>
          <w:noProof/>
        </w:rPr>
        <w:t xml:space="preserve">Prijedlogom se izmjenjuje članak 10. stavak 1. Uredbe o Programu potpore strukturnim reformama kad je riječ o iznosu financijske omotnice namijenjene za Program potpore strukturnim reformama, koja se povećava na 222,8 milijuna EUR prema tekućim cijenama.  </w:t>
      </w:r>
    </w:p>
    <w:p>
      <w:pPr>
        <w:rPr>
          <w:noProof/>
        </w:rPr>
      </w:pPr>
      <w:r>
        <w:rPr>
          <w:noProof/>
        </w:rPr>
        <w:t>Prijedlogom se izmjenjuje članak 10. stavak 2. Uredbe o Programu potpore strukturnim reformama, tj. odredba o rashodima za aktivnosti u okviru Programa, tako što se dodaje mogućnost financiranja pomoćnih aktivnosti, primjerice kontrole kvalitete i praćenja konkretnih projekata potpore na terenu.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2017/0334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izmjeni Uredbe (EU) 2017/825 radi povećanja financijske omotnice Programa potpore strukturnim reformama i izmjene njegova općeg cilja </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175. treći stavak i članak 197.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6"/>
      </w:r>
      <w:r>
        <w:rPr>
          <w:noProof/>
        </w:rPr>
        <w:t xml:space="preserve">, </w:t>
      </w:r>
    </w:p>
    <w:p>
      <w:pPr>
        <w:rPr>
          <w:noProof/>
        </w:rPr>
      </w:pPr>
      <w:r>
        <w:rPr>
          <w:noProof/>
        </w:rPr>
        <w:t>uzimajući u obzir mišljenje Odbora regija</w:t>
      </w:r>
      <w:r>
        <w:rPr>
          <w:rStyle w:val="FootnoteReference"/>
          <w:noProof/>
        </w:rPr>
        <w:footnoteReference w:id="7"/>
      </w:r>
      <w:r>
        <w:rPr>
          <w:noProof/>
        </w:rPr>
        <w:t xml:space="preserve">, </w:t>
      </w:r>
    </w:p>
    <w:p>
      <w:pPr>
        <w:rPr>
          <w:noProof/>
        </w:rPr>
      </w:pPr>
      <w:r>
        <w:rPr>
          <w:noProof/>
        </w:rPr>
        <w:t>u skladu s redovnim zakonodavnim postupkom,</w:t>
      </w:r>
    </w:p>
    <w:p>
      <w:pPr>
        <w:rPr>
          <w:noProof/>
        </w:rPr>
      </w:pPr>
      <w:r>
        <w:rPr>
          <w:noProof/>
        </w:rPr>
        <w:t>budući da:</w:t>
      </w:r>
    </w:p>
    <w:p>
      <w:pPr>
        <w:rPr>
          <w:noProof/>
        </w:rPr>
      </w:pPr>
    </w:p>
    <w:p>
      <w:pPr>
        <w:pStyle w:val="ManualConsidrant"/>
        <w:rPr>
          <w:noProof/>
        </w:rPr>
      </w:pPr>
      <w:r>
        <w:rPr>
          <w:noProof/>
        </w:rPr>
        <w:t>(1)</w:t>
      </w:r>
      <w:r>
        <w:rPr>
          <w:noProof/>
        </w:rPr>
        <w:tab/>
        <w:t xml:space="preserve">Program potpore strukturnim reformama („Program”) uspostavljen je s ciljem jačanja kapaciteta država članica da pripreme i provedu administrativne i strukturne reforme kojima se održava rast, među ostalim putem pomoći za učinkovito i djelotvorno korištenje fondova Unije. Potporu u okviru Programa pruža Komisija na zahtjev države članice, a ona može obuhvaćati razna područja politike. Razvoj otpornih gospodarstava utemeljenih na snažnim gospodarskih i socijalnim strukturama, koja državama članicama omogućuju da učinkovito apsorbiraju šokove i brzo se oporave od njih, pridonosi gospodarskoj i socijalnoj koheziji. Za ostvarivanje tog razvoja primjeren je alat provedba institucijskih i administrativnih reformi te strukturnih reformi kojima se održava rast. </w:t>
      </w:r>
    </w:p>
    <w:p>
      <w:pPr>
        <w:pStyle w:val="ManualConsidrant"/>
        <w:rPr>
          <w:noProof/>
        </w:rPr>
      </w:pPr>
      <w:r>
        <w:rPr>
          <w:noProof/>
        </w:rPr>
        <w:t>(2)</w:t>
      </w:r>
      <w:r>
        <w:rPr>
          <w:noProof/>
        </w:rPr>
        <w:tab/>
        <w:t>Države članice podnose sve više zahtjeva za potporu u okviru Programa, a početna su očekivanja premašena. Na temelju procijenjene vrijednosti, zahtjevi za potporu koje je Komisija primila u ciklusu za 2017. znatno su premašili dostupna sredstva dodijeljena za tu godinu. U ciklusu za 2018. procijenjena vrijednost primljenih zahtjeva peterostruko je veća od iznosa financijskih sredstava dostupnih za tu godinu. Gotovo su sve države članice zatražile potporu u okviru Programa, a zahtjevi obuhvaćaju sva područja politike obuhvaćena njime.</w:t>
      </w:r>
    </w:p>
    <w:p>
      <w:pPr>
        <w:pStyle w:val="ManualConsidrant"/>
        <w:rPr>
          <w:noProof/>
        </w:rPr>
      </w:pPr>
      <w:r>
        <w:rPr>
          <w:noProof/>
        </w:rPr>
        <w:t>(3)</w:t>
      </w:r>
      <w:r>
        <w:rPr>
          <w:noProof/>
        </w:rPr>
        <w:tab/>
        <w:t>Jačanje gospodarske i socijalne kohezije s pomoću intenzivnije provedbe strukturnih reformi neophodno je za uspješno sudjelovanje u ekonomskoj i monetarnoj uniji. To je posebno važno za države članice čija valuta nije euro u njihovoj pripremi za pridruživanje europodručju.</w:t>
      </w:r>
    </w:p>
    <w:p>
      <w:pPr>
        <w:pStyle w:val="ManualConsidrant"/>
        <w:rPr>
          <w:noProof/>
        </w:rPr>
      </w:pPr>
      <w:r>
        <w:rPr>
          <w:noProof/>
        </w:rPr>
        <w:t>(4)</w:t>
      </w:r>
      <w:r>
        <w:rPr>
          <w:noProof/>
        </w:rPr>
        <w:tab/>
        <w:t>Stoga je primjereno u općem cilju Programa – u okviru njegova doprinosa odgovoru na ekonomske i društvene izazove – istaknuti da bi poboljšanja kohezije, konkurentnosti, produktivnosti, održivog rasta i stvaranja radnih mjesta trebala doprinijeti i pripremi za pridruživanje europodručju država članica čija valuta nije euro.</w:t>
      </w:r>
    </w:p>
    <w:p>
      <w:pPr>
        <w:pStyle w:val="ManualConsidrant"/>
        <w:rPr>
          <w:noProof/>
        </w:rPr>
      </w:pPr>
      <w:r>
        <w:rPr>
          <w:noProof/>
        </w:rPr>
        <w:t>(5)</w:t>
      </w:r>
      <w:r>
        <w:rPr>
          <w:noProof/>
        </w:rPr>
        <w:tab/>
        <w:t>Osim toga, potrebno je navesti da se mjerama i aktivnostima u okviru Programa može pružati potpora reformama koje bi državama članicama koje žele uvesti euro mogle pomoći u pripremi za pristupanje europodručju.</w:t>
      </w:r>
    </w:p>
    <w:p>
      <w:pPr>
        <w:pStyle w:val="ManualConsidrant"/>
        <w:rPr>
          <w:noProof/>
        </w:rPr>
      </w:pPr>
      <w:r>
        <w:rPr>
          <w:noProof/>
        </w:rPr>
        <w:t>(6)</w:t>
      </w:r>
      <w:r>
        <w:rPr>
          <w:noProof/>
        </w:rPr>
        <w:tab/>
        <w:t>Kako bi se zadovoljila sve veća potražnja država članica za potporom te s obzirom na potrebu za potporom u provedbi strukturnih reformi u državama članicama čija valuta nije euro, financijska sredstva dodijeljena za Program trebalo bi povećati do razine koja bi bila dovoljna da Unija može pružiti potporu u skladu s potrebama država članica koje podnesu zahtjeve.</w:t>
      </w:r>
    </w:p>
    <w:p>
      <w:pPr>
        <w:pStyle w:val="ManualConsidrant"/>
        <w:rPr>
          <w:noProof/>
        </w:rPr>
      </w:pPr>
      <w:r>
        <w:rPr>
          <w:noProof/>
        </w:rPr>
        <w:t>(7)</w:t>
      </w:r>
      <w:r>
        <w:rPr>
          <w:noProof/>
        </w:rPr>
        <w:tab/>
        <w:t xml:space="preserve">Kako bi se potpora pružila što prije, Komisija bi trebala dio financijske omotnice moći iskoristiti i za financiranje troškova pomoćnih aktivnosti u okviru Programa, kao što su troškovi povezani s kontrolom kvalitete i praćenjem projekata na terenu. </w:t>
      </w:r>
    </w:p>
    <w:p>
      <w:pPr>
        <w:pStyle w:val="ManualConsidrant"/>
        <w:rPr>
          <w:noProof/>
        </w:rPr>
      </w:pPr>
      <w:r>
        <w:rPr>
          <w:noProof/>
        </w:rPr>
        <w:t>(8)</w:t>
      </w:r>
      <w:r>
        <w:rPr>
          <w:noProof/>
        </w:rPr>
        <w:tab/>
        <w:t>Uredbu (EU) 2017/825 trebalo bi stoga na odgovarajući način izmijeniti.</w:t>
      </w:r>
    </w:p>
    <w:p>
      <w:pPr>
        <w:pStyle w:val="ManualConsidrant"/>
        <w:rPr>
          <w:noProof/>
        </w:rPr>
      </w:pPr>
      <w:r>
        <w:rPr>
          <w:noProof/>
        </w:rPr>
        <w:t>(9)</w:t>
      </w:r>
      <w:r>
        <w:rPr>
          <w:noProof/>
        </w:rPr>
        <w:tab/>
        <w:t xml:space="preserve">Kako bi se omogućila brza primjena mjera predviđenih ovom Uredbom, ona bi trebala stupiti na snagu sljedećeg dana od dana objave u </w:t>
      </w:r>
      <w:r>
        <w:rPr>
          <w:i/>
          <w:noProof/>
        </w:rPr>
        <w:t>Službenom listu Europske unije</w:t>
      </w:r>
      <w:r>
        <w:rPr>
          <w:noProof/>
        </w:rPr>
        <w:t>,</w:t>
      </w:r>
    </w:p>
    <w:p>
      <w:pPr>
        <w:rPr>
          <w:noProof/>
        </w:rPr>
      </w:pPr>
    </w:p>
    <w:p>
      <w:pPr>
        <w:pStyle w:val="Formuledadoption"/>
        <w:rPr>
          <w:noProof/>
        </w:rPr>
      </w:pPr>
      <w:r>
        <w:rPr>
          <w:noProof/>
        </w:rPr>
        <w:t>DONIJELI SU OVU UREDBU:</w:t>
      </w:r>
    </w:p>
    <w:p>
      <w:pPr>
        <w:pStyle w:val="Titrearticle"/>
        <w:rPr>
          <w:noProof/>
        </w:rPr>
      </w:pPr>
      <w:r>
        <w:rPr>
          <w:noProof/>
        </w:rPr>
        <w:t>Članak 1.</w:t>
      </w:r>
    </w:p>
    <w:p>
      <w:pPr>
        <w:rPr>
          <w:noProof/>
        </w:rPr>
      </w:pPr>
      <w:r>
        <w:rPr>
          <w:noProof/>
        </w:rPr>
        <w:t xml:space="preserve">Uredba (EU) 2017/825 mijenja se kako slijedi: </w:t>
      </w:r>
    </w:p>
    <w:p>
      <w:pPr>
        <w:rPr>
          <w:noProof/>
        </w:rPr>
      </w:pPr>
    </w:p>
    <w:p>
      <w:pPr>
        <w:rPr>
          <w:noProof/>
        </w:rPr>
      </w:pPr>
      <w:r>
        <w:rPr>
          <w:noProof/>
        </w:rPr>
        <w:t>1.</w:t>
      </w:r>
      <w:r>
        <w:rPr>
          <w:noProof/>
        </w:rPr>
        <w:tab/>
        <w:t>Članak 4. zamjenjuje se sljedećim:</w:t>
      </w:r>
    </w:p>
    <w:p>
      <w:pPr>
        <w:ind w:left="720"/>
        <w:rPr>
          <w:noProof/>
        </w:rPr>
      </w:pPr>
      <w:r>
        <w:rPr>
          <w:noProof/>
        </w:rPr>
        <w:t>„Članak 4.</w:t>
      </w:r>
    </w:p>
    <w:p>
      <w:pPr>
        <w:ind w:left="720"/>
        <w:rPr>
          <w:noProof/>
        </w:rPr>
      </w:pPr>
      <w:r>
        <w:rPr>
          <w:noProof/>
        </w:rPr>
        <w:t>Opći cilj</w:t>
      </w:r>
    </w:p>
    <w:p>
      <w:pPr>
        <w:ind w:left="720"/>
        <w:rPr>
          <w:noProof/>
        </w:rPr>
      </w:pPr>
      <w:r>
        <w:rPr>
          <w:noProof/>
        </w:rPr>
        <w:t>Opći je cilj Programa doprinijeti institucijskim i administrativnim reformama te strukturnim reformama kojima se održava rast u državama članicama pružanjem potpore nacionalnim tijelima za mjere usmjerene na reformiranje i jačanje institucija, upravljanja, javne uprave te gospodarskog i socijalnog sektora kao odgovor na ekonomske i društvene izazove, a s ciljem poboljšanja kohezije, konkurentnosti, produktivnosti, održivog rasta, stvaranja radnih mjesta i ulaganja, što doprinosi i pripremi za pridruživanje europodručju, osobito u kontekstu procesâ ekonomskog upravljanja, među ostalim putem pomoći za učinkovito, djelotvorno i transparentno korištenje fondova Unije.”.</w:t>
      </w:r>
    </w:p>
    <w:p>
      <w:pPr>
        <w:rPr>
          <w:noProof/>
        </w:rPr>
      </w:pPr>
    </w:p>
    <w:p>
      <w:pPr>
        <w:rPr>
          <w:noProof/>
        </w:rPr>
      </w:pPr>
      <w:r>
        <w:rPr>
          <w:noProof/>
        </w:rPr>
        <w:t>2.</w:t>
      </w:r>
      <w:r>
        <w:rPr>
          <w:noProof/>
        </w:rPr>
        <w:tab/>
        <w:t>Dodaje se članak 5.a:</w:t>
      </w:r>
    </w:p>
    <w:p>
      <w:pPr>
        <w:ind w:firstLine="720"/>
        <w:rPr>
          <w:noProof/>
        </w:rPr>
      </w:pPr>
      <w:r>
        <w:rPr>
          <w:noProof/>
        </w:rPr>
        <w:t>„Članak 5.a</w:t>
      </w:r>
    </w:p>
    <w:p>
      <w:pPr>
        <w:ind w:firstLine="720"/>
        <w:rPr>
          <w:noProof/>
        </w:rPr>
      </w:pPr>
      <w:r>
        <w:rPr>
          <w:noProof/>
        </w:rPr>
        <w:t>Potpora u pripremi za pridruživanje europodručju</w:t>
      </w:r>
    </w:p>
    <w:p>
      <w:pPr>
        <w:ind w:left="720"/>
        <w:rPr>
          <w:noProof/>
          <w:color w:val="1F497D"/>
        </w:rPr>
      </w:pPr>
      <w:r>
        <w:rPr>
          <w:noProof/>
        </w:rPr>
        <w:t>U okviru Programa mogu se financirati mjere i aktivnosti za potporu reformama koje bi mogle pomoći državama članicama u pripremi za pridruživanje europodručju.”.</w:t>
      </w:r>
    </w:p>
    <w:p>
      <w:pPr>
        <w:ind w:left="720"/>
        <w:rPr>
          <w:noProof/>
        </w:rPr>
      </w:pPr>
    </w:p>
    <w:p>
      <w:pPr>
        <w:rPr>
          <w:noProof/>
        </w:rPr>
      </w:pPr>
      <w:r>
        <w:rPr>
          <w:noProof/>
        </w:rPr>
        <w:t>3.</w:t>
      </w:r>
      <w:r>
        <w:rPr>
          <w:noProof/>
        </w:rPr>
        <w:tab/>
        <w:t>Članak 10. mijenja se kako slijedi:</w:t>
      </w:r>
    </w:p>
    <w:p>
      <w:pPr>
        <w:ind w:firstLine="720"/>
        <w:rPr>
          <w:noProof/>
        </w:rPr>
      </w:pPr>
      <w:r>
        <w:rPr>
          <w:noProof/>
        </w:rPr>
        <w:t>(a) stavak 1. zamjenjuje se sljedećim:</w:t>
      </w:r>
    </w:p>
    <w:p>
      <w:pPr>
        <w:pStyle w:val="ti-art"/>
        <w:ind w:left="720"/>
        <w:jc w:val="both"/>
        <w:rPr>
          <w:noProof/>
        </w:rPr>
      </w:pPr>
      <w:r>
        <w:rPr>
          <w:noProof/>
        </w:rPr>
        <w:t>„1.   Financijska omotnica za provedbu Programa iznosi 222 800 000 EUR prema tekućim cijenama.”;</w:t>
      </w:r>
    </w:p>
    <w:p>
      <w:pPr>
        <w:ind w:firstLine="720"/>
        <w:rPr>
          <w:noProof/>
        </w:rPr>
      </w:pPr>
      <w:r>
        <w:rPr>
          <w:noProof/>
        </w:rPr>
        <w:t>(b) u stavku 2. dodaje se sljedeća rečenica:</w:t>
      </w:r>
    </w:p>
    <w:p>
      <w:pPr>
        <w:pStyle w:val="Normal1"/>
        <w:ind w:left="720"/>
        <w:jc w:val="both"/>
        <w:rPr>
          <w:noProof/>
        </w:rPr>
      </w:pPr>
      <w:r>
        <w:rPr>
          <w:noProof/>
        </w:rPr>
        <w:t>„Mogu biti obuhvaćeni i troškovi za druge pomoćne aktivnosti, kao što su kontrola kvalitete i praćenje projekata potpore na terenu.”.</w:t>
      </w:r>
    </w:p>
    <w:p>
      <w:pPr>
        <w:rPr>
          <w:noProof/>
        </w:rPr>
      </w:pPr>
    </w:p>
    <w:p>
      <w:pPr>
        <w:pStyle w:val="Titrearticle"/>
        <w:rPr>
          <w:noProof/>
        </w:rPr>
      </w:pPr>
      <w:r>
        <w:rPr>
          <w:noProof/>
        </w:rPr>
        <w:t>Članak 2.</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rPr>
          <w:noProof/>
        </w:rPr>
      </w:pPr>
    </w:p>
    <w:p>
      <w:pPr>
        <w:pStyle w:val="Applicationdirecte"/>
        <w:rPr>
          <w:noProof/>
        </w:rPr>
      </w:pPr>
      <w:r>
        <w:rPr>
          <w:noProof/>
        </w:rPr>
        <w:t>Ova je Uredba u cijelosti obvezujuća i izravno se primjenjuje u svim državama članicama.</w:t>
      </w:r>
    </w:p>
    <w:p>
      <w:pPr>
        <w:pStyle w:val="Applicationdirecte"/>
        <w:rPr>
          <w:noProof/>
        </w:rPr>
      </w:pP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spacing w:before="0" w:after="200" w:line="276" w:lineRule="auto"/>
        <w:jc w:val="left"/>
        <w:rPr>
          <w:noProof/>
        </w:rPr>
      </w:pPr>
      <w:r>
        <w:rPr>
          <w:noProof/>
        </w:rPr>
        <w:br w:type="page"/>
      </w: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Procijenjeni utjecaj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 uredbe Europskog parlamenta i Vijeća o izmjeni Uredbe (EU) 2017/825 radi povećanja financijske omotnice Programa potpore strukturnim reformama i izmjene njegova općeg cilja </w:t>
      </w:r>
    </w:p>
    <w:p>
      <w:pPr>
        <w:pStyle w:val="ManualHeading2"/>
        <w:rPr>
          <w:noProof/>
          <w:szCs w:val="24"/>
        </w:rPr>
      </w:pPr>
      <w:r>
        <w:rPr>
          <w:noProof/>
        </w:rPr>
        <w:t>1.2.</w:t>
      </w:r>
      <w:r>
        <w:rPr>
          <w:noProof/>
        </w:rPr>
        <w:tab/>
        <w:t>Odgovarajuća područja politike</w:t>
      </w:r>
      <w:r>
        <w:rPr>
          <w:i/>
          <w:noProof/>
        </w:rPr>
        <w:t xml:space="preserve"> </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Područje politike: </w:t>
      </w:r>
      <w:r>
        <w:rPr>
          <w:caps/>
          <w:noProof/>
        </w:rPr>
        <w:t>Koordinacija politika Komisije i pravno savjetovanje</w:t>
      </w:r>
    </w:p>
    <w:p>
      <w:pPr>
        <w:pStyle w:val="Text1"/>
        <w:pBdr>
          <w:top w:val="single" w:sz="4" w:space="1" w:color="auto"/>
          <w:left w:val="single" w:sz="4" w:space="4" w:color="auto"/>
          <w:bottom w:val="single" w:sz="4" w:space="1" w:color="auto"/>
          <w:right w:val="single" w:sz="4" w:space="4" w:color="auto"/>
        </w:pBdr>
        <w:jc w:val="left"/>
        <w:rPr>
          <w:noProof/>
        </w:rPr>
      </w:pPr>
      <w:r>
        <w:rPr>
          <w:noProof/>
        </w:rPr>
        <w:t>Aktivnost ABB-a: Program potpore strukturnim reformama</w:t>
      </w:r>
    </w:p>
    <w:p>
      <w:pPr>
        <w:pStyle w:val="Text1"/>
        <w:pBdr>
          <w:top w:val="single" w:sz="4" w:space="1" w:color="auto"/>
          <w:left w:val="single" w:sz="4" w:space="4" w:color="auto"/>
          <w:bottom w:val="single" w:sz="4" w:space="1" w:color="auto"/>
          <w:right w:val="single" w:sz="4" w:space="4" w:color="auto"/>
        </w:pBdr>
        <w:jc w:val="left"/>
        <w:rPr>
          <w:noProof/>
        </w:rPr>
      </w:pPr>
      <w:r>
        <w:rPr>
          <w:noProof/>
        </w:rPr>
        <w:t>Za detaljan popis aktivnosti ABB-a, vidi odjeljak 3.2.</w:t>
      </w:r>
    </w:p>
    <w:p>
      <w:pPr>
        <w:pStyle w:val="Text1"/>
        <w:pBdr>
          <w:top w:val="single" w:sz="4" w:space="1" w:color="auto"/>
          <w:left w:val="single" w:sz="4" w:space="4" w:color="auto"/>
          <w:bottom w:val="single" w:sz="4" w:space="1" w:color="auto"/>
          <w:right w:val="single" w:sz="4" w:space="4" w:color="auto"/>
        </w:pBdr>
        <w:jc w:val="left"/>
        <w:rPr>
          <w:noProof/>
        </w:rPr>
      </w:pPr>
      <w:r>
        <w:rPr>
          <w:noProof/>
        </w:rPr>
        <w:t>Područje politike: Zapošljavanje, socijalna pitanja i uključivanje</w:t>
      </w:r>
    </w:p>
    <w:p>
      <w:pPr>
        <w:pStyle w:val="Text1"/>
        <w:pBdr>
          <w:top w:val="single" w:sz="4" w:space="1" w:color="auto"/>
          <w:left w:val="single" w:sz="4" w:space="4" w:color="auto"/>
          <w:bottom w:val="single" w:sz="4" w:space="1" w:color="auto"/>
          <w:right w:val="single" w:sz="4" w:space="4" w:color="auto"/>
        </w:pBdr>
        <w:jc w:val="left"/>
        <w:rPr>
          <w:noProof/>
        </w:rPr>
      </w:pPr>
      <w:r>
        <w:rPr>
          <w:noProof/>
        </w:rPr>
        <w:t>Područje politike: Regionalna i urbana politika</w:t>
      </w:r>
    </w:p>
    <w:p>
      <w:pPr>
        <w:pStyle w:val="Text1"/>
        <w:pBdr>
          <w:top w:val="single" w:sz="4" w:space="1" w:color="auto"/>
          <w:left w:val="single" w:sz="4" w:space="4" w:color="auto"/>
          <w:bottom w:val="single" w:sz="4" w:space="1" w:color="auto"/>
          <w:right w:val="single" w:sz="4" w:space="4" w:color="auto"/>
        </w:pBdr>
        <w:rPr>
          <w:noProof/>
        </w:rPr>
      </w:pPr>
      <w:r>
        <w:rPr>
          <w:noProof/>
        </w:rPr>
        <w:t>Područje politike: Poljoprivreda i ruralni razvoj</w:t>
      </w:r>
    </w:p>
    <w:p>
      <w:pPr>
        <w:pStyle w:val="Text1"/>
        <w:pBdr>
          <w:top w:val="single" w:sz="4" w:space="1" w:color="auto"/>
          <w:left w:val="single" w:sz="4" w:space="4" w:color="auto"/>
          <w:bottom w:val="single" w:sz="4" w:space="1" w:color="auto"/>
          <w:right w:val="single" w:sz="4" w:space="4" w:color="auto"/>
        </w:pBdr>
        <w:rPr>
          <w:noProof/>
        </w:rPr>
      </w:pPr>
      <w:r>
        <w:rPr>
          <w:noProof/>
        </w:rPr>
        <w:t>Područje politike: Migracije i azil</w:t>
      </w:r>
    </w:p>
    <w:p>
      <w:pPr>
        <w:pStyle w:val="Text1"/>
        <w:pBdr>
          <w:top w:val="single" w:sz="4" w:space="1" w:color="auto"/>
          <w:left w:val="single" w:sz="4" w:space="4" w:color="auto"/>
          <w:bottom w:val="single" w:sz="4" w:space="1" w:color="auto"/>
          <w:right w:val="single" w:sz="4" w:space="4" w:color="auto"/>
        </w:pBdr>
        <w:rPr>
          <w:noProof/>
        </w:rPr>
      </w:pPr>
      <w:r>
        <w:rPr>
          <w:noProof/>
        </w:rPr>
        <w:t>Područje politike: Gospodarski i financijski poslovi</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8"/>
      </w:r>
      <w:r>
        <w:rPr>
          <w:noProof/>
          <w:sz w:val="22"/>
        </w:rPr>
        <w:t xml:space="preserve"> </w:t>
      </w:r>
    </w:p>
    <w:p>
      <w:pPr>
        <w:pStyle w:val="Text1"/>
        <w:rPr>
          <w:noProof/>
          <w:sz w:val="22"/>
        </w:rPr>
      </w:pPr>
      <w:r>
        <w:rPr>
          <w:noProof/>
          <w:sz w:val="22"/>
        </w:rPr>
        <w:sym w:font="Wingdings" w:char="F0FC"/>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Program doprinosi prioritetu „novi poticaj za zapošljavanje, rast i ulaganja”. </w:t>
      </w:r>
    </w:p>
    <w:p>
      <w:pPr>
        <w:pStyle w:val="Text1"/>
        <w:pBdr>
          <w:top w:val="single" w:sz="4" w:space="1" w:color="auto"/>
          <w:left w:val="single" w:sz="4" w:space="4" w:color="auto"/>
          <w:bottom w:val="single" w:sz="4" w:space="0" w:color="auto"/>
          <w:right w:val="single" w:sz="4" w:space="4" w:color="auto"/>
        </w:pBdr>
        <w:rPr>
          <w:noProof/>
        </w:rPr>
      </w:pPr>
      <w:r>
        <w:rPr>
          <w:noProof/>
        </w:rPr>
        <w:t>Opći je cilj Programa, kako je izmijenjen ovim Prijedlogom, doprinijeti institucijskim i administrativnim reformama te strukturnim reformama kojima se održava rast u državama članicama pružanjem potpore nacionalnim tijelima za mjere usmjerene na reformiranje i jačanje institucija, upravljanja, javne uprave te gospodarskog i socijalnog sektora kao odgovor na gospodarske i društvene izazove, a s ciljem poboljšanja kohezije, konkurentnosti, produktivnosti, održivog rasta, stvaranja radnih mjesta i ulaganja, što doprinosi i pripremi za pridruživanje europodručju, osobito u kontekstu procesâ ekonomskog upravljanja, među ostalim putem pomoći za učinkovito, djelotvorno i transparentno korištenje fondova Unije.</w:t>
      </w:r>
    </w:p>
    <w:p>
      <w:pPr>
        <w:pStyle w:val="Text1"/>
        <w:pBdr>
          <w:top w:val="single" w:sz="4" w:space="1" w:color="auto"/>
          <w:left w:val="single" w:sz="4" w:space="4" w:color="auto"/>
          <w:bottom w:val="single" w:sz="4" w:space="0" w:color="auto"/>
          <w:right w:val="single" w:sz="4" w:space="4" w:color="auto"/>
        </w:pBdr>
        <w:rPr>
          <w:noProof/>
        </w:rPr>
      </w:pPr>
      <w:r>
        <w:rPr>
          <w:noProof/>
        </w:rPr>
        <w:t>Konkretno, na temelju predložene izmjene Program će ujedno doprinijeti potpori reformama koje bi mogle pomoći državama članicama u pripremi za pridruživanje europodručju.</w:t>
      </w:r>
    </w:p>
    <w:p>
      <w:pPr>
        <w:pStyle w:val="ManualHeading3"/>
        <w:rPr>
          <w:bCs/>
          <w:noProof/>
          <w:szCs w:val="24"/>
        </w:rPr>
      </w:pPr>
      <w:r>
        <w:rPr>
          <w:noProof/>
        </w:rPr>
        <w:t>1.4.2.</w:t>
      </w:r>
      <w:r>
        <w:rPr>
          <w:noProof/>
        </w:rPr>
        <w:tab/>
        <w:t xml:space="preserve">Posebni ciljevi i posebni cilj br. [ ]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Budući da je ovo prijedlog izmjene Uredbe (EU) 2017/825, posebni ciljevi prijedloga jednaki su kao ciljevi iz članka 5. te uredbe.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Očekivani rezultati jednaki su kao očekivani rezultati iz Uredbe (EU) 2017/825 kako su navedeni u Prijedlogu COM(2015) 701 final.</w:t>
      </w:r>
    </w:p>
    <w:p>
      <w:pPr>
        <w:pStyle w:val="Text1"/>
        <w:pBdr>
          <w:top w:val="single" w:sz="4" w:space="1" w:color="auto"/>
          <w:left w:val="single" w:sz="4" w:space="4" w:color="auto"/>
          <w:bottom w:val="single" w:sz="4" w:space="1" w:color="auto"/>
          <w:right w:val="single" w:sz="4" w:space="4" w:color="auto"/>
        </w:pBdr>
        <w:rPr>
          <w:noProof/>
        </w:rPr>
      </w:pPr>
      <w:r>
        <w:rPr>
          <w:noProof/>
        </w:rPr>
        <w:t>Osim toga, očekuje se da će se predloženom izmjenom pojačati administrativni kapaciteti država članica za reforme institucija, uprave te gospodarskog i socijalnog sektora kako bi se potaknula održiva konvergencija i kako bi se državama članicama pomoglo u pripremi za pridruživanje europodručju.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bCs/>
          <w:noProof/>
          <w:szCs w:val="24"/>
        </w:rPr>
      </w:pPr>
      <w:r>
        <w:rPr>
          <w:noProof/>
        </w:rPr>
        <w:t>Budući da je ovo prijedlog izmjene Uredbe (EU) 2017/825, primjenjuju se pokazatelji za praćenje rezultata i utjecaja iz priloga toj uredbi.</w:t>
      </w:r>
    </w:p>
    <w:p>
      <w:pPr>
        <w:pStyle w:val="ManualHeading3"/>
        <w:rPr>
          <w:noProof/>
        </w:rPr>
      </w:pPr>
      <w:r>
        <w:rPr>
          <w:noProof/>
        </w:rPr>
        <w:t>1.4.5.</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Primjenjuju se zahtjevi iz Uredbe (EU) 2017/825 kako su navedeni u Prijedlogu COM(2015) 701 final. </w:t>
      </w:r>
    </w:p>
    <w:p>
      <w:pPr>
        <w:pStyle w:val="Text1"/>
        <w:pBdr>
          <w:top w:val="single" w:sz="4" w:space="1" w:color="auto"/>
          <w:left w:val="single" w:sz="4" w:space="4" w:color="auto"/>
          <w:bottom w:val="single" w:sz="4" w:space="1" w:color="auto"/>
          <w:right w:val="single" w:sz="4" w:space="4" w:color="auto"/>
        </w:pBdr>
        <w:rPr>
          <w:noProof/>
        </w:rPr>
      </w:pPr>
      <w:r>
        <w:rPr>
          <w:noProof/>
        </w:rPr>
        <w:t>Osim toga, očekuje se da će se predloženom izmjenom potaknuti održiva konvergencija kako bi se državama članicama pomoglo u pripremi za pridruživanje europodručju.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3"/>
        <w:rPr>
          <w:bCs/>
          <w:noProof/>
          <w:szCs w:val="24"/>
        </w:rPr>
      </w:pPr>
      <w:r>
        <w:rPr>
          <w:noProof/>
        </w:rPr>
        <w:t>1.4.6.</w:t>
      </w:r>
      <w:r>
        <w:rPr>
          <w:noProof/>
        </w:rPr>
        <w:tab/>
        <w:t>Dodana vrijednost sudjelovanja Unije (može proizlaziti iz raznih čimbenika, npr. bolje koordinacije, pravne sigurnosti, veće djelotvornosti ili komplementarnosti). Za potrebe ove točke „dodana vrijednost sudjelovanja Unije” vrijednost je koja proizlazi iz intervencije Unije i dodana je vrijednosti koju bi inače države članice ostvarile same.</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Budući da je ovo prijedlog izmjene Uredbe (EU) 2017/825, dodana vrijednost Programa jednaka je dodanoj vrijednosti iz članka 3. te uredbe. </w:t>
      </w:r>
    </w:p>
    <w:p>
      <w:pPr>
        <w:pStyle w:val="Text1"/>
        <w:pBdr>
          <w:top w:val="single" w:sz="4" w:space="1" w:color="auto"/>
          <w:left w:val="single" w:sz="4" w:space="4" w:color="auto"/>
          <w:bottom w:val="single" w:sz="4" w:space="1" w:color="auto"/>
          <w:right w:val="single" w:sz="4" w:space="4" w:color="auto"/>
        </w:pBdr>
        <w:rPr>
          <w:noProof/>
        </w:rPr>
      </w:pPr>
      <w:r>
        <w:rPr>
          <w:noProof/>
        </w:rPr>
        <w:t>Osim toga, Unija može bolje nego države članice pronalaziti, mobilizirati i koordinirati najbolje dostupno stručno znanje (iz službi europskih institucija, iz drugih zemalja ili iz međunarodnih organizacija) te poticati razmjene dobrih praksi (i osiguravati njihovo stalno širenje na razini Unije) u cilju potpore u provedbi ciljanih reformi kojima se održava rast u državama članicama te u cilju pomaganja državama članicama izvan europodručja u pripremi za pridruživanje europodručju.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1.4.7.</w:t>
      </w:r>
      <w:r>
        <w:rPr>
          <w:noProof/>
        </w:rPr>
        <w:tab/>
        <w:t>Pouke iz prijašnjih sličnih iskustava</w:t>
      </w:r>
    </w:p>
    <w:p>
      <w:pPr>
        <w:pStyle w:val="Text1"/>
        <w:pBdr>
          <w:top w:val="single" w:sz="4" w:space="1" w:color="auto"/>
          <w:left w:val="single" w:sz="4" w:space="4" w:color="auto"/>
          <w:bottom w:val="single" w:sz="4" w:space="0" w:color="auto"/>
          <w:right w:val="single" w:sz="4" w:space="4" w:color="auto"/>
        </w:pBdr>
        <w:rPr>
          <w:noProof/>
        </w:rPr>
      </w:pPr>
      <w:r>
        <w:rPr>
          <w:noProof/>
        </w:rPr>
        <w:t xml:space="preserve">Na temelju iskustva iz provedbe pripremnog djelovanja „Razvoj kapaciteta i izgradnja institucija radi podupiranja provedbe gospodarskih reformi” te posebno iz prve godine provedbe Programa potpore strukturnim reformama dokazana je korisnost programa tehničke potpore koji je otvoren za sve države članice i razna područja – države članice potvrdile su da žele da im Komisija pruži svoje stručno znanje kao potporu u provedbi njihovih vlastitih reformi ili reformi koje se provode u skladu s preporukama iz postupka europskog semestra. </w:t>
      </w:r>
    </w:p>
    <w:p>
      <w:pPr>
        <w:pStyle w:val="Text1"/>
        <w:pBdr>
          <w:top w:val="single" w:sz="4" w:space="1" w:color="auto"/>
          <w:left w:val="single" w:sz="4" w:space="4" w:color="auto"/>
          <w:bottom w:val="single" w:sz="4" w:space="0" w:color="auto"/>
          <w:right w:val="single" w:sz="4" w:space="4" w:color="auto"/>
        </w:pBdr>
        <w:rPr>
          <w:noProof/>
        </w:rPr>
      </w:pPr>
      <w:r>
        <w:rPr>
          <w:noProof/>
        </w:rPr>
        <w:t>Gotovo su sve države članice (ukupno 24) 2018. podnijele zahtjeve za potporu, a iznos zatražene potpore i 2017. i 2018. znatno je premašio proračunska sredstva dodijeljena za Program. To je jasan pokazatelj da stvarne potrebe za potporom i interes država članica daleko premašuju trenutačno raspoloživa financijska sredstva u Programu.</w:t>
      </w:r>
    </w:p>
    <w:p>
      <w:pPr>
        <w:pStyle w:val="ManualHeading3"/>
        <w:rPr>
          <w:bCs/>
          <w:noProof/>
          <w:szCs w:val="24"/>
        </w:rPr>
      </w:pPr>
      <w:r>
        <w:rPr>
          <w:noProof/>
        </w:rPr>
        <w:t>1.4.8.</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služi kao nadopuna postojećim resursima za izgradnju sposobnosti i tehničku pomoć koji su dostupni u drugim programima financiranja Unije u višegodišnjem financijskom okviru te s tehničkom pomoći i drugim mjerama koje se financiraju iz fondova Unije. </w:t>
      </w:r>
    </w:p>
    <w:p>
      <w:pPr>
        <w:pStyle w:val="ManualHeading2"/>
        <w:rPr>
          <w:bCs/>
          <w:noProof/>
          <w:szCs w:val="24"/>
        </w:rPr>
      </w:pPr>
      <w:r>
        <w:rPr>
          <w:noProof/>
        </w:rPr>
        <w:t>1.5.</w:t>
      </w:r>
      <w:r>
        <w:rPr>
          <w:noProof/>
        </w:rPr>
        <w:tab/>
      </w:r>
    </w:p>
    <w:p>
      <w:pPr>
        <w:pStyle w:val="ManualHeading2"/>
        <w:rPr>
          <w:bCs/>
          <w:noProof/>
          <w:szCs w:val="24"/>
        </w:rPr>
      </w:pPr>
      <w:r>
        <w:rPr>
          <w:noProof/>
        </w:rPr>
        <w:t>1.6.</w:t>
      </w:r>
      <w:r>
        <w:rPr>
          <w:noProof/>
        </w:rPr>
        <w:tab/>
        <w:t xml:space="preserve">Trajanje i financijski utjecaj </w:t>
      </w:r>
    </w:p>
    <w:p>
      <w:pPr>
        <w:pStyle w:val="Text1"/>
        <w:rPr>
          <w:noProof/>
        </w:rPr>
      </w:pPr>
      <w:r>
        <w:rPr>
          <w:noProof/>
        </w:rPr>
        <w:sym w:font="Wingdings" w:char="F0FC"/>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FC"/>
      </w:r>
      <w:r>
        <w:rPr>
          <w:noProof/>
        </w:rPr>
        <w:tab/>
        <w:t>prijedlog/inicijativa na snazi od 2019. do 2020.</w:t>
      </w:r>
    </w:p>
    <w:p>
      <w:pPr>
        <w:pStyle w:val="ListDash2"/>
        <w:rPr>
          <w:noProof/>
        </w:rPr>
      </w:pPr>
      <w:r>
        <w:rPr>
          <w:noProof/>
        </w:rPr>
        <w:sym w:font="Wingdings" w:char="F0FC"/>
      </w:r>
      <w:r>
        <w:rPr>
          <w:noProof/>
        </w:rPr>
        <w:tab/>
        <w:t xml:space="preserve">financijski utjecaj od 2019. do 2020. </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slijedi redovna provedba.</w:t>
      </w:r>
    </w:p>
    <w:p>
      <w:pPr>
        <w:pStyle w:val="ManualHeading2"/>
        <w:rPr>
          <w:bCs/>
          <w:noProof/>
          <w:szCs w:val="24"/>
        </w:rPr>
      </w:pPr>
      <w:r>
        <w:rPr>
          <w:noProof/>
        </w:rPr>
        <w:t>1.7.</w:t>
      </w:r>
      <w:r>
        <w:rPr>
          <w:noProof/>
        </w:rPr>
        <w:tab/>
        <w:t>Predviđene metode upravljanja</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i/>
          <w:noProof/>
        </w:rPr>
        <w:t xml:space="preserve"> </w:t>
      </w:r>
      <w:r>
        <w:rPr>
          <w:b/>
          <w:noProof/>
        </w:rPr>
        <w:t>Izravno upravljanje</w:t>
      </w:r>
      <w:r>
        <w:rPr>
          <w:noProof/>
        </w:rPr>
        <w:t xml:space="preserve"> Komisije</w:t>
      </w:r>
    </w:p>
    <w:p>
      <w:pPr>
        <w:pStyle w:val="ListDash2"/>
        <w:rPr>
          <w:rFonts w:cs="EUAlbertina"/>
          <w:noProof/>
        </w:rPr>
      </w:pPr>
      <w:r>
        <w:rPr>
          <w:noProof/>
        </w:rPr>
        <w:sym w:font="Wingdings" w:char="F0FC"/>
      </w:r>
      <w:r>
        <w:rPr>
          <w:noProof/>
        </w:rPr>
        <w:t xml:space="preserve"> koje obavljaju njezini odjeli, uključujući njezino osoblje u delegacijama Unije; </w:t>
      </w:r>
    </w:p>
    <w:p>
      <w:pPr>
        <w:pStyle w:val="ListDash2"/>
        <w:rPr>
          <w:noProof/>
        </w:rPr>
      </w:pPr>
      <w:r>
        <w:rPr>
          <w:noProof/>
        </w:rPr>
        <w:sym w:font="Wingdings" w:char="F0A8"/>
      </w:r>
      <w:r>
        <w:rPr>
          <w:noProof/>
        </w:rPr>
        <w:tab/>
        <w:t xml:space="preserve">koje obavljaju 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FC"/>
      </w:r>
      <w:r>
        <w:rPr>
          <w:i/>
          <w:noProof/>
        </w:rPr>
        <w:t xml:space="preserve"> </w:t>
      </w:r>
      <w:r>
        <w:rPr>
          <w:b/>
          <w:noProof/>
        </w:rPr>
        <w:t>Neizravno upravljanje</w:t>
      </w:r>
      <w:r>
        <w:rPr>
          <w:noProof/>
        </w:rPr>
        <w:t xml:space="preserve"> delegiranjem zadaća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FC"/>
      </w:r>
      <w:r>
        <w:rPr>
          <w:noProof/>
        </w:rPr>
        <w:t xml:space="preserve"> međunarodnim organizacijama i njihovim agencijama (navesti);</w:t>
      </w:r>
    </w:p>
    <w:p>
      <w:pPr>
        <w:pStyle w:val="ListDash2"/>
        <w:rPr>
          <w:noProof/>
        </w:rPr>
      </w:pPr>
      <w:r>
        <w:rPr>
          <w:noProof/>
        </w:rPr>
        <w:sym w:font="Wingdings" w:char="F0FC"/>
      </w:r>
      <w:r>
        <w:rPr>
          <w:noProof/>
        </w:rPr>
        <w:t xml:space="preserve"> EIB-u i Europskom investicijskom fondu;</w:t>
      </w:r>
    </w:p>
    <w:p>
      <w:pPr>
        <w:pStyle w:val="ListDash2"/>
        <w:rPr>
          <w:noProof/>
        </w:rPr>
      </w:pPr>
      <w:r>
        <w:rPr>
          <w:noProof/>
        </w:rPr>
        <w:sym w:font="Wingdings" w:char="F0A8"/>
      </w:r>
      <w:r>
        <w:rPr>
          <w:noProof/>
        </w:rPr>
        <w:t xml:space="preserve"> tijelima na koja se upućuje u člancima 208. i 209. Financijske uredbe;</w:t>
      </w:r>
    </w:p>
    <w:p>
      <w:pPr>
        <w:pStyle w:val="ListDash2"/>
        <w:rPr>
          <w:noProof/>
        </w:rPr>
      </w:pPr>
      <w:r>
        <w:rPr>
          <w:noProof/>
        </w:rPr>
        <w:sym w:font="Wingdings" w:char="F0FC"/>
      </w:r>
      <w:r>
        <w:rPr>
          <w:noProof/>
        </w:rPr>
        <w:t xml:space="preserve"> tijelima javnog prava;</w:t>
      </w:r>
    </w:p>
    <w:p>
      <w:pPr>
        <w:pStyle w:val="ListDash2"/>
        <w:rPr>
          <w:noProof/>
        </w:rPr>
      </w:pPr>
      <w:r>
        <w:rPr>
          <w:noProof/>
        </w:rPr>
        <w:sym w:font="Wingdings" w:char="F0FC"/>
      </w:r>
      <w:r>
        <w:rPr>
          <w:noProof/>
        </w:rPr>
        <w:t xml:space="preserve"> tijelima uređenima privatnim pravom koja pružaju javne usluge u mjeri u kojoj daju odgovarajuća financijska jamstva;</w:t>
      </w:r>
    </w:p>
    <w:p>
      <w:pPr>
        <w:pStyle w:val="ListDash2"/>
        <w:rPr>
          <w:noProof/>
        </w:rPr>
      </w:pPr>
      <w:r>
        <w:rPr>
          <w:noProof/>
        </w:rPr>
        <w:sym w:font="Wingdings" w:char="F0FC"/>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 xml:space="preserve">To je u skladu s postojećim odredbama uredbe koja se izmjenjuje.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Primjenjuju se pravila nadzora i izvješćivanja iz izmijenjene Uredbe (EU) 2017/825.</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Utvrđeni rizici jednaki su kao utvrđeni rizici iz prijedloga na temelju kojega je donesena Uredba (EU) 2017/825, tj. COM(2015) 701 final.</w:t>
      </w:r>
    </w:p>
    <w:p>
      <w:pPr>
        <w:pStyle w:val="ManualHeading3"/>
        <w:rPr>
          <w:bCs/>
          <w:noProof/>
          <w:szCs w:val="24"/>
        </w:rPr>
      </w:pPr>
      <w:r>
        <w:rPr>
          <w:noProof/>
        </w:rPr>
        <w:t>2.2.2.</w:t>
      </w:r>
      <w:r>
        <w:rPr>
          <w:noProof/>
        </w:rPr>
        <w:tab/>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Kao što je prethodno navedeno, vidi financijski izvještaj uz COM(2015)701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Procjena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Kao što je prethodno navedeno, vidi financijski izvještaj uz COM(2015)701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Kao što je prethodno navedeno, vidi financijski izvještaj uz COM(2015)701 final.</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w:t>
      </w:r>
      <w:r>
        <w:rPr>
          <w:noProof/>
        </w:rPr>
        <w:t xml:space="preserve"> redoslijedu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rPr>
              <w:t xml:space="preserve">1b </w:t>
            </w:r>
            <w:r>
              <w:rPr>
                <w:b/>
                <w:noProof/>
                <w:sz w:val="20"/>
              </w:rPr>
              <w:t>Gospodarska, socijalna i teritorijalna kohezija</w:t>
            </w:r>
          </w:p>
        </w:tc>
        <w:tc>
          <w:tcPr>
            <w:tcW w:w="1080" w:type="dxa"/>
            <w:vAlign w:val="center"/>
          </w:tcPr>
          <w:p>
            <w:pPr>
              <w:jc w:val="center"/>
              <w:rPr>
                <w:noProof/>
              </w:rPr>
            </w:pPr>
            <w:r>
              <w:rPr>
                <w:noProof/>
                <w:sz w:val="18"/>
              </w:rPr>
              <w:t>Dif./nedif.</w:t>
            </w:r>
            <w:r>
              <w:rPr>
                <w:rStyle w:val="FootnoteReference"/>
                <w:noProof/>
                <w:sz w:val="18"/>
              </w:rPr>
              <w:footnoteReference w:id="10"/>
            </w:r>
          </w:p>
        </w:tc>
        <w:tc>
          <w:tcPr>
            <w:tcW w:w="956" w:type="dxa"/>
            <w:vAlign w:val="center"/>
          </w:tcPr>
          <w:p>
            <w:pPr>
              <w:jc w:val="center"/>
              <w:rPr>
                <w:noProof/>
              </w:rPr>
            </w:pPr>
            <w:r>
              <w:rPr>
                <w:noProof/>
                <w:sz w:val="18"/>
              </w:rPr>
              <w:t>zemalja EFTA-e</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r>
              <w:rPr>
                <w:noProof/>
                <w:color w:val="0000FF"/>
              </w:rPr>
              <w:t>1.b</w:t>
            </w:r>
          </w:p>
        </w:tc>
        <w:tc>
          <w:tcPr>
            <w:tcW w:w="3960" w:type="dxa"/>
            <w:vAlign w:val="center"/>
          </w:tcPr>
          <w:p>
            <w:pPr>
              <w:jc w:val="center"/>
              <w:rPr>
                <w:noProof/>
              </w:rPr>
            </w:pPr>
            <w:r>
              <w:rPr>
                <w:noProof/>
              </w:rPr>
              <w:t>13.08.01</w:t>
            </w:r>
          </w:p>
          <w:p>
            <w:pPr>
              <w:rPr>
                <w:noProof/>
              </w:rPr>
            </w:pP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 xml:space="preserve">NE </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Zatražene nove proračunske linije </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Procijenjeni utjecaj na rashode </w:t>
      </w: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3 decimalna mjesta)</w:t>
      </w:r>
    </w:p>
    <w:tbl>
      <w:tblPr>
        <w:tblW w:w="13380" w:type="dxa"/>
        <w:tblInd w:w="93" w:type="dxa"/>
        <w:tblLook w:val="04A0" w:firstRow="1" w:lastRow="0" w:firstColumn="1" w:lastColumn="0" w:noHBand="0" w:noVBand="1"/>
      </w:tblPr>
      <w:tblGrid>
        <w:gridCol w:w="3300"/>
        <w:gridCol w:w="1949"/>
        <w:gridCol w:w="1225"/>
        <w:gridCol w:w="944"/>
        <w:gridCol w:w="953"/>
        <w:gridCol w:w="943"/>
        <w:gridCol w:w="964"/>
        <w:gridCol w:w="964"/>
        <w:gridCol w:w="1055"/>
        <w:gridCol w:w="1083"/>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Naslov višegodišnjeg financijskog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Gospodarska, socijalna i teritorijalna kohezija/Održivi rast: Prirodni resursi</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okvira: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DG:SG / </w:t>
            </w:r>
            <w:r>
              <w:rPr>
                <w:noProof/>
                <w:color w:val="000000"/>
              </w:rPr>
              <w:t>SPSR</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Godina</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Godina</w:t>
            </w: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Godine</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UKUPNO</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2019.</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2021. i 2022.</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Odobrena sredstva za poslovanje</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Preuzete obveze</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Plaćanja</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UKUPNA odobrena sredstva</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Preuzete obveze</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 1 + 1a + 3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za 13</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Plaćanja</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 2 + 2a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5"/>
              </w:numPr>
              <w:spacing w:before="0" w:after="0"/>
              <w:rPr>
                <w:noProof/>
                <w:color w:val="000000"/>
                <w:sz w:val="21"/>
                <w:szCs w:val="21"/>
              </w:rPr>
            </w:pPr>
            <w:r>
              <w:rPr>
                <w:b/>
                <w:noProof/>
                <w:color w:val="000000"/>
                <w:sz w:val="22"/>
              </w:rPr>
              <w:t>UKUPNA odobrena sredstva za poslovanje</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Preuzete obveze</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Plaćanja</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5"/>
              </w:numPr>
              <w:spacing w:before="0" w:after="0"/>
              <w:rPr>
                <w:noProof/>
                <w:color w:val="000000"/>
                <w:sz w:val="21"/>
                <w:szCs w:val="21"/>
              </w:rPr>
            </w:pPr>
            <w:r>
              <w:rPr>
                <w:b/>
                <w:noProof/>
                <w:color w:val="000000"/>
                <w:sz w:val="22"/>
              </w:rPr>
              <w:t>UKUPNA odobrena administrativna sredstva za poslovanje koja se financiraju iz omotnice za posebne programe</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 xml:space="preserve">UKUPNA odobrena sredstva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Preuzete obveze</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 + 6)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iz NASLOVA 1b</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Plaćanja</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 + 6)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1 – 4</w:t>
            </w:r>
            <w:r>
              <w:rPr>
                <w:noProof/>
                <w:sz w:val="22"/>
              </w:rPr>
              <w:br/>
              <w:t>višegodišnjeg financijskog okvira</w:t>
            </w:r>
            <w:r>
              <w:rPr>
                <w:noProof/>
                <w:sz w:val="22"/>
              </w:rPr>
              <w:br/>
            </w:r>
            <w:r>
              <w:rPr>
                <w:noProof/>
                <w:sz w:val="20"/>
              </w:rPr>
              <w:t>(referentni iznos)</w:t>
            </w:r>
          </w:p>
        </w:tc>
        <w:tc>
          <w:tcPr>
            <w:tcW w:w="1843" w:type="dxa"/>
            <w:vAlign w:val="center"/>
          </w:tcPr>
          <w:p>
            <w:pPr>
              <w:rPr>
                <w:noProof/>
                <w:sz w:val="18"/>
              </w:rPr>
            </w:pPr>
            <w:r>
              <w:rPr>
                <w:noProof/>
                <w:sz w:val="18"/>
              </w:rPr>
              <w:t>Preuzete obveze</w:t>
            </w:r>
          </w:p>
        </w:tc>
        <w:tc>
          <w:tcPr>
            <w:tcW w:w="2410" w:type="dxa"/>
            <w:vAlign w:val="center"/>
          </w:tcPr>
          <w:p>
            <w:pPr>
              <w:jc w:val="center"/>
              <w:rPr>
                <w:noProof/>
                <w:sz w:val="14"/>
              </w:rPr>
            </w:pPr>
            <w:r>
              <w:rPr>
                <w:noProof/>
                <w:sz w:val="14"/>
              </w:rPr>
              <w:t>= 4 + 6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tcBorders>
              <w:right w:val="single" w:sz="4" w:space="0" w:color="auto"/>
            </w:tcBorders>
            <w:vAlign w:val="center"/>
          </w:tcPr>
          <w:p>
            <w:pPr>
              <w:spacing w:before="20" w:after="20"/>
              <w:jc w:val="right"/>
              <w:rPr>
                <w:b/>
                <w:noProof/>
                <w:sz w:val="20"/>
              </w:rPr>
            </w:pPr>
            <w:r>
              <w:rPr>
                <w:b/>
                <w:noProof/>
                <w:sz w:val="20"/>
              </w:rPr>
              <w:t>80,000</w:t>
            </w:r>
          </w:p>
        </w:tc>
      </w:tr>
      <w:tr>
        <w:tc>
          <w:tcPr>
            <w:tcW w:w="5463"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843" w:type="dxa"/>
            <w:tcBorders>
              <w:bottom w:val="single" w:sz="4" w:space="0" w:color="FF0000"/>
            </w:tcBorders>
            <w:vAlign w:val="center"/>
          </w:tcPr>
          <w:p>
            <w:pPr>
              <w:rPr>
                <w:noProof/>
                <w:sz w:val="18"/>
              </w:rPr>
            </w:pPr>
            <w:r>
              <w:rPr>
                <w:noProof/>
                <w:sz w:val="18"/>
              </w:rPr>
              <w:t>Plaćanja</w:t>
            </w:r>
          </w:p>
        </w:tc>
        <w:tc>
          <w:tcPr>
            <w:tcW w:w="2410" w:type="dxa"/>
            <w:tcBorders>
              <w:bottom w:val="single" w:sz="4" w:space="0" w:color="FF0000"/>
            </w:tcBorders>
            <w:vAlign w:val="center"/>
          </w:tcPr>
          <w:p>
            <w:pPr>
              <w:jc w:val="center"/>
              <w:rPr>
                <w:noProof/>
                <w:sz w:val="14"/>
              </w:rPr>
            </w:pPr>
            <w:r>
              <w:rPr>
                <w:noProof/>
                <w:sz w:val="14"/>
              </w:rPr>
              <w:t>= 5 + 6</w:t>
            </w:r>
          </w:p>
        </w:tc>
        <w:tc>
          <w:tcPr>
            <w:tcW w:w="992" w:type="dxa"/>
            <w:tcBorders>
              <w:bottom w:val="single" w:sz="4" w:space="0" w:color="FF0000"/>
            </w:tcBorders>
            <w:vAlign w:val="center"/>
          </w:tcPr>
          <w:p>
            <w:pPr>
              <w:spacing w:before="20" w:after="20"/>
              <w:jc w:val="right"/>
              <w:rPr>
                <w:noProof/>
                <w:sz w:val="20"/>
              </w:rPr>
            </w:pPr>
            <w:r>
              <w:rPr>
                <w:noProof/>
                <w:sz w:val="20"/>
              </w:rPr>
              <w:t>17,200</w:t>
            </w:r>
          </w:p>
        </w:tc>
        <w:tc>
          <w:tcPr>
            <w:tcW w:w="992" w:type="dxa"/>
            <w:tcBorders>
              <w:bottom w:val="single" w:sz="4" w:space="0" w:color="FF0000"/>
            </w:tcBorders>
            <w:vAlign w:val="center"/>
          </w:tcPr>
          <w:p>
            <w:pPr>
              <w:spacing w:before="20" w:after="20"/>
              <w:jc w:val="right"/>
              <w:rPr>
                <w:noProof/>
                <w:sz w:val="20"/>
              </w:rPr>
            </w:pPr>
            <w:r>
              <w:rPr>
                <w:noProof/>
                <w:sz w:val="20"/>
              </w:rPr>
              <w:t>28,600</w:t>
            </w:r>
          </w:p>
        </w:tc>
        <w:tc>
          <w:tcPr>
            <w:tcW w:w="1134" w:type="dxa"/>
            <w:tcBorders>
              <w:bottom w:val="single" w:sz="4" w:space="0" w:color="FF0000"/>
            </w:tcBorders>
            <w:vAlign w:val="center"/>
          </w:tcPr>
          <w:p>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unijeti onoliko godina koliko je potrebno za prikaz trajanja utjecaja (vidi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rPr>
            </w:pPr>
            <w:r>
              <w:rPr>
                <w:noProof/>
                <w:sz w:val="22"/>
              </w:rPr>
              <w:t>DG: SG/SPSR</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Ljudski resursi </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b/>
                <w:noProof/>
                <w:sz w:val="22"/>
              </w:rPr>
              <w:t xml:space="preserve">UKUPNO DG </w:t>
            </w:r>
            <w:r>
              <w:rPr>
                <w:noProof/>
                <w:sz w:val="22"/>
              </w:rPr>
              <w:t>SG/SPSR</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rPr>
            </w:pPr>
            <w:r>
              <w:rPr>
                <w:noProof/>
                <w:sz w:val="18"/>
              </w:rPr>
              <w:t>(ukupne preuzete obveze = ukupna plaćanja)</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868" w:type="dxa"/>
            <w:vAlign w:val="center"/>
          </w:tcPr>
          <w:p>
            <w:pPr>
              <w:jc w:val="center"/>
              <w:rPr>
                <w:noProof/>
                <w:sz w:val="20"/>
              </w:rPr>
            </w:pPr>
            <w:r>
              <w:rPr>
                <w:noProof/>
                <w:color w:val="000000"/>
                <w:sz w:val="20"/>
              </w:rPr>
              <w:t>Godine 2021. i 2022.</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sz w:val="22"/>
              </w:rPr>
              <w:t>UKUPNA odobrena sredstva</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Preuzete obveze</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utjecaj na odobrena sredstva za poslovanje </w:t>
      </w:r>
    </w:p>
    <w:p>
      <w:pPr>
        <w:pStyle w:val="ListDash1"/>
        <w:rPr>
          <w:noProof/>
        </w:rPr>
      </w:pPr>
      <w:r>
        <w:rPr>
          <w:noProof/>
        </w:rPr>
        <w:sym w:font="Wingdings" w:char="F0A8"/>
      </w:r>
      <w:r>
        <w:rPr>
          <w:noProof/>
        </w:rPr>
        <w:tab/>
        <w:t xml:space="preserve">Za prijedlog/inicijativu nisu potrebna odobrena sredstava za poslovanje. </w:t>
      </w:r>
    </w:p>
    <w:p>
      <w:pPr>
        <w:pStyle w:val="ListDash1"/>
        <w:rPr>
          <w:noProof/>
        </w:rPr>
      </w:pPr>
      <w:r>
        <w:rPr>
          <w:noProof/>
        </w:rPr>
        <w:sym w:font="Wingdings" w:char="F0FC"/>
      </w:r>
      <w:r>
        <w:rPr>
          <w:noProof/>
        </w:rPr>
        <w:tab/>
        <w:t>Za prijedlog/inicijativu potrebna su sljedeća odobrena sredstva za poslovanje:</w:t>
      </w:r>
    </w:p>
    <w:p>
      <w:pPr>
        <w:jc w:val="right"/>
        <w:rPr>
          <w:noProof/>
          <w:sz w:val="20"/>
        </w:rPr>
      </w:pPr>
      <w:r>
        <w:rPr>
          <w:noProof/>
          <w:sz w:val="20"/>
        </w:rPr>
        <w:t>Odobrena sredstva za preuzete obveze u milijunima EUR (do 3 decimalna mjesta)</w:t>
      </w:r>
    </w:p>
    <w:tbl>
      <w:tblPr>
        <w:tblW w:w="10040" w:type="dxa"/>
        <w:tblInd w:w="93" w:type="dxa"/>
        <w:tblLook w:val="04A0" w:firstRow="1" w:lastRow="0" w:firstColumn="1" w:lastColumn="0" w:noHBand="0" w:noVBand="1"/>
      </w:tblPr>
      <w:tblGrid>
        <w:gridCol w:w="1021"/>
        <w:gridCol w:w="1980"/>
        <w:gridCol w:w="1240"/>
        <w:gridCol w:w="960"/>
        <w:gridCol w:w="960"/>
        <w:gridCol w:w="960"/>
        <w:gridCol w:w="960"/>
        <w:gridCol w:w="996"/>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Navesti ciljeve i rezultate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Godina</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Godina</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UKUPNO</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2020.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REZULTATI</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Vrsta[1]</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Prosječni trošak</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Broj</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Trošak</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Broj</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Trošak</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Ukupni trošak</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POSEBNI CILJ br. 1</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Pomoć inicijativama nacionalnih tijela u izradi reformi u skladu s prioritetima, uzimajući u obzir početne uvjete i očekivane društveno-gospodarske posljedice.</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A</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Broj analiza za potporu sektoru nacionalnih reformi</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B</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stručnjaka</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Međuzbroj za posebni cilj br. 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POSEBNI CILJ br. 2</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Potpora nastojanjima nacionalnih tijela da poboljšaju svoje sposobnosti za oblikovanje, razvoj i provedbu reformskih politika i strategija te da provode integrirani pristup kojim se osigurava međusektorska dosljednost između ciljeva i sredstava.</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C</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stručnjaka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D</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izrađenih i provedenih planova i akcijskih planova, po sektoru i zemlji</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E</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posebnih stručnih usluga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F</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projekata za koje je dodijeljena potpora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Međuzbroj za posebni cilj br. 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Potpora naporima nacionalnih tijela u definiranju i provedbi odgovarajućih postupaka i metodologija uzimajući u obzir dobre prakse i iskustva drugih zemalja u rješavanju sličnih situacija.</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G</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stručnjaka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H</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projekata za koje je dodijeljena potpora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I</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projekata za koje je dodijeljena potpora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J</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posebnih stručnih usluga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Međuzbroj za posebni cilj br. 3</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POSEBNI CILJ br.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Pomoć nacionalnim tijelima u povećavanju učinkovitosti i djelotvornosti upravljanja ljudskim resursima, prema potrebi, s pomoću definicije jasnih odgovornosti i povećanja stručnih znanja i vještina.</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K</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osposobljavanja/seminara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L</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stručnjaka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M</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projekata za koje je dodijeljena potpora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Rezultat N</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Broj projekata za koje je dodijeljena potpora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Međuzbroj za posebni cilj br. 4</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rPr>
        <w:sym w:font="Wingdings" w:char="F0FC"/>
      </w:r>
      <w:r>
        <w:rPr>
          <w:noProof/>
        </w:rPr>
        <w:tab/>
        <w:t>Za prijedlog/inicijativu potrebna su sljedeća odobrena administrativna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2019.</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 + 3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14"/>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w:t>
            </w:r>
            <w:r>
              <w:rPr>
                <w:noProof/>
                <w:sz w:val="22"/>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sz w:val="22"/>
              </w:rPr>
              <w:br/>
            </w:r>
            <w:r>
              <w:rPr>
                <w:b/>
                <w:noProof/>
                <w:sz w:val="16"/>
              </w:rPr>
              <w:t>Izvan NASLOVA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Potrebna odobrena administrativna sredstva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rPr>
          <w:noProof/>
        </w:rPr>
        <w:t>3.2.3.2.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sym w:font="Wingdings" w:char="F0FC"/>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3895"/>
        <w:gridCol w:w="466"/>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2020.</w:t>
            </w:r>
          </w:p>
        </w:tc>
        <w:tc>
          <w:tcPr>
            <w:tcW w:w="1891" w:type="pct"/>
            <w:shd w:val="clear" w:color="auto" w:fill="auto"/>
            <w:vAlign w:val="center"/>
          </w:tcPr>
          <w:p>
            <w:pPr>
              <w:spacing w:before="20" w:after="20"/>
              <w:jc w:val="center"/>
              <w:rPr>
                <w:noProof/>
                <w:sz w:val="16"/>
                <w:szCs w:val="16"/>
              </w:rPr>
            </w:pPr>
            <w:r>
              <w:rPr>
                <w:noProof/>
                <w:sz w:val="16"/>
              </w:rPr>
              <w:t>Godina </w:t>
            </w:r>
            <w:r>
              <w:rPr>
                <w:b/>
                <w:noProof/>
                <w:sz w:val="16"/>
              </w:rPr>
              <w:t>N + 2</w:t>
            </w:r>
          </w:p>
        </w:tc>
        <w:tc>
          <w:tcPr>
            <w:tcW w:w="226" w:type="pct"/>
            <w:shd w:val="clear" w:color="auto" w:fill="auto"/>
            <w:vAlign w:val="center"/>
          </w:tcPr>
          <w:p>
            <w:pPr>
              <w:spacing w:before="20" w:after="20"/>
              <w:jc w:val="center"/>
              <w:rPr>
                <w:noProof/>
                <w:sz w:val="16"/>
                <w:szCs w:val="16"/>
              </w:rPr>
            </w:pPr>
            <w:r>
              <w:rPr>
                <w:noProof/>
                <w:sz w:val="16"/>
              </w:rPr>
              <w:t>Godina </w:t>
            </w:r>
            <w:r>
              <w:rPr>
                <w:b/>
                <w:noProof/>
                <w:sz w:val="16"/>
              </w:rPr>
              <w:t>N +3</w:t>
            </w:r>
          </w:p>
        </w:tc>
        <w:tc>
          <w:tcPr>
            <w:tcW w:w="345" w:type="pct"/>
            <w:gridSpan w:val="3"/>
            <w:shd w:val="clear" w:color="auto" w:fill="auto"/>
            <w:vAlign w:val="center"/>
          </w:tcPr>
          <w:p>
            <w:pPr>
              <w:jc w:val="center"/>
              <w:rPr>
                <w:b/>
                <w:noProof/>
                <w:sz w:val="16"/>
                <w:szCs w:val="16"/>
              </w:rPr>
            </w:pPr>
            <w:r>
              <w:rPr>
                <w:noProof/>
                <w:sz w:val="16"/>
              </w:rPr>
              <w:t>unijeti onoliko godina koliko je potrebno za prikaz trajanja utjecaja (vidi točku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privremeni djelatnici)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Vanjsko osoblje (u ekvivalentu punog radnog vremena: EPRV)</w:t>
            </w:r>
            <w:r>
              <w:rPr>
                <w:rStyle w:val="FootnoteReference"/>
                <w:b/>
                <w:noProof/>
                <w:sz w:val="16"/>
              </w:rPr>
              <w:footnoteReference w:id="15"/>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UsO –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 (UO, UNS, UsO –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se odnosi na odgovarajuće područje politike ili glavu proračuna.</w:t>
      </w:r>
    </w:p>
    <w:p>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Zadaće koje je potrebno izvršiti sastoje se od svih zadaća neophodnih za a) obradu zahtjeva država članica i upravljanje projektima nakon toga, i b) financijsko i ugovorno upravljanje programom, a to su konkretno:</w:t>
            </w:r>
          </w:p>
          <w:p>
            <w:pPr>
              <w:numPr>
                <w:ilvl w:val="0"/>
                <w:numId w:val="14"/>
              </w:numPr>
              <w:rPr>
                <w:noProof/>
                <w:sz w:val="20"/>
              </w:rPr>
            </w:pPr>
            <w:r>
              <w:rPr>
                <w:noProof/>
                <w:sz w:val="20"/>
              </w:rPr>
              <w:t>doprinos proračunskom postupku i planu upravljanja,</w:t>
            </w:r>
          </w:p>
          <w:p>
            <w:pPr>
              <w:numPr>
                <w:ilvl w:val="0"/>
                <w:numId w:val="14"/>
              </w:numPr>
              <w:rPr>
                <w:noProof/>
                <w:sz w:val="20"/>
              </w:rPr>
            </w:pPr>
            <w:r>
              <w:rPr>
                <w:noProof/>
                <w:sz w:val="20"/>
              </w:rPr>
              <w:t xml:space="preserve">izrada godišnjih programa rada/odluka o financiranju, u kojima se određuju godišnji prioriteti, </w:t>
            </w:r>
          </w:p>
          <w:p>
            <w:pPr>
              <w:numPr>
                <w:ilvl w:val="0"/>
                <w:numId w:val="14"/>
              </w:numPr>
              <w:rPr>
                <w:noProof/>
                <w:sz w:val="20"/>
              </w:rPr>
            </w:pPr>
            <w:r>
              <w:rPr>
                <w:noProof/>
                <w:sz w:val="20"/>
              </w:rPr>
              <w:t>upravljanje pozivima na podnošenje ponuda i pozivima na podnošenje prijedloga te postupcima odabira koji ih slijede u koordinaciji s operativnim službama,</w:t>
            </w:r>
          </w:p>
          <w:p>
            <w:pPr>
              <w:numPr>
                <w:ilvl w:val="0"/>
                <w:numId w:val="14"/>
              </w:numPr>
              <w:rPr>
                <w:noProof/>
                <w:sz w:val="20"/>
              </w:rPr>
            </w:pPr>
            <w:r>
              <w:rPr>
                <w:noProof/>
                <w:sz w:val="20"/>
              </w:rPr>
              <w:t>komunikacija s dionicima o ugovornim i financijskim pitanjima,</w:t>
            </w:r>
          </w:p>
          <w:p>
            <w:pPr>
              <w:numPr>
                <w:ilvl w:val="0"/>
                <w:numId w:val="14"/>
              </w:numPr>
              <w:rPr>
                <w:noProof/>
                <w:sz w:val="20"/>
              </w:rPr>
            </w:pPr>
            <w:r>
              <w:rPr>
                <w:noProof/>
                <w:sz w:val="20"/>
              </w:rPr>
              <w:t>priprema i organizacija sastanaka skupine na visokoj razini s predmetnim glavnim upravama, državama članicama i drugim dionicima,</w:t>
            </w:r>
          </w:p>
          <w:p>
            <w:pPr>
              <w:numPr>
                <w:ilvl w:val="0"/>
                <w:numId w:val="14"/>
              </w:numPr>
              <w:rPr>
                <w:noProof/>
                <w:sz w:val="20"/>
              </w:rPr>
            </w:pPr>
            <w:r>
              <w:rPr>
                <w:noProof/>
                <w:sz w:val="20"/>
              </w:rPr>
              <w:t>upravljanje projektima: izrada i provedba projekata te daljnji koraci, kao i upravljanje ugovornim i financijskim pitanjima: obveze, plaćanja, nalozi za povrat itd.,</w:t>
            </w:r>
          </w:p>
          <w:p>
            <w:pPr>
              <w:numPr>
                <w:ilvl w:val="0"/>
                <w:numId w:val="14"/>
              </w:numPr>
              <w:rPr>
                <w:noProof/>
                <w:sz w:val="20"/>
              </w:rPr>
            </w:pPr>
            <w:r>
              <w:rPr>
                <w:noProof/>
                <w:sz w:val="20"/>
              </w:rPr>
              <w:t>provođenje kontrola kako su prethodno opisane (</w:t>
            </w:r>
            <w:r>
              <w:rPr>
                <w:i/>
                <w:noProof/>
                <w:sz w:val="20"/>
              </w:rPr>
              <w:t>ex ante</w:t>
            </w:r>
            <w:r>
              <w:rPr>
                <w:noProof/>
                <w:sz w:val="20"/>
              </w:rPr>
              <w:t xml:space="preserve"> provjere, službe za javnu nabavu, </w:t>
            </w:r>
            <w:r>
              <w:rPr>
                <w:i/>
                <w:noProof/>
                <w:sz w:val="20"/>
              </w:rPr>
              <w:t>ex post</w:t>
            </w:r>
            <w:r>
              <w:rPr>
                <w:noProof/>
                <w:sz w:val="20"/>
              </w:rPr>
              <w:t>/unutarnje kontrole),</w:t>
            </w:r>
          </w:p>
          <w:p>
            <w:pPr>
              <w:numPr>
                <w:ilvl w:val="0"/>
                <w:numId w:val="14"/>
              </w:numPr>
              <w:rPr>
                <w:noProof/>
                <w:sz w:val="20"/>
              </w:rPr>
            </w:pPr>
            <w:r>
              <w:rPr>
                <w:noProof/>
                <w:sz w:val="20"/>
              </w:rPr>
              <w:t xml:space="preserve"> upravljanje informatičkim alatima,</w:t>
            </w:r>
          </w:p>
          <w:p>
            <w:pPr>
              <w:numPr>
                <w:ilvl w:val="0"/>
                <w:numId w:val="14"/>
              </w:numPr>
              <w:rPr>
                <w:noProof/>
                <w:sz w:val="20"/>
              </w:rPr>
            </w:pPr>
            <w:r>
              <w:rPr>
                <w:noProof/>
                <w:sz w:val="20"/>
              </w:rPr>
              <w:t>doprinosi postupku godišnje izjave o jamstvu i daljnji koraci,</w:t>
            </w:r>
          </w:p>
          <w:p>
            <w:pPr>
              <w:rPr>
                <w:noProof/>
                <w:sz w:val="20"/>
              </w:rPr>
            </w:pPr>
            <w:r>
              <w:rPr>
                <w:noProof/>
                <w:sz w:val="20"/>
              </w:rPr>
              <w:t>praćenje napretka u ostvarivanju ciljeva i izvješćivanje o njemu, među ostalim u okviru proračunskog postupka, plana upravljanja, srednjoročnog pregleda te godišnjih izvješća o radu i izvješća dužnosnika za ovjeravanje na osnovi daljnjeg delegiranja.</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sz w:val="20"/>
              </w:rPr>
              <w:t>Potpora za financijske i administrativne zadaće.</w:t>
            </w:r>
          </w:p>
        </w:tc>
      </w:tr>
    </w:tbl>
    <w:p>
      <w:pPr>
        <w:pStyle w:val="ManualHeading3"/>
        <w:rPr>
          <w:bCs/>
          <w:noProof/>
          <w:szCs w:val="24"/>
        </w:rPr>
      </w:pPr>
      <w:r>
        <w:rPr>
          <w:noProof/>
        </w:rPr>
        <w:t>3.2.4.</w:t>
      </w:r>
      <w:r>
        <w:rPr>
          <w:noProof/>
        </w:rPr>
        <w:tab/>
        <w:t xml:space="preserve">Usklađenost s tekućim višegodišnjim financijskim okvirom </w:t>
      </w:r>
    </w:p>
    <w:p>
      <w:pPr>
        <w:pStyle w:val="ListDash1"/>
        <w:rPr>
          <w:noProof/>
        </w:rPr>
      </w:pPr>
      <w:r>
        <w:rPr>
          <w:noProof/>
        </w:rPr>
        <w:sym w:font="Wingdings" w:char="F0A8"/>
      </w:r>
      <w:r>
        <w:rPr>
          <w:noProof/>
        </w:rPr>
        <w:tab/>
        <w:t>Prijedlog/inicijativa u skladu je s postojećim višegodišnjim financijskim okvirom.</w:t>
      </w:r>
    </w:p>
    <w:p>
      <w:pPr>
        <w:pStyle w:val="ListDash1"/>
        <w:rPr>
          <w:noProof/>
        </w:rPr>
      </w:pPr>
      <w:r>
        <w:rPr>
          <w:noProof/>
        </w:rPr>
        <w:sym w:font="Wingdings" w:char="F0A8"/>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ListDash1"/>
        <w:rPr>
          <w:noProof/>
        </w:rPr>
      </w:pPr>
      <w:r>
        <w:rPr>
          <w:noProof/>
        </w:rPr>
        <w:sym w:font="Wingdings" w:char="F0FC"/>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Prijedlogom se predviđa upotreba instrumenta fleksibilnosti u okviru trenutačnog VFO-a (članak 11. Uredbe Vijeća 1311/2013), kojim se omogućuje da se financijska sredstva dostupna u općem proračunu Unije dodatno financiraju iznad gornje granice iz naslova 1b sa 40 milijuna EUR u 2019. i 40 milijuna EUR u 2020.</w:t>
      </w:r>
    </w:p>
    <w:p>
      <w:pPr>
        <w:pStyle w:val="ManualHeading3"/>
        <w:rPr>
          <w:bCs/>
          <w:noProof/>
          <w:szCs w:val="24"/>
        </w:rPr>
      </w:pPr>
      <w:r>
        <w:rPr>
          <w:noProof/>
        </w:rPr>
        <w:t>3.2.5.</w:t>
      </w:r>
      <w:r>
        <w:rPr>
          <w:noProof/>
        </w:rPr>
        <w:tab/>
        <w:t xml:space="preserve">Doprinos trećih osoba </w:t>
      </w:r>
    </w:p>
    <w:p>
      <w:pPr>
        <w:pStyle w:val="ListDash1"/>
        <w:rPr>
          <w:noProof/>
        </w:rPr>
      </w:pPr>
      <w:r>
        <w:rPr>
          <w:noProof/>
        </w:rPr>
        <w:sym w:font="Wingdings" w:char="F0FC"/>
      </w:r>
      <w:r>
        <w:rPr>
          <w:noProof/>
        </w:rPr>
        <w:tab/>
        <w:t xml:space="preserve">Prijedlogom/inicijativom ne predviđa se sufinanciranje od trećih osoba.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 + 1</w:t>
            </w:r>
          </w:p>
        </w:tc>
        <w:tc>
          <w:tcPr>
            <w:tcW w:w="964" w:type="dxa"/>
            <w:vAlign w:val="center"/>
          </w:tcPr>
          <w:p>
            <w:pPr>
              <w:jc w:val="center"/>
              <w:rPr>
                <w:noProof/>
                <w:sz w:val="20"/>
              </w:rPr>
            </w:pPr>
            <w:r>
              <w:rPr>
                <w:noProof/>
                <w:sz w:val="20"/>
              </w:rPr>
              <w:t>Godina</w:t>
            </w:r>
            <w:r>
              <w:rPr>
                <w:noProof/>
                <w:sz w:val="22"/>
              </w:rPr>
              <w:br/>
            </w:r>
            <w:r>
              <w:rPr>
                <w:b/>
                <w:noProof/>
                <w:sz w:val="20"/>
              </w:rPr>
              <w:t>N + 2</w:t>
            </w:r>
          </w:p>
        </w:tc>
        <w:tc>
          <w:tcPr>
            <w:tcW w:w="964" w:type="dxa"/>
            <w:vAlign w:val="center"/>
          </w:tcPr>
          <w:p>
            <w:pPr>
              <w:jc w:val="center"/>
              <w:rPr>
                <w:noProof/>
                <w:sz w:val="20"/>
              </w:rPr>
            </w:pPr>
            <w:r>
              <w:rPr>
                <w:noProof/>
                <w:sz w:val="20"/>
              </w:rPr>
              <w:t>Godina</w:t>
            </w:r>
            <w:r>
              <w:rPr>
                <w:noProof/>
                <w:sz w:val="22"/>
              </w:rPr>
              <w:br/>
            </w:r>
            <w:r>
              <w:rPr>
                <w:b/>
                <w:noProof/>
                <w:sz w:val="20"/>
              </w:rPr>
              <w:t>N + 3</w:t>
            </w: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Procijenjeni utjecaj na prihode </w:t>
      </w:r>
    </w:p>
    <w:p>
      <w:pPr>
        <w:pStyle w:val="ListDash1"/>
        <w:rPr>
          <w:noProof/>
        </w:rPr>
      </w:pPr>
      <w:r>
        <w:rPr>
          <w:noProof/>
        </w:rPr>
        <w:sym w:font="Wingdings" w:char="F0FC"/>
      </w:r>
      <w:r>
        <w:rPr>
          <w:noProof/>
        </w:rPr>
        <w:tab/>
        <w:t>Prijedlog/inicijativa nema financijski utjecaj na prihode.</w:t>
      </w:r>
    </w:p>
    <w:p>
      <w:pPr>
        <w:pStyle w:val="ListDash1"/>
        <w:rPr>
          <w:noProof/>
        </w:rPr>
      </w:pPr>
      <w:r>
        <w:rPr>
          <w:noProof/>
        </w:rPr>
        <w:sym w:font="Wingdings" w:char="F0A8"/>
      </w:r>
      <w:r>
        <w:rPr>
          <w:noProof/>
        </w:rPr>
        <w:tab/>
        <w:t>Prijedlog/inicijativa ima sljedeći financijski utjecaj:</w:t>
      </w:r>
    </w:p>
    <w:p>
      <w:pPr>
        <w:pStyle w:val="ListNumberLevel3"/>
        <w:tabs>
          <w:tab w:val="clear" w:pos="2126"/>
        </w:tabs>
        <w:rPr>
          <w:noProof/>
        </w:rPr>
      </w:pPr>
      <w:r>
        <w:rPr>
          <w:noProof/>
        </w:rPr>
        <w:sym w:font="Wingdings" w:char="F0A8"/>
      </w:r>
      <w:r>
        <w:rPr>
          <w:noProof/>
        </w:rPr>
        <w:tab/>
        <w:t xml:space="preserve">na vlastita sredstva </w:t>
      </w:r>
    </w:p>
    <w:p>
      <w:pPr>
        <w:pStyle w:val="ListNumberLevel3"/>
        <w:tabs>
          <w:tab w:val="clear" w:pos="2126"/>
        </w:tabs>
        <w:rPr>
          <w:noProof/>
        </w:rPr>
      </w:pPr>
      <w:r>
        <w:rPr>
          <w:noProof/>
        </w:rPr>
        <w:sym w:font="Wingdings" w:char="F0A8"/>
      </w:r>
      <w:r>
        <w:rPr>
          <w:noProof/>
        </w:rPr>
        <w:tab/>
        <w:t xml:space="preserve">na razne prihode </w:t>
      </w:r>
    </w:p>
    <w:p>
      <w:pPr>
        <w:jc w:val="right"/>
        <w:rPr>
          <w:i/>
          <w:noProof/>
          <w:sz w:val="20"/>
        </w:rPr>
      </w:pPr>
      <w:r>
        <w:rPr>
          <w:noProof/>
        </w:rPr>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 + 1</w:t>
            </w:r>
          </w:p>
        </w:tc>
        <w:tc>
          <w:tcPr>
            <w:tcW w:w="900" w:type="dxa"/>
            <w:vAlign w:val="center"/>
          </w:tcPr>
          <w:p>
            <w:pPr>
              <w:jc w:val="center"/>
              <w:rPr>
                <w:noProof/>
                <w:sz w:val="18"/>
              </w:rPr>
            </w:pPr>
            <w:r>
              <w:rPr>
                <w:noProof/>
                <w:sz w:val="18"/>
              </w:rPr>
              <w:t>Godina</w:t>
            </w:r>
            <w:r>
              <w:rPr>
                <w:noProof/>
                <w:sz w:val="22"/>
              </w:rPr>
              <w:br/>
            </w:r>
            <w:r>
              <w:rPr>
                <w:b/>
                <w:noProof/>
                <w:sz w:val="18"/>
              </w:rPr>
              <w:t>N + 2</w:t>
            </w:r>
          </w:p>
        </w:tc>
        <w:tc>
          <w:tcPr>
            <w:tcW w:w="1080" w:type="dxa"/>
            <w:vAlign w:val="center"/>
          </w:tcPr>
          <w:p>
            <w:pPr>
              <w:jc w:val="center"/>
              <w:rPr>
                <w:noProof/>
                <w:sz w:val="18"/>
              </w:rPr>
            </w:pPr>
            <w:r>
              <w:rPr>
                <w:noProof/>
                <w:sz w:val="18"/>
              </w:rPr>
              <w:t>Godina</w:t>
            </w:r>
            <w:r>
              <w:rPr>
                <w:noProof/>
                <w:sz w:val="22"/>
              </w:rPr>
              <w:br/>
            </w:r>
            <w:r>
              <w:rPr>
                <w:b/>
                <w:noProof/>
                <w:sz w:val="18"/>
              </w:rPr>
              <w:t>N + 3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rPr>
          <w:noProof/>
          <w:sz w:val="20"/>
        </w:rPr>
      </w:pPr>
      <w:r>
        <w:rPr>
          <w:noProof/>
          <w:sz w:val="20"/>
        </w:rPr>
        <w:t>Navesti metodu izračuna utjecaja na prihode.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Uredba (EU) br. 2017/825 Europskog parlamenta i Vijeća od 17 svibnja 2017. o uspostavi Programa potpore strukturnim reformama za razdoblje od 2017. do 2020. i o izmjeni uredbi (EU) br. 1303/2013 i (EU) br. 1305/2013 (SL L 129, 19.5.2017., str. 1.).</w:t>
      </w:r>
    </w:p>
  </w:footnote>
  <w:footnote w:id="3">
    <w:p>
      <w:pPr>
        <w:pStyle w:val="FootnoteText"/>
      </w:pPr>
      <w:r>
        <w:rPr>
          <w:rStyle w:val="FootnoteReference"/>
        </w:rPr>
        <w:footnoteRef/>
      </w:r>
      <w:r>
        <w:tab/>
        <w:t>Govor predsjednika Jean-Claudea Junckera o stanju Unije 2017., 13. rujna 2017.</w:t>
      </w:r>
    </w:p>
  </w:footnote>
  <w:footnote w:id="4">
    <w:p>
      <w:pPr>
        <w:pStyle w:val="FootnoteText"/>
      </w:pPr>
      <w:r>
        <w:rPr>
          <w:rStyle w:val="FootnoteReference"/>
        </w:rPr>
        <w:footnoteRef/>
      </w:r>
      <w:r>
        <w:tab/>
        <w:t xml:space="preserve">Vidjeti članak 11. Uredbe Vijeća (EU, EURATOM) br. 1311/2013. </w:t>
      </w:r>
    </w:p>
  </w:footnote>
  <w:footnote w:id="5">
    <w:p>
      <w:pPr>
        <w:pStyle w:val="FootnoteText"/>
      </w:pPr>
      <w:r>
        <w:rPr>
          <w:rStyle w:val="FootnoteReference"/>
        </w:rPr>
        <w:footnoteRef/>
      </w:r>
      <w:r>
        <w:tab/>
        <w:t>COM(2017) 291, 31. svibnja 2017.</w:t>
      </w:r>
    </w:p>
  </w:footnote>
  <w:footnote w:id="6">
    <w:p>
      <w:pPr>
        <w:pStyle w:val="FootnoteText"/>
      </w:pPr>
      <w:r>
        <w:rPr>
          <w:rStyle w:val="FootnoteReference"/>
        </w:rPr>
        <w:footnoteRef/>
      </w:r>
      <w:r>
        <w:tab/>
        <w:t>SL C […], […], str. […].</w:t>
      </w:r>
    </w:p>
  </w:footnote>
  <w:footnote w:id="7">
    <w:p>
      <w:pPr>
        <w:pStyle w:val="FootnoteText"/>
      </w:pPr>
      <w:r>
        <w:rPr>
          <w:rStyle w:val="FootnoteReference"/>
        </w:rPr>
        <w:footnoteRef/>
      </w:r>
      <w:r>
        <w:tab/>
        <w:t>SL C […], […], str. […].</w:t>
      </w:r>
    </w:p>
  </w:footnote>
  <w:footnote w:id="8">
    <w:p>
      <w:pPr>
        <w:pStyle w:val="FootnoteText"/>
        <w:rPr>
          <w:szCs w:val="24"/>
        </w:rPr>
      </w:pPr>
      <w:r>
        <w:rPr>
          <w:rStyle w:val="FootnoteReference"/>
        </w:rPr>
        <w:footnoteRef/>
      </w:r>
      <w:r>
        <w:tab/>
        <w:t>Kako je navedeno u članku 54. stavku 2. točkama (a) ili (b) Financijske uredbe.</w:t>
      </w:r>
    </w:p>
  </w:footnote>
  <w:footnote w:id="9">
    <w:p>
      <w:pPr>
        <w:pStyle w:val="FootnoteText"/>
        <w:jc w:val="left"/>
        <w:rPr>
          <w:szCs w:val="24"/>
        </w:rPr>
      </w:pPr>
      <w:r>
        <w:rPr>
          <w:rStyle w:val="FootnoteReference"/>
        </w:rPr>
        <w:footnoteRef/>
      </w:r>
      <w:r>
        <w:tab/>
        <w:t xml:space="preserve">Informacije o načinima upravljanja i upućivanju na Financijsku uredbu dostupne su na internetskim stranicama BudgWeb: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Dif. = diferencirana odobrena sredstva; nedif. = nediferencirana odobrena sredstva</w:t>
      </w:r>
    </w:p>
  </w:footnote>
  <w:footnote w:id="11">
    <w:p>
      <w:pPr>
        <w:pStyle w:val="FootnoteText"/>
        <w:rPr>
          <w:szCs w:val="24"/>
        </w:rPr>
      </w:pPr>
      <w:r>
        <w:rPr>
          <w:rStyle w:val="FootnoteReference"/>
        </w:rPr>
        <w:footnoteRef/>
      </w:r>
      <w:r>
        <w:tab/>
        <w:t xml:space="preserve">EFTA: Europsko udruženje slobodne trgovine. </w:t>
      </w:r>
    </w:p>
  </w:footnote>
  <w:footnote w:id="12">
    <w:p>
      <w:pPr>
        <w:pStyle w:val="FootnoteText"/>
        <w:rPr>
          <w:szCs w:val="24"/>
        </w:rPr>
      </w:pPr>
      <w:r>
        <w:rPr>
          <w:rStyle w:val="FootnoteReference"/>
        </w:rPr>
        <w:footnoteRef/>
      </w:r>
      <w:r>
        <w:tab/>
        <w:t>Zemlje kandidatkinje i, ako je primjenjivo, potencijalne zemlje kandidatkinje sa zapadnog Balkana.</w:t>
      </w:r>
    </w:p>
  </w:footnote>
  <w:footnote w:id="13">
    <w:p>
      <w:pPr>
        <w:pStyle w:val="FootnoteText"/>
        <w:rPr>
          <w:szCs w:val="24"/>
        </w:rPr>
      </w:pPr>
      <w:r>
        <w:rPr>
          <w:rStyle w:val="FootnoteReference"/>
        </w:rPr>
        <w:footnoteRef/>
      </w:r>
      <w:r>
        <w:tab/>
        <w:t>Godina N godina je početka provedbe prijedloga/inicijative.</w:t>
      </w:r>
    </w:p>
  </w:footnote>
  <w:footnote w:id="14">
    <w:p>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15">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16">
    <w:p>
      <w:pPr>
        <w:pStyle w:val="FootnoteText"/>
        <w:rPr>
          <w:szCs w:val="24"/>
        </w:rPr>
      </w:pPr>
      <w:r>
        <w:rPr>
          <w:rStyle w:val="FootnoteReference"/>
        </w:rPr>
        <w:footnoteRef/>
      </w:r>
      <w:r>
        <w:tab/>
        <w:t>U okviru gornje granice za vanjsko osoblje iz odobrenih sredstava za poslovanje (prijašnje linije „BA”).</w:t>
      </w:r>
    </w:p>
  </w:footnote>
  <w:footnote w:id="17">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3"/>
  </w:num>
  <w:num w:numId="11">
    <w:abstractNumId w:val="18"/>
  </w:num>
  <w:num w:numId="12">
    <w:abstractNumId w:val="17"/>
  </w:num>
  <w:num w:numId="13">
    <w:abstractNumId w:val="27"/>
  </w:num>
  <w:num w:numId="14">
    <w:abstractNumId w:val="19"/>
  </w:num>
  <w:num w:numId="15">
    <w:abstractNumId w:val="24"/>
  </w:num>
  <w:num w:numId="16">
    <w:abstractNumId w:val="23"/>
  </w:num>
  <w:num w:numId="17">
    <w:abstractNumId w:val="14"/>
  </w:num>
  <w:num w:numId="18">
    <w:abstractNumId w:val="26"/>
  </w:num>
  <w:num w:numId="19">
    <w:abstractNumId w:val="12"/>
  </w:num>
  <w:num w:numId="20">
    <w:abstractNumId w:val="15"/>
  </w:num>
  <w:num w:numId="21">
    <w:abstractNumId w:val="10"/>
  </w:num>
  <w:num w:numId="22">
    <w:abstractNumId w:val="25"/>
  </w:num>
  <w:num w:numId="23">
    <w:abstractNumId w:val="9"/>
  </w:num>
  <w:num w:numId="24">
    <w:abstractNumId w:val="16"/>
  </w:num>
  <w:num w:numId="25">
    <w:abstractNumId w:val="21"/>
  </w:num>
  <w:num w:numId="26">
    <w:abstractNumId w:val="22"/>
  </w:num>
  <w:num w:numId="27">
    <w:abstractNumId w:val="11"/>
  </w:num>
  <w:num w:numId="28">
    <w:abstractNumId w:val="20"/>
  </w:num>
  <w:num w:numId="29">
    <w:abstractNumId w:val="28"/>
  </w:num>
  <w:num w:numId="30">
    <w:abstractNumId w:val="23"/>
  </w:num>
  <w:num w:numId="31">
    <w:abstractNumId w:val="14"/>
  </w:num>
  <w:num w:numId="32">
    <w:abstractNumId w:val="26"/>
  </w:num>
  <w:num w:numId="33">
    <w:abstractNumId w:val="12"/>
  </w:num>
  <w:num w:numId="34">
    <w:abstractNumId w:val="15"/>
  </w:num>
  <w:num w:numId="35">
    <w:abstractNumId w:val="10"/>
  </w:num>
  <w:num w:numId="36">
    <w:abstractNumId w:val="25"/>
  </w:num>
  <w:num w:numId="37">
    <w:abstractNumId w:val="9"/>
  </w:num>
  <w:num w:numId="38">
    <w:abstractNumId w:val="16"/>
  </w:num>
  <w:num w:numId="39">
    <w:abstractNumId w:val="21"/>
  </w:num>
  <w:num w:numId="40">
    <w:abstractNumId w:val="22"/>
  </w:num>
  <w:num w:numId="41">
    <w:abstractNumId w:val="11"/>
  </w:num>
  <w:num w:numId="42">
    <w:abstractNumId w:val="20"/>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3: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C407950E-7836-4D85-A447-52C32F1F555C"/>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Uredbe (EU) 2017/825 radi pove\u263?anja financijske omotnice Programa potpore strukturnim reformama i izmjene njegova op\u263?eg cilja "/>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9"/>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3"/>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9"/>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3"/>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116E-11A9-4E9C-8B68-209FF871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6011</Words>
  <Characters>37275</Characters>
  <Application>Microsoft Office Word</Application>
  <DocSecurity>0</DocSecurity>
  <Lines>1553</Lines>
  <Paragraphs>733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2017-12-06T13:08:00Z</dcterms:created>
  <dcterms:modified xsi:type="dcterms:W3CDTF">2017-12-07T10:33:00Z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