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2BF042C-6180-4E56-8CD7-BD173919DF40"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widowControl w:val="0"/>
        <w:shd w:val="clear" w:color="auto" w:fill="FFFFFF"/>
        <w:autoSpaceDE w:val="0"/>
        <w:autoSpaceDN w:val="0"/>
        <w:adjustRightInd w:val="0"/>
        <w:spacing w:before="230" w:after="0" w:line="269" w:lineRule="exact"/>
        <w:ind w:right="86"/>
        <w:rPr>
          <w:noProof/>
        </w:rPr>
      </w:pPr>
      <w:r>
        <w:rPr>
          <w:noProof/>
        </w:rPr>
        <w:t>Strukturālo reformu atbalsta programma 2017.–2020. gadam ar 142,8 milj. euro budžetu tiek īstenota kopš 2017. gada 20. maija</w:t>
      </w:r>
      <w:r>
        <w:rPr>
          <w:rStyle w:val="FootnoteReference"/>
          <w:noProof/>
        </w:rPr>
        <w:footnoteReference w:id="2"/>
      </w:r>
      <w:r>
        <w:rPr>
          <w:noProof/>
        </w:rPr>
        <w:t>. Tā tika izveidota ar mērķi stiprināt dalībvalstu spēju sagatavot un īstenot izaugsmi veicinošas administratīvas un strukturālas reformas, tostarp izmantojot palīdzību Savienības fondu efektīvai un lietderīgai izmantošanai. Komisija pēc dalībvalsts pieprasījuma sniedz atbalstu programmas ietvaros, un tas var aptvert ļoti dažādas politikas jomas.</w:t>
      </w:r>
    </w:p>
    <w:p>
      <w:pPr>
        <w:widowControl w:val="0"/>
        <w:shd w:val="clear" w:color="auto" w:fill="FFFFFF"/>
        <w:autoSpaceDE w:val="0"/>
        <w:autoSpaceDN w:val="0"/>
        <w:adjustRightInd w:val="0"/>
        <w:spacing w:before="230" w:after="0" w:line="269" w:lineRule="exact"/>
        <w:ind w:right="86"/>
        <w:rPr>
          <w:noProof/>
        </w:rPr>
      </w:pPr>
      <w:r>
        <w:rPr>
          <w:noProof/>
        </w:rPr>
        <w:t>Kopš Strukturālo reformu atbalsta programmas regula ir stājusies spēkā, dalībvalstis ir ļoti intensīvi izmantojušas programmu, iesniedzot atbalsta pieprasījumus par summām, kas ievērojami pārsniedz tās gada cikliem pieejamā finansējuma apjomu. To apstiprina dati par 2017. gada ciklu, kad, neskatoties uz to, ka Strukturālo reformu atbalsta programmas regula tika pieņemta vēlu, 16 dalībvalstis iesniedza 271 atbalsta pieprasījumu, kuru aplēstā kopsumma pārsniedza 80 milj. euro, savukārt piešķīrums 2017. gadam bija 22,5 milj. euro. Tādējādi Komisijai bija stingri jānosaka prioritātes, un rezultātā vairāki pieprasījumi netika atlasīti finansējuma saņemšanai. Situācija ir vēl problemātiskāka 2018. gada ciklam, kas tikko ir sācies (pieprasījumu iesniegšanas termiņš — 2017. gada 31. oktobris). 24 dalībvalstis ir iesniegušas 444 atbalsta pieprasījumus, kuru izmaksu aplēstā kopsumma ir aptuveni 152 milj. euro, savukārt piešķīrums 2018. gadam ir 30,5 milj. euro. Tas skaidri rāda, ka nepieciešamība pēc atbalsta uz vietas un dalībvalstu interese par atbalstu pārsniedz patlaban pieejamos finanšu resursus no programmas.</w:t>
      </w:r>
    </w:p>
    <w:p>
      <w:pPr>
        <w:widowControl w:val="0"/>
        <w:shd w:val="clear" w:color="auto" w:fill="FFFFFF"/>
        <w:autoSpaceDE w:val="0"/>
        <w:autoSpaceDN w:val="0"/>
        <w:adjustRightInd w:val="0"/>
        <w:spacing w:before="230" w:after="0" w:line="269" w:lineRule="exact"/>
        <w:ind w:right="86"/>
        <w:rPr>
          <w:noProof/>
        </w:rPr>
      </w:pPr>
      <w:r>
        <w:rPr>
          <w:noProof/>
        </w:rPr>
        <w:t xml:space="preserve">Līdzšinējā pieredze liecina, ka programmas ietvaros daudzas dalībvalstis ir pieprasījušas atbalstu un ka atbalsta pieprasījumi aptver visas tās atbalstītās politikas jomas, uz kurām attiecas programma, piemēram, pārvaldība un publiskā pārvalde, ieņēmumu administrēšana un publisko finanšu pārvaldība, izaugsme un darījumdarbības vide, darba tirgus, izglītība, veselības un sociālie pakalpojumi, finanšu nozare un finansējuma pieejamība. </w:t>
      </w:r>
    </w:p>
    <w:p>
      <w:pPr>
        <w:widowControl w:val="0"/>
        <w:shd w:val="clear" w:color="auto" w:fill="FFFFFF"/>
        <w:autoSpaceDE w:val="0"/>
        <w:autoSpaceDN w:val="0"/>
        <w:adjustRightInd w:val="0"/>
        <w:spacing w:before="230" w:line="269" w:lineRule="exact"/>
        <w:ind w:right="86"/>
        <w:rPr>
          <w:noProof/>
        </w:rPr>
      </w:pPr>
      <w:r>
        <w:rPr>
          <w:noProof/>
        </w:rPr>
        <w:t>Kā norādījis Komisijas priekšsēdētājs Junkers runā par stāvokli Savienībā</w:t>
      </w:r>
      <w:r>
        <w:rPr>
          <w:rStyle w:val="FootnoteReference"/>
          <w:noProof/>
        </w:rPr>
        <w:footnoteReference w:id="3"/>
      </w:r>
      <w:r>
        <w:rPr>
          <w:noProof/>
        </w:rPr>
        <w:t xml:space="preserve"> (un pavadošajā nodomu vēstulē) 2017. gada 13. septembrī Eiropas Parlamentā, ir paredzēts, ka euro ir vienotā valūta Eiropas Savienībā kopumā, tāpēc visām dalībvalstīm, izņemot divas, ir tiesības un tiek prasīts pievienoties eurozonai. Tādējādi ir skaidrs, ka nepieciešams domāt perspektīvā un, ja dalībvalstis, kas nav eurozonas dalībnieces, to vēlas, atbalstīt tās sagatavošanās darbos, ko tās veic, lai pievienotos eurozonai. Lai varētu pievienoties eurozonai, dalībvalstīm jāpanāk atbilstība Māstrihtas jeb konverģences kritērijiem, kas norāda, ka tās ir sasniegušas </w:t>
      </w:r>
      <w:r>
        <w:rPr>
          <w:i/>
          <w:noProof/>
        </w:rPr>
        <w:t>augstu noturīgas konverģences līmeni</w:t>
      </w:r>
      <w:r>
        <w:rPr>
          <w:noProof/>
        </w:rPr>
        <w:t>.</w:t>
      </w:r>
    </w:p>
    <w:p>
      <w:pPr>
        <w:widowControl w:val="0"/>
        <w:shd w:val="clear" w:color="auto" w:fill="FFFFFF"/>
        <w:autoSpaceDE w:val="0"/>
        <w:autoSpaceDN w:val="0"/>
        <w:adjustRightInd w:val="0"/>
        <w:spacing w:before="230" w:line="269" w:lineRule="exact"/>
        <w:ind w:right="86"/>
        <w:rPr>
          <w:noProof/>
        </w:rPr>
      </w:pPr>
    </w:p>
    <w:p>
      <w:pPr>
        <w:widowControl w:val="0"/>
        <w:shd w:val="clear" w:color="auto" w:fill="FFFFFF"/>
        <w:autoSpaceDE w:val="0"/>
        <w:autoSpaceDN w:val="0"/>
        <w:adjustRightInd w:val="0"/>
        <w:spacing w:before="230" w:line="269" w:lineRule="exact"/>
        <w:ind w:right="86"/>
        <w:rPr>
          <w:noProof/>
        </w:rPr>
      </w:pPr>
      <w:r>
        <w:rPr>
          <w:noProof/>
        </w:rPr>
        <w:t xml:space="preserve">Ekonomikas un finanšu krīze ir parādījusi, ka veiksmīgas dalības nodrošināšanai eurozonā </w:t>
      </w:r>
      <w:r>
        <w:rPr>
          <w:noProof/>
        </w:rPr>
        <w:lastRenderedPageBreak/>
        <w:t xml:space="preserve">būtiski svarīgi ir panākt ne vien nominālo konverģenci, bet arī reālo konverģenci un noturīgu ekonomiku, kam pamatā ir spēcīgas ekonomikas struktūras un kas ļauj dalībvalstīm efektīvi absorbēt satricinājumus un ātri atgūties no tiem. Jo īpaši tas prasa no dalībvalstīm spēju pārvaldīt savu budžetu saskaņā ar pareizas publisko finanšu pārvaldības principiem un būt institucionāli gatavām piedalīties banku savienībā. Papildus tam, lai integrācija eurozonā būtu veiksmīga, primāri svarīgi ir panākt, lai pareizi darbotos darba tirgus un produktu tirgus, kuri spētu absorbēt ārējus satricinājumus, lai preču un pakalpojumu tirdzniecības ziņā tiktu panākta augsta integrācijas pakāpe un lai labi funkcionētu publiskā pārvalde. </w:t>
      </w:r>
    </w:p>
    <w:p>
      <w:pPr>
        <w:widowControl w:val="0"/>
        <w:shd w:val="clear" w:color="auto" w:fill="FFFFFF"/>
        <w:autoSpaceDE w:val="0"/>
        <w:autoSpaceDN w:val="0"/>
        <w:adjustRightInd w:val="0"/>
        <w:spacing w:before="230" w:after="0" w:line="269" w:lineRule="exact"/>
        <w:ind w:right="86"/>
        <w:rPr>
          <w:noProof/>
        </w:rPr>
      </w:pPr>
      <w:r>
        <w:rPr>
          <w:noProof/>
        </w:rPr>
        <w:t>Ņemot vērā i) lielāku nepieciešamību pēc finansējuma, kas izmantojams, lai sniegtu atbalstu strukturālo reformu īstenošanai, un ii) nepieciešamību atbalstīt dalībvalstis, kuras plāno ieviest euro, paātrinot reālās konverģences procesu un attīstot noturīgākas ekonomiskās un sociālās struktūras, kas nodrošinātu to pareizu dalību ekonomiskajā un monetārajā savienībā, Komisija ir apņēmusies vispirms 2019.–2020. gadam palielināt Strukturālo reformu atbalsta programmas budžetu par 80 milj. euro. Tas būtu jāizdara, izmantojot elastības instrumentu, uz kuru attiecas pašreizējās daudzgadu finanšu shēmas</w:t>
      </w:r>
      <w:r>
        <w:rPr>
          <w:rStyle w:val="FootnoteReference"/>
          <w:noProof/>
        </w:rPr>
        <w:footnoteReference w:id="4"/>
      </w:r>
      <w:r>
        <w:rPr>
          <w:noProof/>
        </w:rPr>
        <w:t xml:space="preserve"> 11. pants. Tādējādi kopējais Strukturālo reformu atbalsta programmas finansējums sasniegtu 222,8 milj. euro. Palielinājums ne vien ļautu dalībvalstīm, kas nav eurozonas dalībnieces, bet vēlas ieviest euro un kam ir nepieciešams īstenot ekonomikas reformas, saņemt pieprasīto atbalstu, bet arī ļautu pieņemt vairāk atbalsta pieprasījumu un veikt lielākas izmaksas atbalstam, ko sniedz administratīvu un strukturālu reformu īstenošanas nodrošināšanai. </w:t>
      </w:r>
    </w:p>
    <w:p>
      <w:pPr>
        <w:widowControl w:val="0"/>
        <w:shd w:val="clear" w:color="auto" w:fill="FFFFFF"/>
        <w:autoSpaceDE w:val="0"/>
        <w:autoSpaceDN w:val="0"/>
        <w:adjustRightInd w:val="0"/>
        <w:spacing w:before="230" w:after="0" w:line="269" w:lineRule="exact"/>
        <w:ind w:right="86"/>
        <w:rPr>
          <w:noProof/>
        </w:rPr>
      </w:pPr>
      <w:r>
        <w:rPr>
          <w:noProof/>
        </w:rPr>
        <w:t xml:space="preserve">Šis papildu budžets tiktu papildināts, aicinot dalībvalstis izmantot Strukturālo reformu atbalsta programmas regulas 11. pantā paredzēto iespēju pārnest daļu savu resursu no Eiropas strukturālo un investīciju fondu tehniskās palīdzības komponenta uz Strukturālo reformu atbalsta programmu, lai sniegtu atbalstu reformu, tostarp ar euro ieviešanu saistīto reformu, īstenošanai. Spriežot pēc pašlaik aplēstajām iespējamajām vajadzībām pēc atbalsta, ar šo papildinājumu kopējais atbalstam pieejamā budžeta kopapjoms tiktu palielināts līdz 300 milj. euro, tādējādi līdz 2020. gadam divkāršojot atbalstam pieejamo summu. </w:t>
      </w:r>
    </w:p>
    <w:p>
      <w:pPr>
        <w:widowControl w:val="0"/>
        <w:shd w:val="clear" w:color="auto" w:fill="FFFFFF"/>
        <w:autoSpaceDE w:val="0"/>
        <w:autoSpaceDN w:val="0"/>
        <w:adjustRightInd w:val="0"/>
        <w:spacing w:before="230" w:after="0" w:line="269" w:lineRule="exact"/>
        <w:ind w:right="86"/>
        <w:rPr>
          <w:noProof/>
        </w:rPr>
      </w:pPr>
      <w:r>
        <w:rPr>
          <w:noProof/>
        </w:rPr>
        <w:t xml:space="preserve">Atbalsts piedāvātu pielāgotu palīdzību visu to politikas virzienu īstenošanā, kuri palīdz dalībvalstīm sasniegt augstu noturīgas konverģences līmeni. Šis atbalsts konkrēti tiks piedāvāts darījumdarbības vides jomās, finanšu nozarē, darba tirgū un produktu tirgū, publiskajā pārvaldē un publisko finanšu pārvaldībā. Vissvarīgākās reformas, kas nepieciešamas noturīgai reālajai konverģencei, tiks izvirzītas Eiropas pusgada kontekstā. </w:t>
      </w:r>
    </w:p>
    <w:p>
      <w:pPr>
        <w:widowControl w:val="0"/>
        <w:shd w:val="clear" w:color="auto" w:fill="FFFFFF"/>
        <w:autoSpaceDE w:val="0"/>
        <w:autoSpaceDN w:val="0"/>
        <w:adjustRightInd w:val="0"/>
        <w:spacing w:before="230" w:after="0" w:line="269" w:lineRule="exact"/>
        <w:ind w:right="86"/>
        <w:rPr>
          <w:noProof/>
        </w:rPr>
      </w:pPr>
      <w:r>
        <w:rPr>
          <w:noProof/>
        </w:rPr>
        <w:t xml:space="preserve">Īpašā darbplūsmā dalībvalstis, kas vēlas panākt progresu ceļā uz pievienošanos eurozonai, dialogā ar Komisiju vienotos par to reformu saistību kopumu ierobežotā apjomā, kuras ir īpaši svarīgas veiksmīgai dalībai eurozonā. Šīs reformu saistības tiktu arī atspoguļotas attiecīgo dalībvalstu valsts reformu programmās. Komisija ar Strukturālo reformu atbalsta dienesta starpniecību ar attiecīgajām dalībvalstīm noslēgtu jaunu sadarbības un atbalsta plānu, kurā lielākā uzmanība tiktu veltīta tam, lai sniegtu tehnisku atbalstu ar euro ieviešanu saistītu reformu saistību īstenošanai. Šis pasākums būtu pilnībā brīvprātīgs, un tas tiktu piedāvāts bez saņēmēju dalībvalstu līdzfinansējuma. </w:t>
      </w:r>
    </w:p>
    <w:p>
      <w:pPr>
        <w:pStyle w:val="ManualHeading2"/>
        <w:rPr>
          <w:rFonts w:eastAsia="Arial Unicode MS"/>
          <w:noProof/>
          <w:color w:val="000000"/>
          <w:u w:color="000000"/>
          <w:bdr w:val="nil"/>
        </w:rPr>
      </w:pPr>
    </w:p>
    <w:p>
      <w:pPr>
        <w:pStyle w:val="ManualHeading2"/>
        <w:rPr>
          <w:rFonts w:eastAsia="Arial Unicode MS"/>
          <w:noProof/>
          <w:color w:val="000000"/>
          <w:u w:color="000000"/>
          <w:bdr w:val="nil"/>
        </w:rPr>
      </w:pPr>
      <w:r>
        <w:rPr>
          <w:noProof/>
          <w:color w:val="000000"/>
          <w:u w:color="000000"/>
          <w:bdr w:val="nil"/>
        </w:rPr>
        <w:t>•</w:t>
      </w:r>
      <w:r>
        <w:rPr>
          <w:noProof/>
        </w:rPr>
        <w:tab/>
        <w:t>Saskanība ar spēkā esošajiem noteikumiem konkrētajā politikas jomā</w:t>
      </w:r>
    </w:p>
    <w:p>
      <w:pPr>
        <w:pStyle w:val="Default"/>
        <w:jc w:val="both"/>
        <w:rPr>
          <w:noProof/>
          <w:lang w:val="lv-LV"/>
        </w:rPr>
      </w:pPr>
      <w:r>
        <w:rPr>
          <w:noProof/>
          <w:color w:val="auto"/>
          <w:lang w:val="lv-LV"/>
        </w:rPr>
        <w:t>Strukturālo</w:t>
      </w:r>
      <w:r>
        <w:rPr>
          <w:noProof/>
          <w:lang w:val="lv-LV"/>
        </w:rPr>
        <w:t xml:space="preserve"> reformu atbalsta programma </w:t>
      </w:r>
      <w:r>
        <w:rPr>
          <w:noProof/>
          <w:color w:val="auto"/>
          <w:lang w:val="lv-LV"/>
        </w:rPr>
        <w:t xml:space="preserve">ir inovatīva Savienības programma, ar kuru Komisija pēc pieprasījuma sniedz atbalstu dalībvalstīm administratīvu un strukturālu reformu īstenošanai. </w:t>
      </w:r>
      <w:r>
        <w:rPr>
          <w:noProof/>
          <w:lang w:val="lv-LV"/>
        </w:rPr>
        <w:t xml:space="preserve">Strukturālo reformu atbalsta programma orientējas uz pielāgotas palīdzības un zinātības sniegšanu uz vietas reformu procesā vai šā procesa noteiktos posmos vai dažādās fāzēs ar mērķi papildināt pieprasījuma iesniedzēju dalībvalstu devumu. Pamats šādas palīdzības sniegšanai ir valsts neatliekamākās vajadzības, par kurām sadarbības un atbalsta plānā savstarpēji vienojušās Komisija un attiecīgā dalībvalsts. </w:t>
      </w:r>
    </w:p>
    <w:p>
      <w:pPr>
        <w:pStyle w:val="Default"/>
        <w:jc w:val="both"/>
        <w:rPr>
          <w:noProof/>
          <w:color w:val="auto"/>
          <w:szCs w:val="22"/>
          <w:lang w:val="lv-LV"/>
        </w:rPr>
      </w:pPr>
    </w:p>
    <w:p>
      <w:pPr>
        <w:pStyle w:val="Default"/>
        <w:jc w:val="both"/>
        <w:rPr>
          <w:noProof/>
          <w:lang w:val="lv-LV"/>
        </w:rPr>
      </w:pPr>
      <w:r>
        <w:rPr>
          <w:noProof/>
          <w:color w:val="auto"/>
          <w:lang w:val="lv-LV"/>
        </w:rPr>
        <w:t>Strukturālo</w:t>
      </w:r>
      <w:r>
        <w:rPr>
          <w:noProof/>
          <w:lang w:val="lv-LV"/>
        </w:rPr>
        <w:t xml:space="preserve"> reformu atbalsta programma </w:t>
      </w:r>
      <w:r>
        <w:rPr>
          <w:noProof/>
          <w:color w:val="auto"/>
          <w:lang w:val="lv-LV"/>
        </w:rPr>
        <w:t>papildina</w:t>
      </w:r>
      <w:r>
        <w:rPr>
          <w:noProof/>
          <w:lang w:val="lv-LV"/>
        </w:rPr>
        <w:t xml:space="preserve"> esošos spēju veidošanai un tehniskajai palīdzībai paredzētos resursus, kas pieejami citu daudzgadu finanšu shēmas Savienības finansēšanas programmu ietvaros, kā arī tehnisko palīdzību un citus pasākumus, kurus finansē no Savienības fondiem. Tas tiek nodrošināts gan plānošanas, gan īstenošanas posmā. Tālab Komisija ir izveidojusi tehniskā atbalsta koordinācijas mehānismu, kas ietver attiecīgos pakalpojumus tā, lai nodrošinātu, ka atbalsts, ko sniedz no dažādām Savienības programmām un fondiem, ir saskanīgs ar Strukturālo reformu atbalsta programmas pasākumiem un nedublējas ar tiem.</w:t>
      </w:r>
    </w:p>
    <w:p>
      <w:pPr>
        <w:pStyle w:val="Default"/>
        <w:jc w:val="both"/>
        <w:rPr>
          <w:noProof/>
          <w:lang w:val="lv-LV"/>
        </w:rPr>
      </w:pPr>
    </w:p>
    <w:p>
      <w:pPr>
        <w:pStyle w:val="Default"/>
        <w:jc w:val="both"/>
        <w:rPr>
          <w:noProof/>
          <w:color w:val="auto"/>
          <w:szCs w:val="22"/>
          <w:lang w:val="lv-LV"/>
        </w:rPr>
      </w:pPr>
      <w:r>
        <w:rPr>
          <w:noProof/>
          <w:color w:val="auto"/>
          <w:lang w:val="lv-LV"/>
        </w:rPr>
        <w:t xml:space="preserve">Šā priekšlikuma mērķis ir palielināt finanšu piešķīrumu no </w:t>
      </w:r>
      <w:r>
        <w:rPr>
          <w:noProof/>
          <w:lang w:val="lv-LV"/>
        </w:rPr>
        <w:t>Strukturālo reformu atbalsta programmas</w:t>
      </w:r>
      <w:r>
        <w:rPr>
          <w:noProof/>
          <w:color w:val="auto"/>
          <w:lang w:val="lv-LV"/>
        </w:rPr>
        <w:t xml:space="preserve">, lai ļautu Komisijai apmierināt jo īpaši to valstu vajadzības, kuras nav eurozonas dalībnieces, bet ir sākušas strukturālas reformas, kas vērstas uz to ekonomiku noturības palielināšanu pret satricinājumiem un labāku sagatavotību dalībai eurozonā, kā arī vajadzības, kas izriet no atbalsta pieprasījumu skaita un izmaksu palielināšanās no visām dalībvalstīm saistībā ar strukturālu reformu īstenošanu.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rPr>
      </w:pPr>
      <w:r>
        <w:rPr>
          <w:noProof/>
          <w:color w:val="000000"/>
          <w:u w:color="000000"/>
          <w:bdr w:val="nil"/>
        </w:rPr>
        <w:t>•</w:t>
      </w:r>
      <w:r>
        <w:rPr>
          <w:noProof/>
        </w:rPr>
        <w:tab/>
        <w:t>Saskanība ar citām Savienības politikas jomām</w:t>
      </w:r>
    </w:p>
    <w:p>
      <w:pPr>
        <w:pStyle w:val="Default"/>
        <w:jc w:val="both"/>
        <w:rPr>
          <w:noProof/>
          <w:color w:val="auto"/>
          <w:szCs w:val="22"/>
          <w:lang w:val="lv-LV"/>
        </w:rPr>
      </w:pPr>
      <w:r>
        <w:rPr>
          <w:noProof/>
          <w:color w:val="auto"/>
          <w:lang w:val="lv-LV"/>
        </w:rPr>
        <w:t>Priekšlikums saskan ar tādām galvenajām Savienības politikas iniciatīvām kā Eiropas pusgadu un priekšlikumiem, kas izklāstīti pārdomu dokumentā par ekonomiskās un monetārās savienības padziļināšanu</w:t>
      </w:r>
      <w:r>
        <w:rPr>
          <w:rStyle w:val="FootnoteReference"/>
          <w:noProof/>
          <w:color w:val="auto"/>
          <w:lang w:val="lv-LV"/>
        </w:rPr>
        <w:footnoteReference w:id="5"/>
      </w:r>
      <w:r>
        <w:rPr>
          <w:noProof/>
          <w:color w:val="auto"/>
          <w:lang w:val="lv-LV"/>
        </w:rPr>
        <w:t>, un sekmē to īstenošanu; tas atbilst Komisijas priekšsēdētāja Junkera 2017. gada runai par stāvokli Savienībā (un pavadošajai nodomu vēstulei) 2017. gada 13. septembrī Eiropas Parlamentā, kurā galvenajos vilcienos tika aprakstīts, kā stiprināt</w:t>
      </w:r>
      <w:r>
        <w:rPr>
          <w:noProof/>
          <w:lang w:val="lv-LV"/>
        </w:rPr>
        <w:t xml:space="preserve"> ekonomiskās un monetārās savienības </w:t>
      </w:r>
      <w:r>
        <w:rPr>
          <w:noProof/>
          <w:color w:val="auto"/>
          <w:lang w:val="lv-LV"/>
        </w:rPr>
        <w:t xml:space="preserve">nākotni. </w:t>
      </w:r>
    </w:p>
    <w:p>
      <w:pPr>
        <w:pStyle w:val="Default"/>
        <w:jc w:val="both"/>
        <w:rPr>
          <w:noProof/>
          <w:color w:val="auto"/>
          <w:szCs w:val="22"/>
          <w:lang w:val="lv-LV"/>
        </w:rPr>
      </w:pPr>
    </w:p>
    <w:p>
      <w:pPr>
        <w:pStyle w:val="Default"/>
        <w:jc w:val="both"/>
        <w:rPr>
          <w:noProof/>
          <w:color w:val="auto"/>
          <w:szCs w:val="22"/>
          <w:lang w:val="lv-LV"/>
        </w:rPr>
      </w:pPr>
      <w:r>
        <w:rPr>
          <w:noProof/>
          <w:color w:val="auto"/>
          <w:lang w:val="lv-LV"/>
        </w:rPr>
        <w:t xml:space="preserve">Priekšlikums ļauj piesaistīt vairāk finanšu resursu atbalsta sniegšanai visnepieciešamākajām reformām, kas padarītu to dalībvalstu ekonomikas, kuras nav eurozonas dalībnieces, noturīgākas pret satricinājumiem un palīdzētu minētajām dalībvalstīm sekmīgi attīstīties pēc pievienošanās eurozonai. Turklāt priekšlikums ļauj piesaistīt vairāk līdzekļu strukturālu reformu īstenošanas atbalstam visā Savienībā.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lastRenderedPageBreak/>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rPr>
      </w:pPr>
      <w:r>
        <w:rPr>
          <w:noProof/>
        </w:rPr>
        <w:t xml:space="preserve">Strukturālo reformu atbalsta programmas pamatā ir Līguma par Eiropas Savienības darbību 175. pants (trešā daļa) un 197. panta 2. punkts. </w:t>
      </w:r>
    </w:p>
    <w:p>
      <w:pPr>
        <w:rPr>
          <w:rFonts w:eastAsia="Arial Unicode MS"/>
          <w:noProof/>
        </w:rPr>
      </w:pPr>
      <w:r>
        <w:rPr>
          <w:noProof/>
        </w:rPr>
        <w:t>Šajā priekšlikumā izklāstīti tiesību aktu grozījumi, kuru mērķis ir i) norādīt programmas ieguldījumu, kas tiek atvēlēts, lai atvieglotu to dalībvalstu dalību eurozonā, kuru naudas vienība nav euro, ii) palielināt programmai atvēlēto finansējumu (izmantojot pašreizējās daudzgadu finanšu shēmas elastības instrumentu) un iii) pielāgot Strukturālo reformu atbalsta programmas vispārīgo mērķi, lai uzsvērtu saikni ar sagatavošanos dalībai eurozonā. Tas arī paredz atbalstu dažām tehniskām izmaiņām, kas skar programmas atbalsta izdevumu izmantošanu. Ņemot vērā, ka Strukturālo reformu atbalsta programmai tiek palielināti finanšu resursi, tā var spēcīgi veicināt noturīgākas ekonomikas struktūras izveidi dalībvalstīs un noturīgas konverģences panākšanu dalībvalstīs, kas nav eurozonas dalībnieces, bet gatavojas pievienoties eurozonai.</w:t>
      </w:r>
    </w:p>
    <w:p>
      <w:pPr>
        <w:rPr>
          <w:rFonts w:eastAsia="Arial Unicode MS"/>
          <w:noProof/>
        </w:rPr>
      </w:pPr>
    </w:p>
    <w:p>
      <w:pPr>
        <w:pStyle w:val="ManualHeading2"/>
        <w:rPr>
          <w:rFonts w:eastAsia="Arial Unicode MS"/>
          <w:noProof/>
          <w:u w:color="000000"/>
          <w:bdr w:val="nil"/>
        </w:rPr>
      </w:pPr>
      <w:r>
        <w:rPr>
          <w:noProof/>
        </w:rPr>
        <w:t>•</w:t>
      </w:r>
      <w:r>
        <w:rPr>
          <w:noProof/>
        </w:rPr>
        <w:tab/>
        <w:t xml:space="preserve">Subsidiaritāte (neekskluzīvas kompetences gadījumā) </w:t>
      </w:r>
    </w:p>
    <w:p>
      <w:pPr>
        <w:rPr>
          <w:noProof/>
        </w:rPr>
      </w:pPr>
      <w:r>
        <w:rPr>
          <w:noProof/>
        </w:rPr>
        <w:t>Programmas pasākumu finansējums ierosināto grozījumu dēļ atbilst Eiropas pievienotās vērtības un subsidiaritātes principiem. Ņemot vērā dalībvalstu negaidīti lielo interesi par programmu, nepieciešams palielināt finansējumu no Savienības budžeta kopējam atbalstam, ko piešķir strukturālu reformu īstenošanai. Tas ir arī nepieciešams, ņemot vērā mērķi atbalstīt noturīgu konverģenci dalībvalstīs, kas nav eurozonas dalībnieces, jo tā ir izšķirīgi svarīga Savienības labklājībai, it īpaši vienotās valūtas pareizai darbībai. Nevienu no šiem mērķiem (atbalsts strukturālām reformām vispār un atbalsts dalībai eurozonā) dalībvalstis vienas pašas nevar sasniegt pietiekamā mērā (“nepieciešamības pārbaude”), savukārt Savienības dalība var radīt papildu vērtību, salīdzinot ar darbību tikai dalībvalstu līmenī (“efektivitātes pārbaude”).</w:t>
      </w:r>
    </w:p>
    <w:p>
      <w:pPr>
        <w:rPr>
          <w:noProof/>
        </w:rPr>
      </w:pPr>
      <w:r>
        <w:rPr>
          <w:noProof/>
        </w:rPr>
        <w:t xml:space="preserve">Faktiski Savienība labāk nekā dalībvalstis spēj apzināt, izmantot un koordinēt labāko pieejamo zinātību (no Eiropas iestāžu dienestiem, no citām valstīm vai starptautiskām organizācijām) un sekmēt paraugprakses apmaiņu (kā arī nodrošināt tās konsekventu izplatīšanu visā Savienībā), tādējādi palīdzot dalībvalstīm, kas nav eurozonas dalībnieces, to virzībā uz pievienošanos vienotajai valūtai, un atbalstīt mērķtiecīgu izaugsmi veicinošu reformu īstenošanu dalībvalstīs.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rPr>
        <w:t xml:space="preserve">Priekšlikums atbilst proporcionalitātes principam, jo tajā ir paredzēts vienīgi tas, kas nepieciešams noteiktā mērķa sasniegšanai Eiropas līmenī, un šim nolūkam vajadzīgie pasākumi.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Instrumenta izvēle</w:t>
      </w:r>
    </w:p>
    <w:p>
      <w:pPr>
        <w:pBdr>
          <w:top w:val="nil"/>
          <w:left w:val="nil"/>
          <w:bottom w:val="nil"/>
          <w:right w:val="nil"/>
          <w:between w:val="nil"/>
          <w:bar w:val="nil"/>
        </w:pBdr>
        <w:spacing w:before="0" w:after="240"/>
        <w:rPr>
          <w:noProof/>
        </w:rPr>
      </w:pPr>
      <w:r>
        <w:rPr>
          <w:noProof/>
        </w:rPr>
        <w:t>Ar priekšlikumu paredzēts grozīt Strukturālo reformu atbalsta programmas regulu.</w:t>
      </w:r>
    </w:p>
    <w:p>
      <w:pPr>
        <w:pStyle w:val="ManualHeading1"/>
        <w:rPr>
          <w:noProof/>
        </w:rPr>
      </w:pPr>
      <w:r>
        <w:rPr>
          <w:noProof/>
        </w:rPr>
        <w:lastRenderedPageBreak/>
        <w:t>3.</w:t>
      </w:r>
      <w:r>
        <w:rPr>
          <w:noProof/>
        </w:rPr>
        <w:tab/>
      </w:r>
      <w:r>
        <w:rPr>
          <w:i/>
          <w:noProof/>
        </w:rPr>
        <w:t>EX POST</w:t>
      </w:r>
      <w:r>
        <w:rPr>
          <w:noProof/>
        </w:rPr>
        <w:t xml:space="preserve"> IZVĒRTĒJUMU, APSPRIEŠANĀS AR IEINTERESĒTAJĀM PERSONĀM UN IETEKMES NOVĒRTĒJUMU REZULTĀTI</w:t>
      </w:r>
    </w:p>
    <w:p>
      <w:pPr>
        <w:pBdr>
          <w:top w:val="nil"/>
          <w:left w:val="nil"/>
          <w:bottom w:val="nil"/>
          <w:right w:val="nil"/>
          <w:between w:val="nil"/>
          <w:bar w:val="nil"/>
        </w:pBdr>
        <w:spacing w:before="0" w:after="240"/>
        <w:rPr>
          <w:rFonts w:eastAsia="Arial Unicode MS"/>
          <w:noProof/>
        </w:rPr>
      </w:pPr>
      <w:r>
        <w:rPr>
          <w:noProof/>
        </w:rPr>
        <w:t>Šo grozījumu mērķis ir reaģēt uz steidzamo vajadzību nodrošināt atbalstu dalībvalstīm, kas nav eurozonas dalībnieces, bet ir sākušas strukturālas reformas, kuras vērstas uz to ekonomiku noturības palielināšanu pret satricinājumiem, reālās konverģences procesa paātrināšanu un labāku sagatavotību dalībai eurozonā. Grozījumu mērķis ir arī palielināt kopējo finansējumu, lai apmierinātu dalībvalstu pieprasījumu, kas saistībā ar strukturālu reformu īstenošanu ir daudz lielāks par gaidīto.</w:t>
      </w:r>
    </w:p>
    <w:p>
      <w:pPr>
        <w:pStyle w:val="ManualHeading2"/>
        <w:rPr>
          <w:rFonts w:eastAsia="Arial Unicode MS"/>
          <w:noProof/>
          <w:u w:color="000000"/>
          <w:bdr w:val="nil"/>
        </w:rPr>
      </w:pP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noProof/>
        </w:rPr>
      </w:pPr>
      <w:r>
        <w:rPr>
          <w:noProof/>
        </w:rPr>
        <w:t>Priekšlikums nav saistīts ar normatīvās atbilstības un vienkāršošanas pārbaudi un mazajiem un vidējiem uzņēmumiem vai citām ieinteresētajām personām nerada izmaksas par atbilstības nodrošināšanu. Drīzumā Strukturālo reformu atbalsta programma tiks īstenota ar elektroniskas platformas (</w:t>
      </w:r>
      <w:r>
        <w:rPr>
          <w:i/>
          <w:noProof/>
        </w:rPr>
        <w:t>JIRA</w:t>
      </w:r>
      <w:r>
        <w:rPr>
          <w:noProof/>
        </w:rPr>
        <w:t>) palīdzību, un tā būs pieejama Komisijas dienestiem un dalībvalstīm.</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rPr>
          <w:rFonts w:eastAsia="Arial Unicode MS"/>
          <w:noProof/>
        </w:rPr>
      </w:pPr>
      <w:r>
        <w:rPr>
          <w:noProof/>
        </w:rPr>
        <w:t xml:space="preserve">Priekšlikumam ir pozitīva ietekme uz Savienības pamattiesību ievērošanu un attīstīšanu, pieņemot to, ka dalībvalstis pieprasa un saņem tehnisku atbalstu saistītās jomās. Piemēram, atbalsts tādās jomās kā migrācija, darba tirgi un sociālais nodrošinājums, veselības aprūpe, izglītība, vide, īpašums, publiskā pārvalde un tiesu sistēma var veicināt Savienības pamattiesības, piemēram, cieņu, brīvību, līdztiesību, solidaritāti, pilsoņu tiesības un tiesiskumu.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4.</w:t>
      </w:r>
      <w:r>
        <w:rPr>
          <w:noProof/>
        </w:rPr>
        <w:tab/>
        <w:t>IETEKME UZ BUDŽETU</w:t>
      </w:r>
    </w:p>
    <w:p>
      <w:pPr>
        <w:rPr>
          <w:noProof/>
        </w:rPr>
      </w:pPr>
      <w:r>
        <w:rPr>
          <w:noProof/>
        </w:rPr>
        <w:t>Tiek ierosināts palielināt Strukturālo reformu atbalsta programmai atvēlēto finansējumu no EUR 142 800 000 (pašreizējās cenās) līdz EUR 222 800 000 (pašreizējās cenās). Šis palielinājums attiektos uz 2019. un 2020. gadu. Tiesību akta finanšu pārskatā ir iekļauti atbilstoši paskaidrojumi.</w:t>
      </w:r>
    </w:p>
    <w:p>
      <w:pPr>
        <w:rPr>
          <w:noProof/>
        </w:rPr>
      </w:pPr>
      <w:r>
        <w:rPr>
          <w:noProof/>
        </w:rPr>
        <w:t xml:space="preserve">Šim palielinājumam vajadzētu kļūt iespējamam, izmantojot EUR 80 000 000 no elastības instrumenta, uz kuru attiecas pašreizējā daudzgadu finanšu shēma (Padomes Regulas 1311/2013 11. pants), tādējādi varētu papildināt finansējumu, kas Savienības vispārējā budžetā pieejams 2018. un 2019. gadam, pārsniedzot 1.b izdevumu kategorijas (kohēzija) maksimālo summu. </w:t>
      </w:r>
    </w:p>
    <w:p>
      <w:pPr>
        <w:rPr>
          <w:noProof/>
        </w:rPr>
      </w:pPr>
      <w:r>
        <w:rPr>
          <w:noProof/>
        </w:rPr>
        <w:t xml:space="preserve">Šis palielinātais budžets tiks papildināts, aicinot dalībvalstis izmantot Strukturālo reformu atbalsta programmas regulas 11. pantā paredzēto iespēju pārnest daļu savu resursu no Eiropas strukturālo un investīciju fondu tehniskās palīdzības komponenta uz Strukturālo reformu atbalsta programmu, lai sniegtu atbalstu reformu, tostarp ar euro ieviešanu saistīto reformu, īstenošanai. Spriežot pēc pašlaik aplēstajām iespējamajām vajadzībām pēc atbalsta, ar šo papildinājumu kopējais atbalstam pieejamā budžeta kopapjoms tiktu palielināts līdz 300 milj. euro. </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lastRenderedPageBreak/>
        <w:t>5.</w:t>
      </w:r>
      <w:r>
        <w:rPr>
          <w:noProof/>
        </w:rPr>
        <w:tab/>
        <w:t>CITI ELEMENTI</w:t>
      </w:r>
    </w:p>
    <w:p>
      <w:pPr>
        <w:pStyle w:val="ManualHeading2"/>
        <w:rPr>
          <w:rFonts w:eastAsia="Arial Unicode MS"/>
          <w:noProof/>
          <w:u w:color="000000"/>
          <w:bdr w:val="nil"/>
        </w:rPr>
      </w:pPr>
      <w:r>
        <w:rPr>
          <w:noProof/>
        </w:rPr>
        <w:t>•</w:t>
      </w:r>
      <w:r>
        <w:rPr>
          <w:noProof/>
        </w:rPr>
        <w:tab/>
        <w:t>Īstenošanas plāni un uzraudzīšanas, izvērtēšanas un ziņošanas kārtība</w:t>
      </w:r>
    </w:p>
    <w:p>
      <w:pPr>
        <w:pBdr>
          <w:top w:val="nil"/>
          <w:left w:val="nil"/>
          <w:bottom w:val="nil"/>
          <w:right w:val="nil"/>
          <w:between w:val="nil"/>
          <w:bar w:val="nil"/>
        </w:pBdr>
        <w:spacing w:before="0" w:after="240"/>
        <w:rPr>
          <w:noProof/>
        </w:rPr>
      </w:pPr>
      <w:r>
        <w:rPr>
          <w:noProof/>
        </w:rPr>
        <w:t xml:space="preserve">Uzraudzības, novērtēšanas un ziņošanas prasības ir pienācīgi paredzētas Strukturālo reformu atbalsta programmas regulā. Tāpēc šajā ziņā izmaiņas nav paredzētas.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Paskaidrojošie dokumenti (attiecībā uz direktīvām)</w:t>
      </w:r>
    </w:p>
    <w:p>
      <w:pPr>
        <w:pBdr>
          <w:top w:val="nil"/>
          <w:left w:val="nil"/>
          <w:bottom w:val="nil"/>
          <w:right w:val="nil"/>
          <w:between w:val="nil"/>
          <w:bar w:val="nil"/>
        </w:pBdr>
        <w:spacing w:before="0" w:after="240"/>
        <w:rPr>
          <w:noProof/>
        </w:rPr>
      </w:pPr>
      <w:r>
        <w:rPr>
          <w:noProof/>
        </w:rPr>
        <w:t>Nepiemēro.</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Konkrēto ierosināto noteikumu detalizēts skaidrojums</w:t>
      </w:r>
    </w:p>
    <w:p>
      <w:pPr>
        <w:autoSpaceDE w:val="0"/>
        <w:rPr>
          <w:noProof/>
        </w:rPr>
      </w:pPr>
      <w:r>
        <w:rPr>
          <w:noProof/>
        </w:rPr>
        <w:t>Priekšlikums paredz grozīt Strukturālo reformu atbalsta programmas regulas 4. pantu (Vispārīgais mērķis), lai papildus mērķiem, kuriem programma nodrošina iemaksas, iekļautu atbalstu dalībai eurozonā. Proti, programma sniedz valsts iestādēm atbalstu, kas paredzēts, lai reformētu iestādes, pārvaldību, pārvaldi un ekonomikas un sociālo jomu, reaģējot uz ekonomikas un sociālām problēmām. Ierosinātie grozījumi uzsver, ka kohēzijas, konkurētspējas, produktivitātes, ilgtspējīgas izaugsmes un darbvietu radīšanas veicināšanai būtu jāsekmē to dalībvalstu sagatavošanās dalībai eurozonā, kuru naudas vienība nav euro, bet kuras vēlas pievienoties vienotajai valūtai.</w:t>
      </w:r>
    </w:p>
    <w:p>
      <w:pPr>
        <w:autoSpaceDE w:val="0"/>
        <w:rPr>
          <w:noProof/>
        </w:rPr>
      </w:pPr>
      <w:r>
        <w:rPr>
          <w:noProof/>
        </w:rPr>
        <w:t xml:space="preserve">Ierosinātais 5.a pants uzsver programmas ieguldījumu īpašā darbplūsmā, kas vērsta uz tādu reformu atbalstīšanu, kuras var palīdzēt dalībvalstīm sagatavoties, lai pievienotos eurozonai. </w:t>
      </w:r>
    </w:p>
    <w:p>
      <w:pPr>
        <w:autoSpaceDE w:val="0"/>
        <w:rPr>
          <w:noProof/>
        </w:rPr>
      </w:pPr>
      <w:r>
        <w:rPr>
          <w:noProof/>
        </w:rPr>
        <w:t xml:space="preserve">Priekšlikums paredz grozīt Strukturālo reformu atbalsta programmas regulas 10. panta 1. punktu attiecībā uz Strukturālo reformu atbalsta programmai atvēlēto finansējumu, lai tas sasniegtu 222,8 milj. euro pašreizējās cenās.  </w:t>
      </w:r>
    </w:p>
    <w:p>
      <w:pPr>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Priekšlikums paredz grozīt Strukturālo reformu atbalsta programmas regulas 10. panta 2. punktu, t. i., noteikumu par programmas atbalsta izdevumiem, ieviešot iespēju finansēt tādus atbalsta pasākumus kā kvalitātes kontrole un konkrētu atbalsta projektu uzraudzība uz vietas.</w:t>
      </w:r>
    </w:p>
    <w:p>
      <w:pPr>
        <w:pStyle w:val="Rfrenceinterinstitutionnelle"/>
        <w:rPr>
          <w:noProof/>
        </w:rPr>
      </w:pPr>
      <w:r>
        <w:rPr>
          <w:noProof/>
        </w:rPr>
        <w:lastRenderedPageBreak/>
        <w:t>2017/0334 (COD)</w:t>
      </w:r>
    </w:p>
    <w:p>
      <w:pPr>
        <w:pStyle w:val="Statut"/>
        <w:rPr>
          <w:noProof/>
        </w:rPr>
      </w:pPr>
      <w:r>
        <w:rPr>
          <w:noProof/>
        </w:rPr>
        <w:t>Priekšlikums</w:t>
      </w:r>
    </w:p>
    <w:p>
      <w:pPr>
        <w:pStyle w:val="Typedudocument"/>
        <w:rPr>
          <w:noProof/>
        </w:rPr>
      </w:pPr>
      <w:r>
        <w:rPr>
          <w:noProof/>
        </w:rPr>
        <w:t>EIROPAS PARLAMENTA UN PADOMES REGULA,</w:t>
      </w:r>
    </w:p>
    <w:p>
      <w:pPr>
        <w:pStyle w:val="Titreobjet"/>
      </w:pPr>
      <w:r>
        <w:rPr>
          <w:noProof/>
        </w:rPr>
        <w:t xml:space="preserve">ar ko groza Regulu (ES) 2017/825, lai palielinātu Strukturālo reformu atbalsta programmas finansējumu un pielāgotu tās vispārīgo mērķi </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175. panta trešo daļu un 197.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6"/>
      </w:r>
      <w:r>
        <w:rPr>
          <w:noProof/>
        </w:rPr>
        <w:t xml:space="preserve">, </w:t>
      </w:r>
    </w:p>
    <w:p>
      <w:pPr>
        <w:rPr>
          <w:noProof/>
        </w:rPr>
      </w:pPr>
      <w:r>
        <w:rPr>
          <w:noProof/>
        </w:rPr>
        <w:t>ņemot vērā Reģionu komitejas atzinumu</w:t>
      </w:r>
      <w:r>
        <w:rPr>
          <w:rStyle w:val="FootnoteReference"/>
          <w:noProof/>
        </w:rPr>
        <w:footnoteReference w:id="7"/>
      </w:r>
      <w:r>
        <w:rPr>
          <w:noProof/>
        </w:rPr>
        <w:t xml:space="preserve">, </w:t>
      </w:r>
    </w:p>
    <w:p>
      <w:pPr>
        <w:rPr>
          <w:noProof/>
        </w:rPr>
      </w:pPr>
      <w:r>
        <w:rPr>
          <w:noProof/>
        </w:rPr>
        <w:t>saskaņā ar parasto likumdošanas procedūru,</w:t>
      </w:r>
    </w:p>
    <w:p>
      <w:pPr>
        <w:rPr>
          <w:noProof/>
        </w:rPr>
      </w:pPr>
      <w:r>
        <w:rPr>
          <w:noProof/>
        </w:rPr>
        <w:t>tā kā:</w:t>
      </w:r>
    </w:p>
    <w:p>
      <w:pPr>
        <w:rPr>
          <w:noProof/>
        </w:rPr>
      </w:pPr>
    </w:p>
    <w:p>
      <w:pPr>
        <w:pStyle w:val="ManualConsidrant"/>
        <w:rPr>
          <w:noProof/>
        </w:rPr>
      </w:pPr>
      <w:r>
        <w:t>(1)</w:t>
      </w:r>
      <w:r>
        <w:tab/>
      </w:r>
      <w:r>
        <w:rPr>
          <w:noProof/>
        </w:rPr>
        <w:t xml:space="preserve">Strukturālo reformu atbalsta programma (“programma”) tika izveidota ar mērķi stiprināt dalībvalstu spēju sagatavot un īstenot izaugsmi veicinošas administratīvas un strukturālas reformas, tostarp sniedzot palīdzību Savienības fondu efektīvā un lietderīgā izmantošanā. Atbalstu programmas ietvaros sniedz Komisija pēc dalībvalsts pieprasījuma, un tas var aptvert ļoti dažādas politikas jomas. Tādas noturīgas ekonomikas attīstība, kura tiek veidota uz spēcīgām ekonomiskām un sociālām struktūrām, ļauj dalībvalstīm efektīvi absorbēt satricinājumus un ātri atgūties no tiem, veicina ekonomisko un sociālo kohēziju. Institucionālu, administratīvu un izaugsmi veicinošu strukturālo reformu īstenošana ir piemērots instruments šādas attīstības panākšanai. </w:t>
      </w:r>
    </w:p>
    <w:p>
      <w:pPr>
        <w:pStyle w:val="ManualConsidrant"/>
        <w:rPr>
          <w:noProof/>
        </w:rPr>
      </w:pPr>
      <w:r>
        <w:t>(2)</w:t>
      </w:r>
      <w:r>
        <w:tab/>
      </w:r>
      <w:r>
        <w:rPr>
          <w:noProof/>
        </w:rPr>
        <w:t>Dalībvalstis aizvien vairāk izmanto programmas nodrošināto atbalstu, pārsniedzot sākotnēji gaidīto. Atbalsta pieprasījumi, ko Komisija saņēmusi 2017. gadā, spriežot pēc to aplēstās vērtības, ievērojami pārsniedz pieejamo gada piešķīrumu. 2018. gada ciklā aplēstā saņemto pieprasījumu vērtība piecas reizes pārsniedz minētajam gadam pieejamos finanšu resursus. Gandrīz visas dalībvalstis ir pieprasījušas atbalstu no programmas, un pieprasījumi aptver visas politikas jomas, uz kurām attiecas programma.</w:t>
      </w:r>
    </w:p>
    <w:p>
      <w:pPr>
        <w:pStyle w:val="ManualConsidrant"/>
        <w:rPr>
          <w:noProof/>
        </w:rPr>
      </w:pPr>
      <w:r>
        <w:t>(3)</w:t>
      </w:r>
      <w:r>
        <w:tab/>
      </w:r>
      <w:r>
        <w:rPr>
          <w:noProof/>
        </w:rPr>
        <w:t xml:space="preserve">Lai varētu veiksmīgi piedalīties ekonomiskajā un monetārajā savienībā, ir ļoti svarīgi nostiprināt ekonomisko un sociālo kohēziju, pastiprinot strukturālas reformas. Sevišķi </w:t>
      </w:r>
      <w:r>
        <w:rPr>
          <w:noProof/>
        </w:rPr>
        <w:lastRenderedPageBreak/>
        <w:t>svarīgi tas ir tām dalībvalstīm, kuru naudas vienība nav euro, lai tās sagatavotos pievienoties eurozonai.</w:t>
      </w:r>
    </w:p>
    <w:p>
      <w:pPr>
        <w:pStyle w:val="ManualConsidrant"/>
        <w:rPr>
          <w:noProof/>
        </w:rPr>
      </w:pPr>
      <w:r>
        <w:t>(4)</w:t>
      </w:r>
      <w:r>
        <w:tab/>
      </w:r>
      <w:r>
        <w:rPr>
          <w:noProof/>
        </w:rPr>
        <w:t>Tādējādi programmas vispārīgajā mērķī, ciktāl tas ir sekmēt reaģēšanu uz ekonomikas un sociālām problēmām, ir lietderīgi uzsvērt, ka arī kohēzijas, konkurētspējas, produktivitātes, ilgtspējīgas izaugsmes un darbvietu radīšanas veicināšanai būtu jāsekmē to dalībvalstu sagatavošanās dalībai eurozonā, kuru naudas vienība nav euro.</w:t>
      </w:r>
    </w:p>
    <w:p>
      <w:pPr>
        <w:pStyle w:val="ManualConsidrant"/>
        <w:rPr>
          <w:noProof/>
        </w:rPr>
      </w:pPr>
      <w:r>
        <w:t>(5)</w:t>
      </w:r>
      <w:r>
        <w:tab/>
      </w:r>
      <w:r>
        <w:rPr>
          <w:noProof/>
        </w:rPr>
        <w:t>Nepieciešams arī norādīt, ka programmas darbības un pasākumi var atbalstīt reformas, kas dalībvalstīm, kuras vēlas ieviest euro, var palīdzēt sagatavoties dalībai eurozonā.</w:t>
      </w:r>
    </w:p>
    <w:p>
      <w:pPr>
        <w:pStyle w:val="ManualConsidrant"/>
        <w:rPr>
          <w:noProof/>
        </w:rPr>
      </w:pPr>
      <w:r>
        <w:t>(6)</w:t>
      </w:r>
      <w:r>
        <w:tab/>
      </w:r>
      <w:r>
        <w:rPr>
          <w:noProof/>
        </w:rPr>
        <w:t>Lai apmierinātu dalībvalstu pieaugošo pieprasījumu pēc atbalsta un ņemot vērā nepieciešamību atbalstīt strukturālu reformu īstenošanu dalībvalstīs, kuru naudas vienība nav euro, finanšu piešķīrums programmai būtu jāpalielina līdz tādam apjomam, kas ļauj Savienībai sniegt atbalstu, kurš apmierina pieprasījuma iesniedzēju dalībvalstu vajadzības.</w:t>
      </w:r>
    </w:p>
    <w:p>
      <w:pPr>
        <w:pStyle w:val="ManualConsidrant"/>
        <w:rPr>
          <w:noProof/>
        </w:rPr>
      </w:pPr>
      <w:r>
        <w:t>(7)</w:t>
      </w:r>
      <w:r>
        <w:tab/>
      </w:r>
      <w:r>
        <w:rPr>
          <w:noProof/>
        </w:rPr>
        <w:t xml:space="preserve">Lai sniegtu atbalstu ar iespējami mazu kavēšanos, Komisijai būtu jāspēj izmantot daļu no finansējuma arī tam, lai segtu to pasākumu izmaksas, kas sniedz atbalstu programmai, piemēram, izmaksas, kas saistītas ar kvalitātes kontroli un projektu uzraudzību uz vietas. </w:t>
      </w:r>
    </w:p>
    <w:p>
      <w:pPr>
        <w:pStyle w:val="ManualConsidrant"/>
        <w:rPr>
          <w:noProof/>
        </w:rPr>
      </w:pPr>
      <w:r>
        <w:t>(8)</w:t>
      </w:r>
      <w:r>
        <w:tab/>
      </w:r>
      <w:r>
        <w:rPr>
          <w:noProof/>
        </w:rPr>
        <w:t>Tāpēc būtu attiecīgi jāgroza Regula (ES) 2017/825.</w:t>
      </w:r>
    </w:p>
    <w:p>
      <w:pPr>
        <w:pStyle w:val="ManualConsidrant"/>
        <w:rPr>
          <w:noProof/>
        </w:rPr>
      </w:pPr>
      <w:r>
        <w:t>(9)</w:t>
      </w:r>
      <w:r>
        <w:tab/>
      </w:r>
      <w:r>
        <w:rPr>
          <w:noProof/>
        </w:rPr>
        <w:t xml:space="preserve">Lai būtu iespējams nekavējoties piemērot šajā regulā paredzētos pasākumus, šai regulai būtu jāstājas spēkā nākamajā dienā pēc tās publicēšanas </w:t>
      </w:r>
      <w:r>
        <w:rPr>
          <w:i/>
          <w:noProof/>
        </w:rPr>
        <w:t>Eiropas Savienības Oficiālajā Vēstnesī</w:t>
      </w:r>
      <w:r>
        <w:rPr>
          <w:noProof/>
        </w:rPr>
        <w:t>,</w:t>
      </w:r>
    </w:p>
    <w:p>
      <w:pPr>
        <w:rPr>
          <w:noProof/>
        </w:rPr>
      </w:pPr>
    </w:p>
    <w:p>
      <w:pPr>
        <w:pStyle w:val="Formuledadoption"/>
        <w:rPr>
          <w:noProof/>
        </w:rPr>
      </w:pPr>
      <w:r>
        <w:rPr>
          <w:noProof/>
        </w:rPr>
        <w:t>IR PIEŅĒMUŠI ŠO REGULU.</w:t>
      </w:r>
    </w:p>
    <w:p>
      <w:pPr>
        <w:pStyle w:val="Titrearticle"/>
        <w:rPr>
          <w:noProof/>
        </w:rPr>
      </w:pPr>
      <w:r>
        <w:rPr>
          <w:noProof/>
        </w:rPr>
        <w:t>1. pants</w:t>
      </w:r>
    </w:p>
    <w:p>
      <w:pPr>
        <w:rPr>
          <w:noProof/>
        </w:rPr>
      </w:pPr>
      <w:r>
        <w:rPr>
          <w:noProof/>
        </w:rPr>
        <w:t xml:space="preserve">Regulu (ES) 2017/825 groza šādi: </w:t>
      </w:r>
    </w:p>
    <w:p>
      <w:pPr>
        <w:rPr>
          <w:noProof/>
        </w:rPr>
      </w:pPr>
    </w:p>
    <w:p>
      <w:pPr>
        <w:rPr>
          <w:noProof/>
        </w:rPr>
      </w:pPr>
      <w:r>
        <w:rPr>
          <w:noProof/>
        </w:rPr>
        <w:t>(1)</w:t>
      </w:r>
      <w:r>
        <w:rPr>
          <w:noProof/>
        </w:rPr>
        <w:tab/>
        <w:t>regulas 4. pantu aizstāj ar šādu:</w:t>
      </w:r>
    </w:p>
    <w:p>
      <w:pPr>
        <w:ind w:left="720"/>
        <w:rPr>
          <w:noProof/>
        </w:rPr>
      </w:pPr>
      <w:r>
        <w:rPr>
          <w:noProof/>
        </w:rPr>
        <w:t>“4. pants</w:t>
      </w:r>
    </w:p>
    <w:p>
      <w:pPr>
        <w:ind w:left="720"/>
        <w:rPr>
          <w:noProof/>
        </w:rPr>
      </w:pPr>
      <w:r>
        <w:rPr>
          <w:noProof/>
        </w:rPr>
        <w:t>Vispārīgais mērķis</w:t>
      </w:r>
    </w:p>
    <w:p>
      <w:pPr>
        <w:ind w:left="720"/>
        <w:rPr>
          <w:noProof/>
        </w:rPr>
      </w:pPr>
      <w:r>
        <w:rPr>
          <w:noProof/>
        </w:rPr>
        <w:t>Programmas vispārīgais mērķis ir sekmēt institucionālās, administratīvās un izaugsmi veicinošas strukturālās reformas dalībvalstīs, sniedzot valsts iestādēm atbalstu, kas paredzēts pasākumiem, kuru nolūks ir reformēt un stiprināt iestādes, pārvaldību, publisko pārvaldi un ekonomikas un sociālo jomu, reaģējot uz ekonomikas un sociālām problēmām, lai ekonomikas pārvaldības procesu kontekstā veicinātu kohēziju, konkurētspēju, produktivitāti, ilgtspējīgu izaugsmi, darbvietu radīšanu un ieguldījumus, kas arī palīdz sagatavoties dalībai eurozonā, jo īpaši saistībā ar ekonomikas pārvaldības procesiem, tostarp sniedzot palīdzību Savienības fondu efektīvā, lietderīgā un pārredzamā izmantošanā.”;</w:t>
      </w:r>
    </w:p>
    <w:p>
      <w:pPr>
        <w:rPr>
          <w:noProof/>
        </w:rPr>
      </w:pPr>
    </w:p>
    <w:p>
      <w:pPr>
        <w:rPr>
          <w:noProof/>
        </w:rPr>
      </w:pPr>
      <w:r>
        <w:rPr>
          <w:noProof/>
        </w:rPr>
        <w:t>(2)</w:t>
      </w:r>
      <w:r>
        <w:rPr>
          <w:noProof/>
        </w:rPr>
        <w:tab/>
        <w:t>pievieno jaunu 5.a pantu:</w:t>
      </w:r>
    </w:p>
    <w:p>
      <w:pPr>
        <w:ind w:firstLine="720"/>
        <w:rPr>
          <w:noProof/>
        </w:rPr>
      </w:pPr>
      <w:r>
        <w:rPr>
          <w:noProof/>
        </w:rPr>
        <w:t>“5.a pants</w:t>
      </w:r>
    </w:p>
    <w:p>
      <w:pPr>
        <w:ind w:firstLine="720"/>
        <w:rPr>
          <w:noProof/>
        </w:rPr>
      </w:pPr>
      <w:r>
        <w:rPr>
          <w:noProof/>
        </w:rPr>
        <w:lastRenderedPageBreak/>
        <w:t>Atbalsts, ko piešķir, lai sagatavotos dalībai eurozonā</w:t>
      </w:r>
    </w:p>
    <w:p>
      <w:pPr>
        <w:ind w:left="720"/>
        <w:rPr>
          <w:noProof/>
          <w:color w:val="1F497D"/>
        </w:rPr>
      </w:pPr>
      <w:r>
        <w:rPr>
          <w:noProof/>
        </w:rPr>
        <w:t>No programmas var finansēt darbības un pasākumus, kas atbalsta reformas, kuras var palīdzēt dalībvalstīm, lai tās sagatavotos pievienoties eurozonai.”;</w:t>
      </w:r>
    </w:p>
    <w:p>
      <w:pPr>
        <w:ind w:left="720"/>
        <w:rPr>
          <w:noProof/>
        </w:rPr>
      </w:pPr>
    </w:p>
    <w:p>
      <w:pPr>
        <w:rPr>
          <w:noProof/>
        </w:rPr>
      </w:pPr>
      <w:r>
        <w:rPr>
          <w:noProof/>
        </w:rPr>
        <w:t>(3)</w:t>
      </w:r>
      <w:r>
        <w:rPr>
          <w:noProof/>
        </w:rPr>
        <w:tab/>
        <w:t>regulas 10. pantu groza šādi:</w:t>
      </w:r>
    </w:p>
    <w:p>
      <w:pPr>
        <w:ind w:firstLine="720"/>
        <w:rPr>
          <w:noProof/>
        </w:rPr>
      </w:pPr>
      <w:r>
        <w:rPr>
          <w:noProof/>
        </w:rPr>
        <w:t>a) panta 1. punktu aizstāj ar šādu:</w:t>
      </w:r>
    </w:p>
    <w:p>
      <w:pPr>
        <w:pStyle w:val="ti-art"/>
        <w:ind w:left="720"/>
        <w:jc w:val="both"/>
        <w:rPr>
          <w:noProof/>
        </w:rPr>
      </w:pPr>
      <w:r>
        <w:rPr>
          <w:noProof/>
        </w:rPr>
        <w:t>“1.   Finansējums programmas īstenošanai pašreizējās cenās ir EUR 222 800 000.”;</w:t>
      </w:r>
    </w:p>
    <w:p>
      <w:pPr>
        <w:ind w:firstLine="720"/>
        <w:rPr>
          <w:noProof/>
        </w:rPr>
      </w:pPr>
      <w:r>
        <w:rPr>
          <w:noProof/>
        </w:rPr>
        <w:t>b) panta 2. punktā pievieno šādu teikumu:</w:t>
      </w:r>
    </w:p>
    <w:p>
      <w:pPr>
        <w:pStyle w:val="Normal1"/>
        <w:ind w:left="720"/>
        <w:jc w:val="both"/>
        <w:rPr>
          <w:noProof/>
        </w:rPr>
      </w:pPr>
      <w:r>
        <w:rPr>
          <w:noProof/>
        </w:rPr>
        <w:t>“Izmaksas var ietvert arī tādas citu atbalsta pasākumu izmaksas kā kvalitātes kontrole un atbalsta projektu uzraudzība uz vietas.”.</w:t>
      </w:r>
    </w:p>
    <w:p>
      <w:pPr>
        <w:rPr>
          <w:noProof/>
        </w:rPr>
      </w:pPr>
    </w:p>
    <w:p>
      <w:pPr>
        <w:pStyle w:val="Titrearticle"/>
        <w:rPr>
          <w:noProof/>
        </w:rPr>
      </w:pPr>
      <w:r>
        <w:rPr>
          <w:noProof/>
        </w:rPr>
        <w:t>2. pants</w:t>
      </w:r>
    </w:p>
    <w:p>
      <w:pPr>
        <w:rPr>
          <w:noProof/>
        </w:rPr>
      </w:pPr>
      <w:r>
        <w:rPr>
          <w:noProof/>
        </w:rPr>
        <w:t xml:space="preserve">Šī regula stājas spēkā nākamajā dienā pēc tās publicēšanas </w:t>
      </w:r>
      <w:r>
        <w:rPr>
          <w:i/>
          <w:noProof/>
        </w:rPr>
        <w:t>Eiropas Savienības Oficiālajā Vēstnesī</w:t>
      </w:r>
      <w:r>
        <w:rPr>
          <w:noProof/>
        </w:rPr>
        <w:t>.</w:t>
      </w:r>
    </w:p>
    <w:p>
      <w:pPr>
        <w:pStyle w:val="Applicationdirecte"/>
        <w:rPr>
          <w:noProof/>
        </w:rPr>
      </w:pPr>
    </w:p>
    <w:p>
      <w:pPr>
        <w:pStyle w:val="Applicationdirecte"/>
        <w:rPr>
          <w:noProof/>
        </w:rPr>
      </w:pPr>
      <w:r>
        <w:rPr>
          <w:noProof/>
        </w:rPr>
        <w:t>Šī regula uzliek saistības kopumā un ir tieši piemērojama visās dalībvalstīs.</w:t>
      </w:r>
    </w:p>
    <w:p>
      <w:pPr>
        <w:pStyle w:val="Applicationdirecte"/>
        <w:rPr>
          <w:noProof/>
        </w:rPr>
      </w:pP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p>
      <w:pPr>
        <w:spacing w:before="0" w:after="200" w:line="276" w:lineRule="auto"/>
        <w:jc w:val="left"/>
        <w:rPr>
          <w:noProof/>
        </w:rPr>
      </w:pPr>
      <w:r>
        <w:rPr>
          <w:noProof/>
        </w:rPr>
        <w:br w:type="page"/>
      </w:r>
    </w:p>
    <w:p>
      <w:pPr>
        <w:pStyle w:val="Fichefinanciretitre"/>
        <w:rPr>
          <w:noProof/>
        </w:rPr>
      </w:pPr>
      <w:r>
        <w:rPr>
          <w:noProof/>
        </w:rPr>
        <w:lastRenderedPageBreak/>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Attiecīgās politikas jomas</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Mērķis(-i) </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2"/>
        <w:rPr>
          <w:b w:val="0"/>
          <w:noProof/>
        </w:rPr>
      </w:pPr>
      <w:r>
        <w:rPr>
          <w:noProof/>
        </w:rPr>
        <w:tab/>
      </w:r>
      <w:r>
        <w:rPr>
          <w:b w:val="0"/>
          <w:noProof/>
        </w:rPr>
        <w:t>1.6.</w:t>
      </w:r>
      <w:r>
        <w:rPr>
          <w:noProof/>
        </w:rPr>
        <w:tab/>
      </w:r>
      <w:r>
        <w:rPr>
          <w:b w:val="0"/>
          <w:noProof/>
        </w:rPr>
        <w:t xml:space="preserve">Ilgums un finansiālā ietekme </w:t>
      </w:r>
    </w:p>
    <w:p>
      <w:pPr>
        <w:pStyle w:val="ManualHeading2"/>
        <w:rPr>
          <w:b w:val="0"/>
          <w:noProof/>
        </w:rPr>
      </w:pPr>
      <w:r>
        <w:rPr>
          <w:noProof/>
        </w:rPr>
        <w:tab/>
      </w:r>
      <w:r>
        <w:rPr>
          <w:b w:val="0"/>
          <w:noProof/>
        </w:rPr>
        <w:t>1.7.</w:t>
      </w:r>
      <w:r>
        <w:rPr>
          <w:noProof/>
        </w:rPr>
        <w:tab/>
      </w:r>
      <w:r>
        <w:rPr>
          <w:b w:val="0"/>
          <w:noProof/>
        </w:rPr>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pPr>
        <w:pStyle w:val="ManualHeading3"/>
        <w:rPr>
          <w:noProof/>
        </w:rPr>
      </w:pPr>
      <w:r>
        <w:rPr>
          <w:noProof/>
        </w:rPr>
        <w:tab/>
        <w:t>3.2.1.</w:t>
      </w:r>
      <w:r>
        <w:rPr>
          <w:noProof/>
        </w:rPr>
        <w:tab/>
        <w:t xml:space="preserve">Kopsavilkums par paredzamo ietekmi uz izdevumiem </w:t>
      </w:r>
    </w:p>
    <w:p>
      <w:pPr>
        <w:pStyle w:val="ManualHeading3"/>
        <w:rPr>
          <w:noProof/>
        </w:rPr>
      </w:pPr>
      <w:r>
        <w:rPr>
          <w:noProof/>
        </w:rPr>
        <w:tab/>
        <w:t>3.2.2.</w:t>
      </w:r>
      <w:r>
        <w:rPr>
          <w:noProof/>
        </w:rPr>
        <w:tab/>
        <w:t xml:space="preserve">Paredzamā ietekme uz darbības apropriācijām </w:t>
      </w:r>
    </w:p>
    <w:p>
      <w:pPr>
        <w:pStyle w:val="ManualHeading3"/>
        <w:rPr>
          <w:noProof/>
        </w:rPr>
      </w:pPr>
      <w:r>
        <w:rPr>
          <w:noProof/>
        </w:rPr>
        <w:tab/>
        <w:t>3.2.3.</w:t>
      </w:r>
      <w:r>
        <w:rPr>
          <w:noProof/>
        </w:rPr>
        <w:tab/>
        <w:t>Paredzamā ietekme uz administratīvajām apropriācijām</w:t>
      </w:r>
    </w:p>
    <w:p>
      <w:pPr>
        <w:pStyle w:val="ManualHeading3"/>
        <w:rPr>
          <w:noProof/>
        </w:rPr>
      </w:pPr>
      <w:r>
        <w:rPr>
          <w:noProof/>
        </w:rPr>
        <w:tab/>
        <w:t>3.2.4.</w:t>
      </w:r>
      <w:r>
        <w:rPr>
          <w:noProof/>
        </w:rPr>
        <w:tab/>
        <w:t>Saderība ar kārtējo daudzgadu finanšu shēmu</w:t>
      </w:r>
    </w:p>
    <w:p>
      <w:pPr>
        <w:pStyle w:val="ManualHeading3"/>
        <w:rPr>
          <w:noProof/>
        </w:rPr>
      </w:pPr>
      <w:r>
        <w:rPr>
          <w:noProof/>
        </w:rPr>
        <w:tab/>
        <w:t>3.2.5.</w:t>
      </w:r>
      <w:r>
        <w:rPr>
          <w:noProof/>
        </w:rPr>
        <w:tab/>
        <w:t xml:space="preserve">Trešo personu iemaksas </w:t>
      </w:r>
    </w:p>
    <w:p>
      <w:pPr>
        <w:pStyle w:val="ManualHeading2"/>
        <w:jc w:val="left"/>
        <w:rPr>
          <w:b w:val="0"/>
          <w:noProof/>
        </w:rPr>
        <w:sectPr>
          <w:pgSz w:w="11907" w:h="16840" w:code="9"/>
          <w:pgMar w:top="1134" w:right="1418" w:bottom="1134" w:left="1418" w:header="709" w:footer="709" w:gutter="0"/>
          <w:cols w:space="720"/>
          <w:docGrid w:linePitch="360"/>
        </w:sectPr>
      </w:pPr>
      <w:r>
        <w:rPr>
          <w:noProof/>
        </w:rPr>
        <w:tab/>
      </w:r>
      <w:r>
        <w:rPr>
          <w:b w:val="0"/>
          <w:noProof/>
        </w:rPr>
        <w:t>3.3.</w:t>
      </w:r>
      <w:r>
        <w:rPr>
          <w:noProof/>
        </w:rPr>
        <w:tab/>
      </w:r>
      <w:r>
        <w:rPr>
          <w:b w:val="0"/>
          <w:noProof/>
        </w:rPr>
        <w:t>Paredzamā ietekme uz ieņēmumiem</w:t>
      </w:r>
    </w:p>
    <w:p>
      <w:pPr>
        <w:jc w:val="center"/>
        <w:rPr>
          <w:b/>
          <w:noProof/>
          <w:u w:val="single"/>
        </w:rPr>
      </w:pPr>
      <w:r>
        <w:rPr>
          <w:b/>
          <w:noProof/>
          <w:u w:val="single"/>
        </w:rPr>
        <w:lastRenderedPageBreak/>
        <w:t>TIESĪBU AKTA PRIEKŠLIKUMA FINANŠU PĀRSKATS</w:t>
      </w:r>
    </w:p>
    <w:p>
      <w:pPr>
        <w:pStyle w:val="ManualHeading1"/>
        <w:rPr>
          <w:noProof/>
        </w:rPr>
      </w:pPr>
      <w:r>
        <w:t>1.</w:t>
      </w:r>
      <w:r>
        <w:tab/>
      </w:r>
      <w:r>
        <w:rPr>
          <w:noProof/>
        </w:rPr>
        <w:t xml:space="preserve">PRIEKŠLIKUMA/INICIATĪVAS KONTEKSTS </w:t>
      </w:r>
    </w:p>
    <w:p>
      <w:pPr>
        <w:pStyle w:val="ManualHeading2"/>
        <w:rPr>
          <w:noProof/>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Priekšlikums Eiropas Parlamenta un Padomes Regula, ar ko groza Regulu (ES) 2017/825, lai palielinātu Strukturālo reformu atbalsta programmas finansējumu un pielāgotu tās vispārīgo mērķi </w:t>
      </w:r>
    </w:p>
    <w:p>
      <w:pPr>
        <w:pStyle w:val="ManualHeading2"/>
        <w:rPr>
          <w:noProof/>
          <w:szCs w:val="24"/>
        </w:rPr>
      </w:pPr>
      <w:r>
        <w:t>1.2.</w:t>
      </w:r>
      <w:r>
        <w:tab/>
      </w:r>
      <w:r>
        <w:rPr>
          <w:noProof/>
        </w:rPr>
        <w:t>Attiecīgās politikas jomas</w:t>
      </w:r>
      <w:r>
        <w:rPr>
          <w:i/>
          <w:noProof/>
        </w:rPr>
        <w:t xml:space="preserve"> </w:t>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Politikas joma: </w:t>
      </w:r>
      <w:r>
        <w:rPr>
          <w:caps/>
          <w:noProof/>
        </w:rPr>
        <w:t>Komisijas politikas koordinācija un juridiskās konsultācijas</w:t>
      </w:r>
    </w:p>
    <w:p>
      <w:pPr>
        <w:pStyle w:val="Text1"/>
        <w:pBdr>
          <w:top w:val="single" w:sz="4" w:space="1" w:color="auto"/>
          <w:left w:val="single" w:sz="4" w:space="4" w:color="auto"/>
          <w:bottom w:val="single" w:sz="4" w:space="1" w:color="auto"/>
          <w:right w:val="single" w:sz="4" w:space="4" w:color="auto"/>
        </w:pBdr>
        <w:jc w:val="left"/>
        <w:rPr>
          <w:noProof/>
        </w:rPr>
      </w:pPr>
      <w:r>
        <w:rPr>
          <w:noProof/>
        </w:rPr>
        <w:t>ABB darbība: Strukturālo reformu atbalsta programma</w:t>
      </w:r>
    </w:p>
    <w:p>
      <w:pPr>
        <w:pStyle w:val="Text1"/>
        <w:pBdr>
          <w:top w:val="single" w:sz="4" w:space="1" w:color="auto"/>
          <w:left w:val="single" w:sz="4" w:space="4" w:color="auto"/>
          <w:bottom w:val="single" w:sz="4" w:space="1" w:color="auto"/>
          <w:right w:val="single" w:sz="4" w:space="4" w:color="auto"/>
        </w:pBdr>
        <w:jc w:val="left"/>
        <w:rPr>
          <w:noProof/>
        </w:rPr>
      </w:pPr>
      <w:r>
        <w:rPr>
          <w:noProof/>
        </w:rPr>
        <w:t>Sīkāku ABB darbības jomas izklāstu skatīt 3.2. sadaļu</w:t>
      </w:r>
    </w:p>
    <w:p>
      <w:pPr>
        <w:pStyle w:val="Text1"/>
        <w:pBdr>
          <w:top w:val="single" w:sz="4" w:space="1" w:color="auto"/>
          <w:left w:val="single" w:sz="4" w:space="4" w:color="auto"/>
          <w:bottom w:val="single" w:sz="4" w:space="1" w:color="auto"/>
          <w:right w:val="single" w:sz="4" w:space="4" w:color="auto"/>
        </w:pBdr>
        <w:jc w:val="left"/>
        <w:rPr>
          <w:noProof/>
        </w:rPr>
      </w:pPr>
      <w:r>
        <w:rPr>
          <w:noProof/>
        </w:rPr>
        <w:t>Politikas joma: nodarbinātība, sociālās lietas un iekļautība</w:t>
      </w:r>
    </w:p>
    <w:p>
      <w:pPr>
        <w:pStyle w:val="Text1"/>
        <w:pBdr>
          <w:top w:val="single" w:sz="4" w:space="1" w:color="auto"/>
          <w:left w:val="single" w:sz="4" w:space="4" w:color="auto"/>
          <w:bottom w:val="single" w:sz="4" w:space="1" w:color="auto"/>
          <w:right w:val="single" w:sz="4" w:space="4" w:color="auto"/>
        </w:pBdr>
        <w:jc w:val="left"/>
        <w:rPr>
          <w:noProof/>
        </w:rPr>
      </w:pPr>
      <w:r>
        <w:rPr>
          <w:noProof/>
        </w:rPr>
        <w:t>Politikas joma: reģionu politika un pilsētpolitika</w:t>
      </w:r>
    </w:p>
    <w:p>
      <w:pPr>
        <w:pStyle w:val="Text1"/>
        <w:pBdr>
          <w:top w:val="single" w:sz="4" w:space="1" w:color="auto"/>
          <w:left w:val="single" w:sz="4" w:space="4" w:color="auto"/>
          <w:bottom w:val="single" w:sz="4" w:space="1" w:color="auto"/>
          <w:right w:val="single" w:sz="4" w:space="4" w:color="auto"/>
        </w:pBdr>
        <w:rPr>
          <w:noProof/>
        </w:rPr>
      </w:pPr>
      <w:r>
        <w:rPr>
          <w:noProof/>
        </w:rPr>
        <w:t>Politikas joma: lauksaimniecība un lauku attīstība</w:t>
      </w:r>
    </w:p>
    <w:p>
      <w:pPr>
        <w:pStyle w:val="Text1"/>
        <w:pBdr>
          <w:top w:val="single" w:sz="4" w:space="1" w:color="auto"/>
          <w:left w:val="single" w:sz="4" w:space="4" w:color="auto"/>
          <w:bottom w:val="single" w:sz="4" w:space="1" w:color="auto"/>
          <w:right w:val="single" w:sz="4" w:space="4" w:color="auto"/>
        </w:pBdr>
        <w:rPr>
          <w:noProof/>
        </w:rPr>
      </w:pPr>
      <w:r>
        <w:rPr>
          <w:noProof/>
        </w:rPr>
        <w:t>Politikas joma: migrācija un patvērums</w:t>
      </w:r>
    </w:p>
    <w:p>
      <w:pPr>
        <w:pStyle w:val="Text1"/>
        <w:pBdr>
          <w:top w:val="single" w:sz="4" w:space="1" w:color="auto"/>
          <w:left w:val="single" w:sz="4" w:space="4" w:color="auto"/>
          <w:bottom w:val="single" w:sz="4" w:space="1" w:color="auto"/>
          <w:right w:val="single" w:sz="4" w:space="4" w:color="auto"/>
        </w:pBdr>
        <w:rPr>
          <w:noProof/>
        </w:rPr>
      </w:pPr>
      <w:r>
        <w:rPr>
          <w:noProof/>
        </w:rPr>
        <w:t>Politikas joma: ekonomika un finanses</w:t>
      </w:r>
    </w:p>
    <w:p>
      <w:pPr>
        <w:pStyle w:val="ManualHeading2"/>
        <w:rPr>
          <w:bCs/>
          <w:noProof/>
          <w:szCs w:val="24"/>
        </w:rPr>
      </w:pPr>
      <w:r>
        <w:t>1.3.</w:t>
      </w:r>
      <w:r>
        <w:tab/>
      </w:r>
      <w:r>
        <w:rPr>
          <w:noProof/>
        </w:rPr>
        <w:t xml:space="preserve">Priekšlikuma/iniciatīvas būtība </w:t>
      </w:r>
    </w:p>
    <w:p>
      <w:pPr>
        <w:pStyle w:val="Text1"/>
        <w:rPr>
          <w:b/>
          <w:noProof/>
          <w:sz w:val="22"/>
        </w:rPr>
      </w:pPr>
      <w:r>
        <w:rPr>
          <w:noProof/>
          <w:sz w:val="22"/>
        </w:rPr>
        <w:sym w:font="Wingdings" w:char="F0A8"/>
      </w:r>
      <w:r>
        <w:rPr>
          <w:b/>
          <w:i/>
          <w:noProof/>
          <w:sz w:val="22"/>
        </w:rPr>
        <w:t xml:space="preserve"> </w:t>
      </w:r>
      <w:r>
        <w:rPr>
          <w:noProof/>
        </w:rPr>
        <w:t xml:space="preserve">Priekšlikums/iniciatīva attiecas uz </w:t>
      </w:r>
      <w:r>
        <w:rPr>
          <w:b/>
          <w:noProof/>
        </w:rPr>
        <w:t>jaunu darbību</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jaunu darbību, pamatojoties uz izmēģinājuma projektu/sagatavošanas darbību</w:t>
      </w:r>
      <w:r>
        <w:rPr>
          <w:rStyle w:val="FootnoteReference"/>
          <w:b/>
          <w:noProof/>
        </w:rPr>
        <w:footnoteReference w:id="8"/>
      </w:r>
      <w:r>
        <w:rPr>
          <w:noProof/>
          <w:sz w:val="22"/>
        </w:rPr>
        <w:t xml:space="preserve"> </w:t>
      </w:r>
    </w:p>
    <w:p>
      <w:pPr>
        <w:pStyle w:val="Text1"/>
        <w:rPr>
          <w:noProof/>
          <w:sz w:val="22"/>
        </w:rPr>
      </w:pPr>
      <w:r>
        <w:rPr>
          <w:noProof/>
          <w:sz w:val="22"/>
        </w:rPr>
        <w:sym w:font="Wingdings" w:char="F0FC"/>
      </w:r>
      <w:r>
        <w:rPr>
          <w:i/>
          <w:noProof/>
          <w:sz w:val="22"/>
        </w:rPr>
        <w:t xml:space="preserve"> </w:t>
      </w:r>
      <w:r>
        <w:rPr>
          <w:noProof/>
        </w:rPr>
        <w:t xml:space="preserve">Priekšlikums/iniciatīva attiecas uz </w:t>
      </w:r>
      <w:r>
        <w:rPr>
          <w:b/>
          <w:noProof/>
        </w:rPr>
        <w:t>esošas darbības pagarināšanu</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Priekšlikums/iniciatīva attiecas uz </w:t>
      </w:r>
      <w:r>
        <w:rPr>
          <w:b/>
          <w:noProof/>
        </w:rPr>
        <w:t>darbību, kas pārveidota jaunā darbībā</w:t>
      </w:r>
      <w:r>
        <w:rPr>
          <w:noProof/>
        </w:rPr>
        <w:t xml:space="preserve"> </w:t>
      </w:r>
    </w:p>
    <w:p>
      <w:pPr>
        <w:pStyle w:val="ManualHeading2"/>
        <w:rPr>
          <w:bCs/>
          <w:noProof/>
          <w:szCs w:val="24"/>
        </w:rPr>
      </w:pPr>
      <w:r>
        <w:t>1.4.</w:t>
      </w:r>
      <w:r>
        <w:tab/>
      </w:r>
      <w:r>
        <w:rPr>
          <w:noProof/>
        </w:rPr>
        <w:t>Mērķis(-i)</w:t>
      </w:r>
    </w:p>
    <w:p>
      <w:pPr>
        <w:pStyle w:val="ManualHeading3"/>
        <w:rPr>
          <w:noProof/>
        </w:rPr>
      </w:pPr>
      <w:r>
        <w:t>1.4.1.</w:t>
      </w:r>
      <w:r>
        <w:tab/>
      </w:r>
      <w:r>
        <w:rPr>
          <w:noProof/>
        </w:rPr>
        <w:t xml:space="preserve">Komisijas daudzgadu stratēģiskie mērķi, kurus plānots sasniegt ar priekšlikumu/iniciatīvu </w:t>
      </w:r>
    </w:p>
    <w:p>
      <w:pPr>
        <w:pStyle w:val="Text1"/>
        <w:pBdr>
          <w:top w:val="single" w:sz="4" w:space="1" w:color="auto"/>
          <w:left w:val="single" w:sz="4" w:space="4" w:color="auto"/>
          <w:bottom w:val="single" w:sz="4" w:space="0" w:color="auto"/>
          <w:right w:val="single" w:sz="4" w:space="4" w:color="auto"/>
        </w:pBdr>
        <w:rPr>
          <w:noProof/>
        </w:rPr>
      </w:pPr>
      <w:r>
        <w:rPr>
          <w:noProof/>
        </w:rPr>
        <w:t xml:space="preserve">Programma paredzēta šādas prioritātes īstenošanai: jauns stimuls darbvietām, izaugsmei un nodarbinātībai. </w:t>
      </w:r>
    </w:p>
    <w:p>
      <w:pPr>
        <w:pStyle w:val="Text1"/>
        <w:pBdr>
          <w:top w:val="single" w:sz="4" w:space="1" w:color="auto"/>
          <w:left w:val="single" w:sz="4" w:space="4" w:color="auto"/>
          <w:bottom w:val="single" w:sz="4" w:space="0" w:color="auto"/>
          <w:right w:val="single" w:sz="4" w:space="4" w:color="auto"/>
        </w:pBdr>
        <w:rPr>
          <w:noProof/>
        </w:rPr>
      </w:pPr>
      <w:r>
        <w:rPr>
          <w:noProof/>
        </w:rPr>
        <w:t xml:space="preserve">Ar šo priekšlikumu grozītās programmas vispārīgais mērķis ir sekmēt institucionālās, administratīvās un izaugsmi veicinošas strukturālās reformas dalībvalstīs, sniedzot valsts iestādēm atbalstu, kas paredzēts pasākumiem, kuru nolūks ir reformēt un stiprināt iestādes, pārvaldību, publisko pārvaldi un ekonomikas un sociālo jomu, reaģējot uz ekonomikas un sociālām problēmām, lai ekonomikas pārvaldības procesu kontekstā veicinātu kohēziju, konkurētspēju, produktivitāti, ilgtspējīgu izaugsmi, darbvietu radīšanu un ieguldījumus, kas arī palīdz sagatavoties dalībai eurozonā, jo </w:t>
      </w:r>
      <w:r>
        <w:rPr>
          <w:noProof/>
        </w:rPr>
        <w:lastRenderedPageBreak/>
        <w:t>īpaši saistībā ar ekonomikas pārvaldības procesiem, tostarp sniedzot palīdzību Savienības fondu efektīvā, lietderīgā un pārredzamā izmantošanā.</w:t>
      </w:r>
    </w:p>
    <w:p>
      <w:pPr>
        <w:pStyle w:val="Text1"/>
        <w:pBdr>
          <w:top w:val="single" w:sz="4" w:space="1" w:color="auto"/>
          <w:left w:val="single" w:sz="4" w:space="4" w:color="auto"/>
          <w:bottom w:val="single" w:sz="4" w:space="0" w:color="auto"/>
          <w:right w:val="single" w:sz="4" w:space="4" w:color="auto"/>
        </w:pBdr>
        <w:rPr>
          <w:noProof/>
        </w:rPr>
      </w:pPr>
      <w:r>
        <w:rPr>
          <w:noProof/>
        </w:rPr>
        <w:t>Proti, programma, kurā izdarīti ierosinātie grozījumi, arī atbalstīs reformas, kas var palīdzēt dalībvalstīm sagatavoties, lai pievienotos eurozonai.</w:t>
      </w:r>
    </w:p>
    <w:p>
      <w:pPr>
        <w:pStyle w:val="ManualHeading3"/>
        <w:rPr>
          <w:bCs/>
          <w:noProof/>
          <w:szCs w:val="24"/>
        </w:rPr>
      </w:pPr>
      <w:r>
        <w:t>1.4.2.</w:t>
      </w:r>
      <w:r>
        <w:tab/>
      </w:r>
      <w:r>
        <w:rPr>
          <w:noProof/>
        </w:rPr>
        <w:t xml:space="preserve">Konkrētais(-ie) mērķis(-i) un konkrētais mērķis Nr. [ ] </w:t>
      </w:r>
    </w:p>
    <w:p>
      <w:pPr>
        <w:pStyle w:val="Text1"/>
        <w:pBdr>
          <w:top w:val="single" w:sz="4" w:space="1" w:color="auto"/>
          <w:left w:val="single" w:sz="4" w:space="4" w:color="auto"/>
          <w:bottom w:val="single" w:sz="4" w:space="1" w:color="auto"/>
          <w:right w:val="single" w:sz="4" w:space="4" w:color="auto"/>
        </w:pBdr>
        <w:rPr>
          <w:bCs/>
          <w:noProof/>
          <w:szCs w:val="24"/>
        </w:rPr>
      </w:pPr>
      <w:r>
        <w:rPr>
          <w:noProof/>
        </w:rPr>
        <w:t>Tā kā ar šo priekšlikumu ir paredzēts grozīt Regulu (ES) 2017/825, tad priekšlikuma konkrētais mērķis ir tāds pats, kā noteikts regulas 5. pantā.</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1.4.3.</w:t>
      </w:r>
      <w:r>
        <w:tab/>
      </w:r>
      <w:r>
        <w:rPr>
          <w:noProof/>
        </w:rPr>
        <w:t>Paredzamais(-ie) rezultāts(-i) un ietekme</w:t>
      </w:r>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Paredzamie rezultāti ir tādi, kādi ir Regulai (ES) 2017/825 un kādi atspoguļoti priekšlikumā COM(2015)701 final.</w:t>
      </w:r>
    </w:p>
    <w:p>
      <w:pPr>
        <w:pStyle w:val="Text1"/>
        <w:pBdr>
          <w:top w:val="single" w:sz="4" w:space="1" w:color="auto"/>
          <w:left w:val="single" w:sz="4" w:space="4" w:color="auto"/>
          <w:bottom w:val="single" w:sz="4" w:space="1" w:color="auto"/>
          <w:right w:val="single" w:sz="4" w:space="4" w:color="auto"/>
        </w:pBdr>
        <w:rPr>
          <w:noProof/>
        </w:rPr>
      </w:pPr>
      <w:r>
        <w:rPr>
          <w:noProof/>
        </w:rPr>
        <w:t>Paredzams arī, ka ierosinātie grozījumi stiprinās dalībvalstu administratīvo spēju reformēt iestādes, pārvaldību, ekonomikas un sociālo jomu, veicināt noturīgu konverģenci, lai palīdzētu dalībvalstīm sagatavoties, lai pievienotos eurozonai.</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ManualHeading3"/>
        <w:rPr>
          <w:bCs/>
          <w:noProof/>
          <w:szCs w:val="24"/>
        </w:rPr>
      </w:pPr>
      <w:r>
        <w:t>1.4.4.</w:t>
      </w:r>
      <w:r>
        <w:tab/>
      </w:r>
      <w:r>
        <w:rPr>
          <w:noProof/>
        </w:rPr>
        <w:t xml:space="preserve">Rezultātu un ietekmes rādītāji </w:t>
      </w:r>
    </w:p>
    <w:p>
      <w:pPr>
        <w:pStyle w:val="Text1"/>
        <w:rPr>
          <w:i/>
          <w:noProof/>
          <w:sz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bCs/>
          <w:noProof/>
          <w:szCs w:val="24"/>
        </w:rPr>
      </w:pPr>
      <w:r>
        <w:rPr>
          <w:noProof/>
        </w:rPr>
        <w:t>Tā kā ar šo priekšlikumu ir paredzēts grozīt Regulu (ES) 2017/825, tad rezultātu un ietekmes uzraudzībai vajadzīgie rādītāji ir noteikti minētās regulas pielikumā.</w:t>
      </w:r>
    </w:p>
    <w:p>
      <w:pPr>
        <w:pStyle w:val="ManualHeading3"/>
        <w:rPr>
          <w:noProof/>
        </w:rPr>
      </w:pPr>
      <w:r>
        <w:t>1.4.5.</w:t>
      </w:r>
      <w:r>
        <w:tab/>
      </w:r>
      <w:r>
        <w:rPr>
          <w:noProof/>
        </w:rPr>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Vajadzības ir tādas, kādas ir Regulai (ES) 2017/825 un kādas atspoguļotas priekšlikumā COM(2015)701 final. </w:t>
      </w:r>
    </w:p>
    <w:p>
      <w:pPr>
        <w:pStyle w:val="Text1"/>
        <w:pBdr>
          <w:top w:val="single" w:sz="4" w:space="1" w:color="auto"/>
          <w:left w:val="single" w:sz="4" w:space="4" w:color="auto"/>
          <w:bottom w:val="single" w:sz="4" w:space="1" w:color="auto"/>
          <w:right w:val="single" w:sz="4" w:space="4" w:color="auto"/>
        </w:pBdr>
        <w:rPr>
          <w:noProof/>
        </w:rPr>
      </w:pPr>
      <w:r>
        <w:rPr>
          <w:noProof/>
        </w:rPr>
        <w:t>Paredzams, ka ierosinātie grozījumi veicinās noturīgu konverģenci ar mērķi palīdzēt dalībvalstīm sagatavoties, lai pievienotos eurozonai.</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ManualHeading3"/>
        <w:rPr>
          <w:bCs/>
          <w:noProof/>
          <w:szCs w:val="24"/>
        </w:rPr>
      </w:pPr>
      <w:r>
        <w:t>1.4.6.</w:t>
      </w:r>
      <w:r>
        <w:tab/>
      </w:r>
      <w:r>
        <w:rPr>
          <w:noProof/>
        </w:rPr>
        <w:t>Savienības iesaistes pievienotā vērtība (tā var būt atkarīga no dažādiem faktoriem, piemēram, koordinācijas nodrošinātajiem ieguvumiem, juridiskās noteiktības, lielākas efektivitātes vai papildināmības). Šajā punktā “Savienības iesaistes pievienotā vērtība” ir vērtība, kas veidojas Savienības iesaistes rezultātā un kas papildina vērtību, kas citādi veidotos, ja dalībvalstis rīkotos atsevišķi.</w:t>
      </w:r>
    </w:p>
    <w:p>
      <w:pPr>
        <w:pStyle w:val="Text1"/>
        <w:pBdr>
          <w:top w:val="single" w:sz="4" w:space="1" w:color="auto"/>
          <w:left w:val="single" w:sz="4" w:space="4" w:color="auto"/>
          <w:bottom w:val="single" w:sz="4" w:space="1" w:color="auto"/>
          <w:right w:val="single" w:sz="4" w:space="4" w:color="auto"/>
        </w:pBdr>
        <w:rPr>
          <w:noProof/>
        </w:rPr>
      </w:pPr>
      <w:r>
        <w:rPr>
          <w:noProof/>
        </w:rPr>
        <w:t xml:space="preserve">Tā kā ar šo priekšlikumu ir paredzēts grozīt Regulu (ES) 2017/825, tad programmas pievienotā vērtība ir atspoguļota regulas 3. pantā. </w:t>
      </w:r>
    </w:p>
    <w:p>
      <w:pPr>
        <w:pStyle w:val="Text1"/>
        <w:pBdr>
          <w:top w:val="single" w:sz="4" w:space="1" w:color="auto"/>
          <w:left w:val="single" w:sz="4" w:space="4" w:color="auto"/>
          <w:bottom w:val="single" w:sz="4" w:space="1" w:color="auto"/>
          <w:right w:val="single" w:sz="4" w:space="4" w:color="auto"/>
        </w:pBdr>
      </w:pPr>
      <w:r>
        <w:rPr>
          <w:noProof/>
        </w:rPr>
        <w:t>Turklāt Savienība labāk nekā dalībvalstis spēj apzināt, izmantot un koordinēt labāko pieejamo zinātību (no Eiropas iestāžu dienestiem un no citām valstīm vai starptautiskām organizācijām), sekmēt paraugprakses apmaiņu (kā arī nodrošināt tās konsekventu izplatīšanu visā Savienībā), tādējādi atbalstot mērķtiecīgu, izaugsmi veicinošu reformu īstenošanu dalībvalstīs un palīdzot dalībvalstīm, kas nav eurozonas dalībnieces, sagatavoties, lai pievienotos eurozonai.</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lastRenderedPageBreak/>
        <w:t>1.4.7.</w:t>
      </w:r>
      <w:r>
        <w:tab/>
      </w:r>
      <w:r>
        <w:rPr>
          <w:noProof/>
        </w:rPr>
        <w:t>Līdzīgas līdzšinējās pieredzes rezultātā gūtās atziņas</w:t>
      </w:r>
    </w:p>
    <w:p>
      <w:pPr>
        <w:pStyle w:val="Text1"/>
        <w:pBdr>
          <w:top w:val="single" w:sz="4" w:space="1" w:color="auto"/>
          <w:left w:val="single" w:sz="4" w:space="4" w:color="auto"/>
          <w:bottom w:val="single" w:sz="4" w:space="0" w:color="auto"/>
          <w:right w:val="single" w:sz="4" w:space="4" w:color="auto"/>
        </w:pBdr>
        <w:rPr>
          <w:noProof/>
        </w:rPr>
      </w:pPr>
      <w:r>
        <w:rPr>
          <w:noProof/>
        </w:rPr>
        <w:t xml:space="preserve">Pieredze, kas gūta, īstenojot sagatavošanas darbību “Spēju veidošana un institucionālā attīstība ekonomikas reformu īstenošanai” jo īpaši Strukturālo reformu atbalsta programmas īstenošanas pirmajā gadā, apliecina, ka ir lietderīgi, ja tehniskā atbalsta programma ir atvērta visām dalībvalstīm un lielam skaitam jomu: dalībvalstis ir apliecinājušas ieinteresētību izmantot Komisijas zinātību, kas atbalstītu dalībvalstu pašu reformas vai reformas, kas tiek veiktas atbilstoši ieteikumiem, kuri sniegti Eiropas pusgada ietvarā. </w:t>
      </w:r>
    </w:p>
    <w:p>
      <w:pPr>
        <w:pStyle w:val="Text1"/>
        <w:pBdr>
          <w:top w:val="single" w:sz="4" w:space="1" w:color="auto"/>
          <w:left w:val="single" w:sz="4" w:space="4" w:color="auto"/>
          <w:bottom w:val="single" w:sz="4" w:space="0" w:color="auto"/>
          <w:right w:val="single" w:sz="4" w:space="4" w:color="auto"/>
        </w:pBdr>
        <w:rPr>
          <w:noProof/>
        </w:rPr>
      </w:pPr>
      <w:r>
        <w:rPr>
          <w:noProof/>
        </w:rPr>
        <w:t>2018. gadam gandrīz visas dalībvalstis (24) ir iesniegušas atbalsta pieprasījumu, un gan 2017., gan 2018. gadā pieprasītais atbalsts ievērojami pārsniedz programmas budžeta piešķīrumu. Tas skaidri rāda, ka nepieciešamība pēc atbalsta uz vietas un dalībvalstu interese par atbalstu pārsniedz patlaban pieejamos finanšu resursus no programmas.</w:t>
      </w:r>
    </w:p>
    <w:p>
      <w:pPr>
        <w:pStyle w:val="ManualHeading3"/>
        <w:rPr>
          <w:bCs/>
          <w:noProof/>
          <w:szCs w:val="24"/>
        </w:rPr>
      </w:pPr>
      <w:r>
        <w:t>1.4.8.</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Programma papildina esošos spēju veidošanai un tehniskajai palīdzībai paredzētos resursus, kas pieejami citu daudzgadu finanšu shēmas Savienības finansēšanas programmu ietvaros, kā arī tehnisko palīdzību un citus pasākumus, kurus finansē no Savienības fondiem. </w:t>
      </w:r>
    </w:p>
    <w:p>
      <w:pPr>
        <w:pStyle w:val="ManualHeading2"/>
        <w:rPr>
          <w:bCs/>
          <w:noProof/>
          <w:szCs w:val="24"/>
        </w:rPr>
      </w:pPr>
      <w:r>
        <w:t>1.5.</w:t>
      </w:r>
      <w:r>
        <w:tab/>
      </w:r>
    </w:p>
    <w:p>
      <w:pPr>
        <w:pStyle w:val="ManualHeading2"/>
        <w:rPr>
          <w:bCs/>
          <w:noProof/>
          <w:szCs w:val="24"/>
        </w:rPr>
      </w:pPr>
      <w:r>
        <w:t>1.6.</w:t>
      </w:r>
      <w:r>
        <w:tab/>
      </w:r>
      <w:r>
        <w:rPr>
          <w:noProof/>
        </w:rPr>
        <w:t xml:space="preserve">Ilgums un finansiālā ietekme </w:t>
      </w:r>
    </w:p>
    <w:p>
      <w:pPr>
        <w:pStyle w:val="Text1"/>
        <w:rPr>
          <w:noProof/>
        </w:rPr>
      </w:pPr>
      <w:r>
        <w:rPr>
          <w:noProof/>
        </w:rPr>
        <w:sym w:font="Wingdings" w:char="F0FC"/>
      </w:r>
      <w:r>
        <w:rPr>
          <w:b/>
          <w:i/>
          <w:noProof/>
        </w:rPr>
        <w:t xml:space="preserve"> </w:t>
      </w:r>
      <w:r>
        <w:rPr>
          <w:b/>
          <w:noProof/>
        </w:rPr>
        <w:t>Ierobežota ilguma</w:t>
      </w:r>
      <w:r>
        <w:rPr>
          <w:noProof/>
        </w:rPr>
        <w:t xml:space="preserve"> priekšlikums/iniciatīva</w:t>
      </w:r>
      <w:r>
        <w:rPr>
          <w:b/>
          <w:noProof/>
        </w:rPr>
        <w:t xml:space="preserve"> </w:t>
      </w:r>
    </w:p>
    <w:p>
      <w:pPr>
        <w:pStyle w:val="ListDash2"/>
        <w:rPr>
          <w:noProof/>
        </w:rPr>
      </w:pPr>
      <w:r>
        <w:rPr>
          <w:noProof/>
        </w:rPr>
        <w:sym w:font="Wingdings" w:char="F0FC"/>
      </w:r>
      <w:r>
        <w:rPr>
          <w:noProof/>
        </w:rPr>
        <w:tab/>
        <w:t>Priekšlikuma/iniciatīvas darbības laiks: no 2019. gada līdz 2020. gadam</w:t>
      </w:r>
    </w:p>
    <w:p>
      <w:pPr>
        <w:pStyle w:val="ListDash2"/>
        <w:rPr>
          <w:noProof/>
        </w:rPr>
      </w:pPr>
      <w:r>
        <w:rPr>
          <w:noProof/>
        </w:rPr>
        <w:sym w:font="Wingdings" w:char="F0FC"/>
      </w:r>
      <w:r>
        <w:rPr>
          <w:noProof/>
        </w:rPr>
        <w:tab/>
        <w:t xml:space="preserve">Finansiālā ietekme: no 2019. gada līdz 2020. gadam </w:t>
      </w:r>
    </w:p>
    <w:p>
      <w:pPr>
        <w:pStyle w:val="Text1"/>
        <w:rPr>
          <w:noProof/>
        </w:rPr>
      </w:pPr>
      <w:r>
        <w:rPr>
          <w:noProof/>
        </w:rPr>
        <w:sym w:font="Wingdings" w:char="F0A8"/>
      </w:r>
      <w:r>
        <w:rPr>
          <w:b/>
          <w:i/>
          <w:noProof/>
        </w:rPr>
        <w:t xml:space="preserve"> </w:t>
      </w:r>
      <w:r>
        <w:rPr>
          <w:b/>
          <w:noProof/>
        </w:rPr>
        <w:t>Beztermiņa</w:t>
      </w:r>
      <w:r>
        <w:rPr>
          <w:noProof/>
        </w:rPr>
        <w:t xml:space="preserve"> priekšlikums/iniciatīva</w:t>
      </w:r>
    </w:p>
    <w:p>
      <w:pPr>
        <w:pStyle w:val="ListDash1"/>
        <w:rPr>
          <w:noProof/>
        </w:rPr>
      </w:pPr>
      <w:r>
        <w:rPr>
          <w:noProof/>
        </w:rPr>
        <w:t>Īstenošana ar uzsākšanas periodu no GGGG. līdz GGGG.,</w:t>
      </w:r>
    </w:p>
    <w:p>
      <w:pPr>
        <w:pStyle w:val="ListDash1"/>
        <w:rPr>
          <w:noProof/>
        </w:rPr>
      </w:pPr>
      <w:r>
        <w:rPr>
          <w:noProof/>
        </w:rPr>
        <w:t>pēc kura turpinās normāla darbība</w:t>
      </w:r>
    </w:p>
    <w:p>
      <w:pPr>
        <w:pStyle w:val="ManualHeading2"/>
        <w:rPr>
          <w:bCs/>
          <w:noProof/>
          <w:szCs w:val="24"/>
        </w:rPr>
      </w:pPr>
      <w:r>
        <w:t>1.7.</w:t>
      </w:r>
      <w:r>
        <w:tab/>
      </w:r>
      <w:r>
        <w:rPr>
          <w:noProof/>
        </w:rPr>
        <w:t>Paredzētie pārvaldības veidi</w:t>
      </w:r>
      <w:r>
        <w:rPr>
          <w:rStyle w:val="FootnoteReference"/>
          <w:noProof/>
        </w:rPr>
        <w:footnoteReference w:id="9"/>
      </w:r>
      <w:r>
        <w:rPr>
          <w:rStyle w:val="FootnoteReference"/>
          <w:noProof/>
        </w:rPr>
        <w:t xml:space="preserve"> </w:t>
      </w:r>
    </w:p>
    <w:p>
      <w:pPr>
        <w:pStyle w:val="Text1"/>
        <w:rPr>
          <w:noProof/>
        </w:rPr>
      </w:pPr>
      <w:r>
        <w:rPr>
          <w:noProof/>
        </w:rPr>
        <w:sym w:font="Wingdings" w:char="F0FC"/>
      </w:r>
      <w:r>
        <w:rPr>
          <w:i/>
          <w:noProof/>
        </w:rPr>
        <w:t xml:space="preserve"> </w:t>
      </w:r>
      <w:r>
        <w:rPr>
          <w:noProof/>
        </w:rPr>
        <w:t xml:space="preserve">Komisijas īstenota </w:t>
      </w:r>
      <w:r>
        <w:rPr>
          <w:b/>
          <w:noProof/>
        </w:rPr>
        <w:t>tieša pārvaldība</w:t>
      </w:r>
      <w:r>
        <w:rPr>
          <w:noProof/>
        </w:rPr>
        <w:t>:</w:t>
      </w:r>
    </w:p>
    <w:p>
      <w:pPr>
        <w:pStyle w:val="ListDash2"/>
        <w:rPr>
          <w:rFonts w:cs="EUAlbertina"/>
          <w:noProof/>
        </w:rPr>
      </w:pPr>
      <w:r>
        <w:rPr>
          <w:noProof/>
        </w:rPr>
        <w:sym w:font="Wingdings" w:char="F0FC"/>
      </w:r>
      <w:r>
        <w:rPr>
          <w:noProof/>
        </w:rPr>
        <w:t xml:space="preserve"> ko veic tās struktūrvienības, tostarp personāls Savienības delegācijās; </w:t>
      </w:r>
    </w:p>
    <w:p>
      <w:pPr>
        <w:pStyle w:val="ListDash2"/>
        <w:rPr>
          <w:noProof/>
        </w:rPr>
      </w:pPr>
      <w:r>
        <w:rPr>
          <w:noProof/>
        </w:rPr>
        <w:sym w:font="Wingdings" w:char="F0A8"/>
      </w:r>
      <w:r>
        <w:rPr>
          <w:noProof/>
        </w:rPr>
        <w:tab/>
        <w:t xml:space="preserve">ko veic izpildaģentūras. </w:t>
      </w:r>
    </w:p>
    <w:p>
      <w:pPr>
        <w:pStyle w:val="Text1"/>
        <w:rPr>
          <w:noProof/>
        </w:rPr>
      </w:pPr>
      <w:r>
        <w:rPr>
          <w:noProof/>
        </w:rPr>
        <w:sym w:font="Wingdings" w:char="F0A8"/>
      </w:r>
      <w:r>
        <w:rPr>
          <w:b/>
          <w:i/>
          <w:noProof/>
        </w:rPr>
        <w:t xml:space="preserve"> </w:t>
      </w:r>
      <w:r>
        <w:rPr>
          <w:b/>
          <w:noProof/>
        </w:rPr>
        <w:t>Dalīta pārvaldība</w:t>
      </w:r>
      <w:r>
        <w:rPr>
          <w:noProof/>
        </w:rPr>
        <w:t xml:space="preserve"> kopā ar dalībvalstīm </w:t>
      </w:r>
    </w:p>
    <w:p>
      <w:pPr>
        <w:pStyle w:val="Text1"/>
        <w:rPr>
          <w:noProof/>
        </w:rPr>
      </w:pPr>
      <w:r>
        <w:rPr>
          <w:noProof/>
        </w:rPr>
        <w:sym w:font="Wingdings" w:char="F0FC"/>
      </w:r>
      <w:r>
        <w:rPr>
          <w:i/>
          <w:noProof/>
        </w:rPr>
        <w:t xml:space="preserve"> </w:t>
      </w:r>
      <w:r>
        <w:rPr>
          <w:b/>
          <w:noProof/>
        </w:rPr>
        <w:t>Netieša pārvaldība,</w:t>
      </w:r>
      <w:r>
        <w:rPr>
          <w:noProof/>
        </w:rPr>
        <w:t xml:space="preserve"> kurā budžeta īstenošanas uzdevumi uzticēti:</w:t>
      </w:r>
    </w:p>
    <w:p>
      <w:pPr>
        <w:pStyle w:val="ListDash2"/>
        <w:rPr>
          <w:noProof/>
        </w:rPr>
      </w:pPr>
      <w:r>
        <w:rPr>
          <w:noProof/>
        </w:rPr>
        <w:sym w:font="Wingdings" w:char="F0A8"/>
      </w:r>
      <w:r>
        <w:rPr>
          <w:noProof/>
        </w:rPr>
        <w:t> trešām valstīm vai to noteiktām struktūrām;</w:t>
      </w:r>
    </w:p>
    <w:p>
      <w:pPr>
        <w:pStyle w:val="ListDash2"/>
        <w:rPr>
          <w:noProof/>
        </w:rPr>
      </w:pPr>
      <w:r>
        <w:rPr>
          <w:noProof/>
        </w:rPr>
        <w:sym w:font="Wingdings" w:char="F0FC"/>
      </w:r>
      <w:r>
        <w:rPr>
          <w:noProof/>
        </w:rPr>
        <w:t> starptautiskām organizācijām un to aģentūrām (precizēt);</w:t>
      </w:r>
    </w:p>
    <w:p>
      <w:pPr>
        <w:pStyle w:val="ListDash2"/>
        <w:rPr>
          <w:noProof/>
        </w:rPr>
      </w:pPr>
      <w:r>
        <w:rPr>
          <w:noProof/>
        </w:rPr>
        <w:sym w:font="Wingdings" w:char="F0FC"/>
      </w:r>
      <w:r>
        <w:rPr>
          <w:noProof/>
        </w:rPr>
        <w:t> EIB un Eiropas Investīciju fondam;</w:t>
      </w:r>
    </w:p>
    <w:p>
      <w:pPr>
        <w:pStyle w:val="ListDash2"/>
        <w:rPr>
          <w:noProof/>
        </w:rPr>
      </w:pPr>
      <w:r>
        <w:rPr>
          <w:noProof/>
        </w:rPr>
        <w:lastRenderedPageBreak/>
        <w:sym w:font="Wingdings" w:char="F0A8"/>
      </w:r>
      <w:r>
        <w:rPr>
          <w:noProof/>
        </w:rPr>
        <w:t> Finanšu regulas 208. un 209. pantā minētajām struktūrām;</w:t>
      </w:r>
    </w:p>
    <w:p>
      <w:pPr>
        <w:pStyle w:val="ListDash2"/>
        <w:rPr>
          <w:noProof/>
        </w:rPr>
      </w:pPr>
      <w:r>
        <w:rPr>
          <w:noProof/>
        </w:rPr>
        <w:sym w:font="Wingdings" w:char="F0FC"/>
      </w:r>
      <w:r>
        <w:rPr>
          <w:noProof/>
        </w:rPr>
        <w:t> publisko tiesību subjektiem;</w:t>
      </w:r>
    </w:p>
    <w:p>
      <w:pPr>
        <w:pStyle w:val="ListDash2"/>
        <w:rPr>
          <w:noProof/>
        </w:rPr>
      </w:pPr>
      <w:r>
        <w:rPr>
          <w:noProof/>
        </w:rPr>
        <w:sym w:font="Wingdings" w:char="F0FC"/>
      </w:r>
      <w:r>
        <w:rPr>
          <w:noProof/>
        </w:rPr>
        <w:t> privāttiesību subjektiem, kas veic valsts pārvaldes uzdevumus, ja tie sniedz pienācīgas finanšu garantijas;</w:t>
      </w:r>
    </w:p>
    <w:p>
      <w:pPr>
        <w:pStyle w:val="ListDash2"/>
        <w:rPr>
          <w:noProof/>
        </w:rPr>
      </w:pPr>
      <w:r>
        <w:rPr>
          <w:noProof/>
        </w:rPr>
        <w:sym w:font="Wingdings" w:char="F0FC"/>
      </w:r>
      <w:r>
        <w:rPr>
          <w:noProof/>
        </w:rPr>
        <w:t> struktūrām, kuru darbību reglamentē dalībvalsts privāttiesības, kurām ir uzticēta publiskā un privātā sektora partnerības īstenošana un kuras sniedz pienācīgas finanšu garantijas;</w:t>
      </w:r>
    </w:p>
    <w:p>
      <w:pPr>
        <w:pStyle w:val="ListDash2"/>
        <w:rPr>
          <w:noProof/>
        </w:rPr>
      </w:pPr>
      <w:r>
        <w:rPr>
          <w:noProof/>
        </w:rPr>
        <w:sym w:font="Wingdings" w:char="F0A8"/>
      </w:r>
      <w:r>
        <w:rPr>
          <w:noProof/>
        </w:rPr>
        <w:t> personām, kurām ir uzticēts veikt īpašas darbības KĀDP saskaņā ar Līguma par Eiropas Savienību V sadaļu un kuras ir noteiktas attiecīgā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r>
        <w:rPr>
          <w:noProof/>
        </w:rPr>
        <w:t xml:space="preserve">Atbilst pašreizējiem grozāmās regulas noteikumiem.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2.</w:t>
      </w:r>
      <w:r>
        <w:tab/>
      </w:r>
      <w:r>
        <w:rPr>
          <w:noProof/>
        </w:rPr>
        <w:t xml:space="preserve">PĀRVALDĪBAS PASĀKUMI </w:t>
      </w:r>
    </w:p>
    <w:p>
      <w:pPr>
        <w:pStyle w:val="ManualHeading2"/>
        <w:rPr>
          <w:noProof/>
        </w:rPr>
      </w:pPr>
      <w:r>
        <w:t>2.1.</w:t>
      </w:r>
      <w:r>
        <w:tab/>
      </w:r>
      <w:r>
        <w:rPr>
          <w:noProof/>
        </w:rPr>
        <w:t xml:space="preserve">Uzraudzības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Uzraudzības un ziņošanas noteikumi būs grozītās Regulas (ES) 2017/825 uzraudzības un ziņošanas noteikumi.</w:t>
      </w:r>
    </w:p>
    <w:p>
      <w:pPr>
        <w:pStyle w:val="ManualHeading2"/>
        <w:rPr>
          <w:bCs/>
          <w:noProof/>
          <w:szCs w:val="24"/>
        </w:rPr>
      </w:pPr>
      <w:r>
        <w:t>2.2.</w:t>
      </w:r>
      <w:r>
        <w:tab/>
      </w:r>
      <w:r>
        <w:rPr>
          <w:noProof/>
        </w:rPr>
        <w:t xml:space="preserve">Pārvaldības un kontroles sistēma </w:t>
      </w:r>
    </w:p>
    <w:p>
      <w:pPr>
        <w:pStyle w:val="ManualHeading3"/>
        <w:rPr>
          <w:noProof/>
        </w:rPr>
      </w:pPr>
      <w:r>
        <w:t>2.2.1.</w:t>
      </w:r>
      <w:r>
        <w:tab/>
      </w:r>
      <w:r>
        <w:rPr>
          <w:noProof/>
        </w:rPr>
        <w:t xml:space="preserve">Apzinātie riski </w:t>
      </w:r>
    </w:p>
    <w:p>
      <w:pPr>
        <w:pStyle w:val="Text1"/>
        <w:pBdr>
          <w:top w:val="single" w:sz="4" w:space="1" w:color="auto"/>
          <w:left w:val="single" w:sz="4" w:space="4" w:color="auto"/>
          <w:bottom w:val="single" w:sz="4" w:space="1" w:color="auto"/>
          <w:right w:val="single" w:sz="4" w:space="4" w:color="auto"/>
        </w:pBdr>
        <w:rPr>
          <w:noProof/>
        </w:rPr>
      </w:pPr>
      <w:r>
        <w:rPr>
          <w:noProof/>
        </w:rPr>
        <w:t>Apzinātie riski ir atspoguļoti priekšlikumā par Regulas (ES) 2017/825 pieņemšanu, proti, COM(2015) 701 final.</w:t>
      </w:r>
    </w:p>
    <w:p>
      <w:pPr>
        <w:pStyle w:val="ManualHeading3"/>
        <w:rPr>
          <w:bCs/>
          <w:noProof/>
          <w:szCs w:val="24"/>
        </w:rPr>
      </w:pPr>
      <w:r>
        <w:t>2.2.2.</w:t>
      </w:r>
      <w:r>
        <w:tab/>
      </w:r>
      <w:r>
        <w:rPr>
          <w:noProof/>
        </w:rPr>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r>
        <w:rPr>
          <w:noProof/>
        </w:rPr>
        <w:t>Tāpat kā iepriekš sk. finanšu pārskatu, kas ir COM(2015)701 final pavaddokuments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t>2.2.3.</w:t>
      </w:r>
      <w:r>
        <w:tab/>
      </w:r>
      <w:r>
        <w:rPr>
          <w:noProof/>
        </w:rPr>
        <w:t xml:space="preserve">Paredzamās pārbaužu izmaksas un ieguvumi un gaidāmā kļūdas riska līmeņa novērtējums. </w:t>
      </w:r>
    </w:p>
    <w:p>
      <w:pPr>
        <w:pStyle w:val="Text1"/>
        <w:pBdr>
          <w:top w:val="single" w:sz="4" w:space="1" w:color="auto"/>
          <w:left w:val="single" w:sz="4" w:space="4" w:color="auto"/>
          <w:bottom w:val="single" w:sz="4" w:space="1" w:color="auto"/>
          <w:right w:val="single" w:sz="4" w:space="4" w:color="auto"/>
        </w:pBdr>
        <w:rPr>
          <w:noProof/>
        </w:rPr>
      </w:pPr>
      <w:r>
        <w:rPr>
          <w:noProof/>
        </w:rPr>
        <w:t>Tāpat kā iepriekš sk. finanšu pārskatu, kas ir COM(2015)701 final pavaddokuments</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2.3.</w:t>
      </w:r>
      <w:r>
        <w:tab/>
      </w:r>
      <w:r>
        <w:rPr>
          <w:noProof/>
        </w:rPr>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rPr>
      </w:pPr>
      <w:r>
        <w:rPr>
          <w:noProof/>
        </w:rPr>
        <w:t>Tāpat kā iepriekš sk. finanšu pārskatu, kas ir COM(2015)701 final pavaddokuments</w:t>
      </w:r>
    </w:p>
    <w:p>
      <w:pPr>
        <w:pStyle w:val="Text1"/>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3.</w:t>
      </w:r>
      <w:r>
        <w:tab/>
      </w:r>
      <w:r>
        <w:rPr>
          <w:noProof/>
        </w:rPr>
        <w:t xml:space="preserve">PRIEKŠLIKUMA/INICIATĪVAS PAREDZAMĀ FINANSIĀLĀ IETEKME </w:t>
      </w:r>
    </w:p>
    <w:p>
      <w:pPr>
        <w:pStyle w:val="ManualHeading2"/>
        <w:rPr>
          <w:noProof/>
        </w:rPr>
      </w:pPr>
      <w:r>
        <w:t>3.1.</w:t>
      </w:r>
      <w:r>
        <w:tab/>
      </w:r>
      <w:r>
        <w:rPr>
          <w:noProof/>
        </w:rPr>
        <w:t xml:space="preserve">Attiecīgās daudzgadu finanšu shēmas izdevumu kategorijas un budžeta izdevumu pozīcijas </w:t>
      </w:r>
    </w:p>
    <w:p>
      <w:pPr>
        <w:pStyle w:val="ListBullet1"/>
        <w:rPr>
          <w:noProof/>
        </w:rPr>
      </w:pPr>
      <w:r>
        <w:rPr>
          <w:noProof/>
        </w:rPr>
        <w:t xml:space="preserve">Esošās budžeta pozīcijas </w:t>
      </w:r>
    </w:p>
    <w:p>
      <w:pPr>
        <w:pStyle w:val="Text1"/>
        <w:rPr>
          <w:noProof/>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w:t>
            </w:r>
            <w:r>
              <w:rPr>
                <w:noProof/>
              </w:rPr>
              <w:t xml:space="preserve"> </w:t>
            </w:r>
            <w:r>
              <w:rPr>
                <w:noProof/>
                <w:sz w:val="22"/>
              </w:rPr>
              <w:br/>
            </w:r>
            <w:r>
              <w:rPr>
                <w:noProof/>
                <w:sz w:val="18"/>
              </w:rPr>
              <w:t>veids</w:t>
            </w:r>
          </w:p>
        </w:tc>
        <w:tc>
          <w:tcPr>
            <w:tcW w:w="444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960" w:type="dxa"/>
            <w:vAlign w:val="center"/>
          </w:tcPr>
          <w:p>
            <w:pPr>
              <w:rPr>
                <w:noProof/>
              </w:rPr>
            </w:pPr>
            <w:r>
              <w:rPr>
                <w:noProof/>
              </w:rPr>
              <w:t xml:space="preserve">1.b </w:t>
            </w:r>
            <w:r>
              <w:rPr>
                <w:b/>
                <w:noProof/>
                <w:sz w:val="20"/>
              </w:rPr>
              <w:t>Ekonomiskā, sociālā un teritoriālā kohēzija</w:t>
            </w:r>
          </w:p>
        </w:tc>
        <w:tc>
          <w:tcPr>
            <w:tcW w:w="1080" w:type="dxa"/>
            <w:vAlign w:val="center"/>
          </w:tcPr>
          <w:p>
            <w:pPr>
              <w:jc w:val="center"/>
              <w:rPr>
                <w:noProof/>
              </w:rPr>
            </w:pPr>
            <w:r>
              <w:rPr>
                <w:noProof/>
                <w:sz w:val="18"/>
              </w:rPr>
              <w:t>Dif./nedif.</w:t>
            </w:r>
            <w:r>
              <w:rPr>
                <w:rStyle w:val="FootnoteReference"/>
                <w:noProof/>
                <w:sz w:val="18"/>
              </w:rPr>
              <w:footnoteReference w:id="10"/>
            </w:r>
          </w:p>
        </w:tc>
        <w:tc>
          <w:tcPr>
            <w:tcW w:w="956" w:type="dxa"/>
            <w:vAlign w:val="center"/>
          </w:tcPr>
          <w:p>
            <w:pPr>
              <w:jc w:val="center"/>
              <w:rPr>
                <w:noProof/>
              </w:rPr>
            </w:pPr>
            <w:r>
              <w:rPr>
                <w:noProof/>
                <w:sz w:val="18"/>
              </w:rPr>
              <w:t>no EBTA valstīm</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no kandidātvalstīm</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color w:val="0000FF"/>
              </w:rPr>
            </w:pPr>
            <w:r>
              <w:rPr>
                <w:noProof/>
                <w:color w:val="0000FF"/>
              </w:rPr>
              <w:t>1.b</w:t>
            </w:r>
          </w:p>
        </w:tc>
        <w:tc>
          <w:tcPr>
            <w:tcW w:w="3960" w:type="dxa"/>
            <w:vAlign w:val="center"/>
          </w:tcPr>
          <w:p>
            <w:pPr>
              <w:jc w:val="center"/>
              <w:rPr>
                <w:noProof/>
              </w:rPr>
            </w:pPr>
            <w:r>
              <w:rPr>
                <w:noProof/>
              </w:rPr>
              <w:t>13.08.01</w:t>
            </w:r>
          </w:p>
          <w:p>
            <w:pPr>
              <w:rPr>
                <w:noProof/>
              </w:rPr>
            </w:pPr>
          </w:p>
        </w:tc>
        <w:tc>
          <w:tcPr>
            <w:tcW w:w="1080" w:type="dxa"/>
            <w:vAlign w:val="center"/>
          </w:tcPr>
          <w:p>
            <w:pPr>
              <w:jc w:val="center"/>
              <w:rPr>
                <w:noProof/>
                <w:sz w:val="22"/>
              </w:rPr>
            </w:pPr>
            <w:r>
              <w:rPr>
                <w:noProof/>
                <w:sz w:val="22"/>
              </w:rPr>
              <w:t>Dif.</w:t>
            </w:r>
          </w:p>
        </w:tc>
        <w:tc>
          <w:tcPr>
            <w:tcW w:w="956" w:type="dxa"/>
            <w:vAlign w:val="center"/>
          </w:tcPr>
          <w:p>
            <w:pPr>
              <w:jc w:val="center"/>
              <w:rPr>
                <w:noProof/>
                <w:sz w:val="22"/>
              </w:rPr>
            </w:pPr>
            <w:r>
              <w:rPr>
                <w:noProof/>
                <w:sz w:val="22"/>
              </w:rPr>
              <w:t>JĀ</w:t>
            </w:r>
          </w:p>
        </w:tc>
        <w:tc>
          <w:tcPr>
            <w:tcW w:w="1080" w:type="dxa"/>
            <w:vAlign w:val="center"/>
          </w:tcPr>
          <w:p>
            <w:pPr>
              <w:jc w:val="center"/>
              <w:rPr>
                <w:noProof/>
                <w:sz w:val="22"/>
              </w:rPr>
            </w:pPr>
            <w:r>
              <w:rPr>
                <w:noProof/>
                <w:sz w:val="22"/>
              </w:rPr>
              <w:t>NĒ</w:t>
            </w:r>
          </w:p>
        </w:tc>
        <w:tc>
          <w:tcPr>
            <w:tcW w:w="956" w:type="dxa"/>
            <w:vAlign w:val="center"/>
          </w:tcPr>
          <w:p>
            <w:pPr>
              <w:jc w:val="center"/>
              <w:rPr>
                <w:noProof/>
                <w:sz w:val="22"/>
              </w:rPr>
            </w:pPr>
            <w:r>
              <w:rPr>
                <w:noProof/>
                <w:sz w:val="22"/>
              </w:rPr>
              <w:t xml:space="preserve">NĒ </w:t>
            </w:r>
          </w:p>
        </w:tc>
        <w:tc>
          <w:tcPr>
            <w:tcW w:w="1448" w:type="dxa"/>
            <w:vAlign w:val="center"/>
          </w:tcPr>
          <w:p>
            <w:pPr>
              <w:jc w:val="center"/>
              <w:rPr>
                <w:noProof/>
                <w:sz w:val="22"/>
              </w:rPr>
            </w:pPr>
            <w:r>
              <w:rPr>
                <w:noProof/>
                <w:sz w:val="22"/>
              </w:rPr>
              <w:t>NĒ</w:t>
            </w:r>
          </w:p>
        </w:tc>
      </w:tr>
    </w:tbl>
    <w:p>
      <w:pPr>
        <w:pStyle w:val="ListBullet1"/>
        <w:rPr>
          <w:noProof/>
        </w:rPr>
      </w:pPr>
      <w:r>
        <w:rPr>
          <w:noProof/>
        </w:rPr>
        <w:t xml:space="preserve">No jauna veidojamās budžeta pozīcijas </w:t>
      </w:r>
    </w:p>
    <w:p>
      <w:pPr>
        <w:pStyle w:val="Text1"/>
        <w:rPr>
          <w:i/>
          <w:noProof/>
          <w:sz w:val="20"/>
        </w:rPr>
      </w:pPr>
      <w:r>
        <w:rPr>
          <w:noProof/>
          <w:u w:val="single"/>
        </w:rPr>
        <w:t>Sarindotas</w:t>
      </w:r>
      <w:r>
        <w:rPr>
          <w:noProof/>
        </w:rPr>
        <w:t xml:space="preserve"> pa daudzgadu finanšu shēmas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Daudzgadu finanšu shēmas izdevumu kategorija</w:t>
            </w:r>
          </w:p>
        </w:tc>
        <w:tc>
          <w:tcPr>
            <w:tcW w:w="3960" w:type="dxa"/>
            <w:vAlign w:val="center"/>
          </w:tcPr>
          <w:p>
            <w:pPr>
              <w:spacing w:before="60" w:after="60"/>
              <w:jc w:val="center"/>
              <w:rPr>
                <w:noProof/>
              </w:rPr>
            </w:pPr>
            <w:r>
              <w:rPr>
                <w:noProof/>
                <w:sz w:val="20"/>
              </w:rPr>
              <w:t>Budžeta pozīcija</w:t>
            </w:r>
          </w:p>
        </w:tc>
        <w:tc>
          <w:tcPr>
            <w:tcW w:w="1080" w:type="dxa"/>
            <w:vAlign w:val="center"/>
          </w:tcPr>
          <w:p>
            <w:pPr>
              <w:spacing w:before="60" w:after="60"/>
              <w:jc w:val="center"/>
              <w:rPr>
                <w:noProof/>
              </w:rPr>
            </w:pPr>
            <w:r>
              <w:rPr>
                <w:noProof/>
                <w:sz w:val="18"/>
              </w:rPr>
              <w:t>Izdevumu</w:t>
            </w:r>
            <w:r>
              <w:rPr>
                <w:noProof/>
              </w:rPr>
              <w:t xml:space="preserve"> </w:t>
            </w:r>
            <w:r>
              <w:rPr>
                <w:noProof/>
                <w:sz w:val="22"/>
              </w:rPr>
              <w:br/>
            </w:r>
            <w:r>
              <w:rPr>
                <w:noProof/>
                <w:sz w:val="18"/>
              </w:rPr>
              <w:t>veids</w:t>
            </w:r>
          </w:p>
        </w:tc>
        <w:tc>
          <w:tcPr>
            <w:tcW w:w="4440" w:type="dxa"/>
            <w:gridSpan w:val="4"/>
            <w:vAlign w:val="center"/>
          </w:tcPr>
          <w:p>
            <w:pPr>
              <w:spacing w:before="60" w:after="60"/>
              <w:jc w:val="center"/>
              <w:rPr>
                <w:noProof/>
              </w:rPr>
            </w:pPr>
            <w:r>
              <w:rPr>
                <w:noProof/>
                <w:sz w:val="20"/>
              </w:rPr>
              <w:t xml:space="preserve">Iemaksas </w:t>
            </w:r>
          </w:p>
        </w:tc>
      </w:tr>
      <w:tr>
        <w:tc>
          <w:tcPr>
            <w:tcW w:w="1080" w:type="dxa"/>
            <w:vMerge/>
            <w:vAlign w:val="center"/>
          </w:tcPr>
          <w:p>
            <w:pPr>
              <w:jc w:val="center"/>
              <w:rPr>
                <w:noProof/>
              </w:rPr>
            </w:pPr>
          </w:p>
        </w:tc>
        <w:tc>
          <w:tcPr>
            <w:tcW w:w="3960" w:type="dxa"/>
            <w:vAlign w:val="center"/>
          </w:tcPr>
          <w:p>
            <w:pPr>
              <w:rPr>
                <w:noProof/>
              </w:rPr>
            </w:pPr>
            <w:r>
              <w:rPr>
                <w:noProof/>
                <w:sz w:val="20"/>
              </w:rPr>
              <w:t>Numurs</w:t>
            </w:r>
            <w:r>
              <w:rPr>
                <w:noProof/>
                <w:sz w:val="22"/>
              </w:rPr>
              <w:br/>
            </w:r>
            <w:r>
              <w:rPr>
                <w:noProof/>
                <w:sz w:val="20"/>
              </w:rPr>
              <w:t>[Pozīcija………………………………………]</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no EBTA valstīm</w:t>
            </w:r>
          </w:p>
        </w:tc>
        <w:tc>
          <w:tcPr>
            <w:tcW w:w="1080" w:type="dxa"/>
            <w:vAlign w:val="center"/>
          </w:tcPr>
          <w:p>
            <w:pPr>
              <w:jc w:val="center"/>
              <w:rPr>
                <w:noProof/>
                <w:sz w:val="18"/>
              </w:rPr>
            </w:pPr>
            <w:r>
              <w:rPr>
                <w:noProof/>
                <w:sz w:val="18"/>
              </w:rPr>
              <w:t>no kandidātvalstīm</w:t>
            </w:r>
          </w:p>
        </w:tc>
        <w:tc>
          <w:tcPr>
            <w:tcW w:w="956" w:type="dxa"/>
            <w:vAlign w:val="center"/>
          </w:tcPr>
          <w:p>
            <w:pPr>
              <w:jc w:val="center"/>
              <w:rPr>
                <w:noProof/>
                <w:sz w:val="18"/>
              </w:rPr>
            </w:pPr>
            <w:r>
              <w:rPr>
                <w:noProof/>
                <w:sz w:val="18"/>
              </w:rPr>
              <w:t>no trešām valstīm</w:t>
            </w:r>
          </w:p>
        </w:tc>
        <w:tc>
          <w:tcPr>
            <w:tcW w:w="1448" w:type="dxa"/>
            <w:vAlign w:val="center"/>
          </w:tcPr>
          <w:p>
            <w:pPr>
              <w:jc w:val="center"/>
              <w:rPr>
                <w:noProof/>
              </w:rPr>
            </w:pPr>
            <w:r>
              <w:rPr>
                <w:noProof/>
                <w:sz w:val="16"/>
              </w:rPr>
              <w:t xml:space="preserve">Finanšu regulas 21. panta 2. punkta b) apakšpunkta nozīmē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JĀ/NĒ</w:t>
            </w:r>
          </w:p>
        </w:tc>
        <w:tc>
          <w:tcPr>
            <w:tcW w:w="1080" w:type="dxa"/>
            <w:vAlign w:val="center"/>
          </w:tcPr>
          <w:p>
            <w:pPr>
              <w:jc w:val="center"/>
              <w:rPr>
                <w:noProof/>
                <w:color w:val="0000FF"/>
                <w:sz w:val="18"/>
              </w:rPr>
            </w:pPr>
            <w:r>
              <w:rPr>
                <w:noProof/>
                <w:sz w:val="22"/>
              </w:rPr>
              <w:t>JĀ/NĒ</w:t>
            </w:r>
          </w:p>
        </w:tc>
        <w:tc>
          <w:tcPr>
            <w:tcW w:w="956" w:type="dxa"/>
            <w:vAlign w:val="center"/>
          </w:tcPr>
          <w:p>
            <w:pPr>
              <w:jc w:val="center"/>
              <w:rPr>
                <w:noProof/>
                <w:color w:val="0000FF"/>
                <w:sz w:val="18"/>
              </w:rPr>
            </w:pPr>
            <w:r>
              <w:rPr>
                <w:noProof/>
                <w:sz w:val="22"/>
              </w:rPr>
              <w:t>JĀ/NĒ</w:t>
            </w:r>
          </w:p>
        </w:tc>
        <w:tc>
          <w:tcPr>
            <w:tcW w:w="1448" w:type="dxa"/>
            <w:vAlign w:val="center"/>
          </w:tcPr>
          <w:p>
            <w:pPr>
              <w:jc w:val="center"/>
              <w:rPr>
                <w:noProof/>
              </w:rPr>
            </w:pPr>
            <w:r>
              <w:rPr>
                <w:noProof/>
                <w:sz w:val="22"/>
              </w:rPr>
              <w:t>JĀ/NĒ</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Paredzamā ietekme uz izdevumiem </w:t>
      </w:r>
    </w:p>
    <w:p>
      <w:pPr>
        <w:pStyle w:val="ManualHeading3"/>
        <w:rPr>
          <w:noProof/>
          <w:u w:val="single"/>
        </w:rPr>
      </w:pPr>
      <w:r>
        <w:t>3.2.1.</w:t>
      </w:r>
      <w:r>
        <w:tab/>
      </w:r>
      <w:r>
        <w:rPr>
          <w:noProof/>
        </w:rPr>
        <w:t xml:space="preserve">Kopsavilkums par paredzamo ietekmi uz izdevumiem </w:t>
      </w:r>
    </w:p>
    <w:p>
      <w:pPr>
        <w:jc w:val="right"/>
        <w:rPr>
          <w:noProof/>
          <w:sz w:val="20"/>
        </w:rPr>
      </w:pPr>
      <w:r>
        <w:rPr>
          <w:noProof/>
          <w:sz w:val="20"/>
        </w:rPr>
        <w:t>EUR miljonos (trīs zīmes aiz komata)</w:t>
      </w:r>
    </w:p>
    <w:tbl>
      <w:tblPr>
        <w:tblW w:w="13380" w:type="dxa"/>
        <w:tblInd w:w="93" w:type="dxa"/>
        <w:tblLook w:val="04A0" w:firstRow="1" w:lastRow="0" w:firstColumn="1" w:lastColumn="0" w:noHBand="0" w:noVBand="1"/>
      </w:tblPr>
      <w:tblGrid>
        <w:gridCol w:w="3336"/>
        <w:gridCol w:w="1976"/>
        <w:gridCol w:w="1238"/>
        <w:gridCol w:w="957"/>
        <w:gridCol w:w="959"/>
        <w:gridCol w:w="957"/>
        <w:gridCol w:w="966"/>
        <w:gridCol w:w="966"/>
        <w:gridCol w:w="1059"/>
        <w:gridCol w:w="966"/>
      </w:tblGrid>
      <w:tr>
        <w:trPr>
          <w:trHeight w:val="315"/>
        </w:trPr>
        <w:tc>
          <w:tcPr>
            <w:tcW w:w="7507" w:type="dxa"/>
            <w:gridSpan w:val="4"/>
            <w:tcBorders>
              <w:top w:val="single" w:sz="8" w:space="0" w:color="auto"/>
              <w:left w:val="single" w:sz="8" w:space="0" w:color="auto"/>
              <w:bottom w:val="nil"/>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Daudzgadu finanšu shēmas  </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22"/>
              </w:rPr>
            </w:pPr>
            <w:r>
              <w:rPr>
                <w:noProof/>
                <w:color w:val="000000"/>
                <w:sz w:val="22"/>
              </w:rPr>
              <w:t>1.b</w:t>
            </w:r>
          </w:p>
        </w:tc>
        <w:tc>
          <w:tcPr>
            <w:tcW w:w="4914"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b/>
                <w:bCs/>
                <w:noProof/>
                <w:color w:val="000000"/>
                <w:sz w:val="20"/>
                <w:szCs w:val="20"/>
              </w:rPr>
            </w:pPr>
            <w:r>
              <w:rPr>
                <w:b/>
                <w:noProof/>
                <w:color w:val="000000"/>
                <w:sz w:val="20"/>
              </w:rPr>
              <w:t>Ekonomiskā, sociālā un teritoriālā kohēzija/ ilgtspējīga izaugsme: dabas resursi</w:t>
            </w:r>
          </w:p>
        </w:tc>
      </w:tr>
      <w:tr>
        <w:trPr>
          <w:trHeight w:val="330"/>
        </w:trPr>
        <w:tc>
          <w:tcPr>
            <w:tcW w:w="7507" w:type="dxa"/>
            <w:gridSpan w:val="4"/>
            <w:tcBorders>
              <w:top w:val="nil"/>
              <w:left w:val="single" w:sz="8" w:space="0" w:color="auto"/>
              <w:bottom w:val="single" w:sz="8" w:space="0" w:color="auto"/>
              <w:right w:val="single" w:sz="8" w:space="0" w:color="000000"/>
            </w:tcBorders>
            <w:shd w:val="thinDiagStripe" w:color="C0C0C0" w:fill="F1F1F1"/>
            <w:vAlign w:val="center"/>
            <w:hideMark/>
          </w:tcPr>
          <w:p>
            <w:pPr>
              <w:spacing w:before="0" w:after="0"/>
              <w:jc w:val="center"/>
              <w:rPr>
                <w:b/>
                <w:bCs/>
                <w:noProof/>
                <w:color w:val="000000"/>
                <w:szCs w:val="24"/>
              </w:rPr>
            </w:pPr>
            <w:r>
              <w:rPr>
                <w:b/>
                <w:noProof/>
                <w:color w:val="000000"/>
              </w:rPr>
              <w:t xml:space="preserve">izdevumu kategorija </w:t>
            </w:r>
          </w:p>
        </w:tc>
        <w:tc>
          <w:tcPr>
            <w:tcW w:w="959"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2"/>
              </w:rPr>
            </w:pPr>
          </w:p>
        </w:tc>
        <w:tc>
          <w:tcPr>
            <w:tcW w:w="4914" w:type="dxa"/>
            <w:gridSpan w:val="5"/>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b/>
                <w:bCs/>
                <w:noProof/>
                <w:color w:val="000000"/>
                <w:sz w:val="20"/>
                <w:szCs w:val="20"/>
              </w:rPr>
            </w:pPr>
          </w:p>
        </w:tc>
      </w:tr>
      <w:tr>
        <w:trPr>
          <w:trHeight w:val="300"/>
        </w:trPr>
        <w:tc>
          <w:tcPr>
            <w:tcW w:w="531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2"/>
              </w:rPr>
            </w:pPr>
            <w:r>
              <w:rPr>
                <w:noProof/>
                <w:color w:val="000000"/>
                <w:sz w:val="22"/>
              </w:rPr>
              <w:t xml:space="preserve">ĢD:SG / </w:t>
            </w:r>
            <w:r>
              <w:rPr>
                <w:noProof/>
                <w:color w:val="000000"/>
              </w:rPr>
              <w:t>SRSS</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20"/>
                <w:szCs w:val="20"/>
              </w:rPr>
            </w:pPr>
            <w:r>
              <w:rPr>
                <w:noProof/>
                <w:color w:val="000000"/>
                <w:sz w:val="20"/>
              </w:rPr>
              <w:t> </w:t>
            </w: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b/>
                <w:noProof/>
                <w:color w:val="000000"/>
                <w:sz w:val="20"/>
              </w:rPr>
              <w:t>2019.</w:t>
            </w:r>
          </w:p>
        </w:tc>
        <w:tc>
          <w:tcPr>
            <w:tcW w:w="966"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b/>
                <w:noProof/>
                <w:color w:val="000000"/>
                <w:sz w:val="20"/>
              </w:rPr>
              <w:t>2020.</w:t>
            </w:r>
          </w:p>
        </w:tc>
        <w:tc>
          <w:tcPr>
            <w:tcW w:w="1059" w:type="dxa"/>
            <w:tcBorders>
              <w:top w:val="nil"/>
              <w:left w:val="nil"/>
              <w:bottom w:val="nil"/>
              <w:right w:val="single" w:sz="8" w:space="0" w:color="auto"/>
            </w:tcBorders>
            <w:shd w:val="clear" w:color="auto" w:fill="auto"/>
            <w:vAlign w:val="center"/>
            <w:hideMark/>
          </w:tcPr>
          <w:p>
            <w:pPr>
              <w:spacing w:before="0" w:after="0"/>
              <w:jc w:val="center"/>
              <w:rPr>
                <w:noProof/>
                <w:color w:val="000000"/>
                <w:sz w:val="20"/>
                <w:szCs w:val="20"/>
              </w:rPr>
            </w:pPr>
            <w:r>
              <w:rPr>
                <w:b/>
                <w:noProof/>
                <w:color w:val="000000"/>
                <w:sz w:val="20"/>
              </w:rPr>
              <w:t>2021. un 2022.</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b/>
                <w:bCs/>
                <w:noProof/>
                <w:color w:val="000000"/>
                <w:sz w:val="20"/>
                <w:szCs w:val="20"/>
              </w:rPr>
            </w:pPr>
            <w:r>
              <w:rPr>
                <w:b/>
                <w:noProof/>
                <w:color w:val="000000"/>
                <w:sz w:val="20"/>
              </w:rPr>
              <w:t>KOPĀ</w:t>
            </w:r>
          </w:p>
        </w:tc>
      </w:tr>
      <w:tr>
        <w:trPr>
          <w:trHeight w:val="525"/>
        </w:trPr>
        <w:tc>
          <w:tcPr>
            <w:tcW w:w="5312"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2"/>
              </w:rPr>
            </w:pPr>
          </w:p>
        </w:tc>
        <w:tc>
          <w:tcPr>
            <w:tcW w:w="1238"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20"/>
                <w:szCs w:val="20"/>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0"/>
                <w:szCs w:val="20"/>
              </w:rPr>
            </w:pP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noProof/>
                <w:color w:val="000000"/>
                <w:sz w:val="20"/>
              </w:rPr>
              <w:t>gads</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20"/>
                <w:szCs w:val="20"/>
              </w:rPr>
            </w:pPr>
            <w:r>
              <w:rPr>
                <w:noProof/>
                <w:color w:val="000000"/>
                <w:sz w:val="20"/>
              </w:rPr>
              <w:t>gads</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center"/>
              <w:rPr>
                <w:bCs/>
                <w:noProof/>
                <w:color w:val="000000"/>
                <w:sz w:val="20"/>
                <w:szCs w:val="20"/>
              </w:rPr>
            </w:pPr>
            <w:r>
              <w:rPr>
                <w:bCs/>
                <w:noProof/>
                <w:color w:val="000000"/>
                <w:sz w:val="20"/>
                <w:szCs w:val="20"/>
              </w:rPr>
              <w:t>gads</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942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rPr>
                <w:b/>
                <w:bCs/>
                <w:noProof/>
                <w:color w:val="000000"/>
                <w:sz w:val="18"/>
                <w:szCs w:val="18"/>
              </w:rPr>
            </w:pPr>
            <w:r>
              <w:rPr>
                <w:b/>
                <w:noProof/>
                <w:color w:val="000000"/>
                <w:sz w:val="18"/>
              </w:rPr>
              <w:t>Darbības apropriācijas</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rPr>
                <w:b/>
                <w:bCs/>
                <w:noProof/>
                <w:color w:val="000000"/>
                <w:sz w:val="20"/>
                <w:szCs w:val="20"/>
              </w:rPr>
            </w:pPr>
            <w:r>
              <w:rPr>
                <w:b/>
                <w:noProof/>
                <w:color w:val="000000"/>
                <w:sz w:val="20"/>
              </w:rPr>
              <w:t> </w:t>
            </w:r>
          </w:p>
        </w:tc>
      </w:tr>
      <w:tr>
        <w:trPr>
          <w:trHeight w:val="300"/>
        </w:trPr>
        <w:tc>
          <w:tcPr>
            <w:tcW w:w="333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b/>
                <w:bCs/>
                <w:noProof/>
                <w:color w:val="000000"/>
                <w:szCs w:val="24"/>
              </w:rPr>
            </w:pPr>
            <w:r>
              <w:rPr>
                <w:b/>
                <w:noProof/>
                <w:color w:val="000000"/>
              </w:rPr>
              <w:t>13.08.01</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Saistības</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(1)</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Maksājumi</w:t>
            </w:r>
          </w:p>
        </w:tc>
        <w:tc>
          <w:tcPr>
            <w:tcW w:w="2873" w:type="dxa"/>
            <w:gridSpan w:val="3"/>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(2)</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059"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66" w:type="dxa"/>
            <w:tcBorders>
              <w:top w:val="nil"/>
              <w:left w:val="nil"/>
              <w:bottom w:val="single" w:sz="8" w:space="0" w:color="auto"/>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15"/>
        </w:trPr>
        <w:tc>
          <w:tcPr>
            <w:tcW w:w="333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3214" w:type="dxa"/>
            <w:gridSpan w:val="2"/>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8"/>
                <w:szCs w:val="18"/>
              </w:rPr>
            </w:pPr>
          </w:p>
        </w:tc>
        <w:tc>
          <w:tcPr>
            <w:tcW w:w="2873" w:type="dxa"/>
            <w:gridSpan w:val="3"/>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14"/>
                <w:szCs w:val="14"/>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059"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KOPĀ apropriācijas</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Saistības</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=1+1.a +3</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center"/>
              <w:rPr>
                <w:b/>
                <w:bCs/>
                <w:noProof/>
                <w:color w:val="000000"/>
                <w:sz w:val="22"/>
              </w:rPr>
            </w:pPr>
            <w:r>
              <w:rPr>
                <w:b/>
                <w:noProof/>
                <w:color w:val="000000"/>
                <w:sz w:val="22"/>
              </w:rPr>
              <w:t>13. IZDEVUMU KATEGORIJAI</w:t>
            </w:r>
          </w:p>
        </w:tc>
        <w:tc>
          <w:tcPr>
            <w:tcW w:w="3214" w:type="dxa"/>
            <w:gridSpan w:val="2"/>
            <w:vMerge/>
            <w:tcBorders>
              <w:top w:val="nil"/>
              <w:left w:val="single" w:sz="8" w:space="0" w:color="auto"/>
              <w:bottom w:val="nil"/>
              <w:right w:val="single" w:sz="8" w:space="0" w:color="auto"/>
            </w:tcBorders>
            <w:vAlign w:val="center"/>
            <w:hideMark/>
          </w:tcPr>
          <w:p>
            <w:pPr>
              <w:spacing w:before="0" w:after="0"/>
              <w:jc w:val="left"/>
              <w:rPr>
                <w:noProof/>
                <w:color w:val="000000"/>
                <w:sz w:val="18"/>
                <w:szCs w:val="18"/>
              </w:rPr>
            </w:pPr>
          </w:p>
        </w:tc>
        <w:tc>
          <w:tcPr>
            <w:tcW w:w="2873" w:type="dxa"/>
            <w:gridSpan w:val="3"/>
            <w:vMerge/>
            <w:tcBorders>
              <w:top w:val="nil"/>
              <w:left w:val="single" w:sz="8" w:space="0" w:color="auto"/>
              <w:bottom w:val="nil"/>
              <w:right w:val="single" w:sz="8" w:space="0" w:color="auto"/>
            </w:tcBorders>
            <w:vAlign w:val="center"/>
            <w:hideMark/>
          </w:tcPr>
          <w:p>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300"/>
        </w:trPr>
        <w:tc>
          <w:tcPr>
            <w:tcW w:w="3336" w:type="dxa"/>
            <w:tcBorders>
              <w:top w:val="nil"/>
              <w:left w:val="single" w:sz="8" w:space="0" w:color="auto"/>
              <w:bottom w:val="nil"/>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spacing w:before="0" w:after="0"/>
              <w:rPr>
                <w:noProof/>
                <w:color w:val="000000"/>
                <w:sz w:val="18"/>
                <w:szCs w:val="18"/>
              </w:rPr>
            </w:pPr>
            <w:r>
              <w:rPr>
                <w:noProof/>
                <w:color w:val="000000"/>
                <w:sz w:val="18"/>
              </w:rPr>
              <w:t>Maksājumi</w:t>
            </w:r>
          </w:p>
        </w:tc>
        <w:tc>
          <w:tcPr>
            <w:tcW w:w="2873" w:type="dxa"/>
            <w:gridSpan w:val="3"/>
            <w:tcBorders>
              <w:top w:val="single" w:sz="8" w:space="0" w:color="auto"/>
              <w:left w:val="nil"/>
              <w:bottom w:val="nil"/>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=2+2.a</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15"/>
        </w:trPr>
        <w:tc>
          <w:tcPr>
            <w:tcW w:w="333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3214" w:type="dxa"/>
            <w:gridSpan w:val="2"/>
            <w:vMerge/>
            <w:tcBorders>
              <w:top w:val="nil"/>
              <w:left w:val="single" w:sz="8" w:space="0" w:color="auto"/>
              <w:bottom w:val="single" w:sz="8" w:space="0" w:color="auto"/>
              <w:right w:val="single" w:sz="8" w:space="0" w:color="auto"/>
            </w:tcBorders>
            <w:vAlign w:val="center"/>
            <w:hideMark/>
          </w:tcPr>
          <w:p>
            <w:pPr>
              <w:spacing w:before="0" w:after="0"/>
              <w:jc w:val="left"/>
              <w:rPr>
                <w:noProof/>
                <w:color w:val="000000"/>
                <w:sz w:val="18"/>
                <w:szCs w:val="18"/>
              </w:rPr>
            </w:pPr>
          </w:p>
        </w:tc>
        <w:tc>
          <w:tcPr>
            <w:tcW w:w="2873" w:type="dxa"/>
            <w:gridSpan w:val="3"/>
            <w:tcBorders>
              <w:top w:val="nil"/>
              <w:left w:val="nil"/>
              <w:bottom w:val="single" w:sz="8" w:space="0" w:color="auto"/>
              <w:right w:val="single" w:sz="8" w:space="0" w:color="000000"/>
            </w:tcBorders>
            <w:shd w:val="clear" w:color="auto" w:fill="auto"/>
            <w:vAlign w:val="center"/>
            <w:hideMark/>
          </w:tcPr>
          <w:p>
            <w:pPr>
              <w:spacing w:before="0" w:after="0"/>
              <w:jc w:val="center"/>
              <w:rPr>
                <w:noProof/>
                <w:color w:val="000000"/>
                <w:sz w:val="14"/>
                <w:szCs w:val="14"/>
              </w:rPr>
            </w:pPr>
            <w:r>
              <w:rPr>
                <w:noProof/>
                <w:color w:val="000000"/>
                <w:sz w:val="14"/>
              </w:rPr>
              <w:t>3</w:t>
            </w: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482" w:type="dxa"/>
        <w:tblInd w:w="93" w:type="dxa"/>
        <w:tblLayout w:type="fixed"/>
        <w:tblLook w:val="04A0" w:firstRow="1" w:lastRow="0" w:firstColumn="1" w:lastColumn="0" w:noHBand="0" w:noVBand="1"/>
      </w:tblPr>
      <w:tblGrid>
        <w:gridCol w:w="5118"/>
        <w:gridCol w:w="1843"/>
        <w:gridCol w:w="2410"/>
        <w:gridCol w:w="992"/>
        <w:gridCol w:w="992"/>
        <w:gridCol w:w="1134"/>
        <w:gridCol w:w="993"/>
      </w:tblGrid>
      <w:tr>
        <w:trPr>
          <w:trHeight w:val="662"/>
        </w:trPr>
        <w:tc>
          <w:tcPr>
            <w:tcW w:w="5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pStyle w:val="ListParagraph"/>
              <w:numPr>
                <w:ilvl w:val="0"/>
                <w:numId w:val="18"/>
              </w:numPr>
              <w:spacing w:before="0" w:after="0"/>
              <w:rPr>
                <w:noProof/>
                <w:color w:val="000000"/>
                <w:sz w:val="21"/>
                <w:szCs w:val="21"/>
              </w:rPr>
            </w:pPr>
            <w:r>
              <w:rPr>
                <w:b/>
                <w:noProof/>
                <w:color w:val="000000"/>
                <w:sz w:val="22"/>
              </w:rPr>
              <w:t>KOPĀ darbības apropriācijas</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Saistības</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40,000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288"/>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Maksājumi</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0"/>
                <w:szCs w:val="20"/>
              </w:rPr>
            </w:pPr>
            <w:r>
              <w:rPr>
                <w:b/>
                <w:noProof/>
                <w:color w:val="000000"/>
                <w:sz w:val="20"/>
              </w:rPr>
              <w:t>80,000</w:t>
            </w:r>
          </w:p>
        </w:tc>
      </w:tr>
      <w:tr>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21"/>
                <w:szCs w:val="21"/>
              </w:rPr>
            </w:pP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0"/>
                <w:szCs w:val="20"/>
              </w:rPr>
            </w:pPr>
          </w:p>
        </w:tc>
      </w:tr>
      <w:tr>
        <w:trPr>
          <w:trHeight w:val="734"/>
        </w:trPr>
        <w:tc>
          <w:tcPr>
            <w:tcW w:w="6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pPr>
              <w:pStyle w:val="ListParagraph"/>
              <w:numPr>
                <w:ilvl w:val="0"/>
                <w:numId w:val="18"/>
              </w:numPr>
              <w:spacing w:before="0" w:after="0"/>
              <w:rPr>
                <w:noProof/>
                <w:color w:val="000000"/>
                <w:sz w:val="21"/>
                <w:szCs w:val="21"/>
              </w:rPr>
            </w:pPr>
            <w:r>
              <w:rPr>
                <w:b/>
                <w:noProof/>
                <w:color w:val="000000"/>
                <w:sz w:val="22"/>
              </w:rPr>
              <w:t>KOPĀ darbības administratīvās apropriācijas, kas tiek finansētas no konkrētu programmu piešķīrumiem</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4"/>
                <w:szCs w:val="14"/>
              </w:rPr>
            </w:pPr>
            <w:r>
              <w:rPr>
                <w:noProof/>
                <w:color w:val="000000"/>
                <w:sz w:val="14"/>
              </w:rPr>
              <w:t>(6)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pPr>
              <w:spacing w:before="0" w:after="0"/>
              <w:jc w:val="right"/>
              <w:rPr>
                <w:b/>
                <w:bCs/>
                <w:noProof/>
                <w:color w:val="000000"/>
                <w:sz w:val="20"/>
                <w:szCs w:val="20"/>
              </w:rPr>
            </w:pPr>
          </w:p>
        </w:tc>
      </w:tr>
      <w:tr>
        <w:trPr>
          <w:trHeight w:val="302"/>
        </w:trPr>
        <w:tc>
          <w:tcPr>
            <w:tcW w:w="6961" w:type="dxa"/>
            <w:gridSpan w:val="2"/>
            <w:vMerge/>
            <w:tcBorders>
              <w:top w:val="single" w:sz="8" w:space="0" w:color="auto"/>
              <w:left w:val="single" w:sz="8" w:space="0" w:color="auto"/>
              <w:bottom w:val="single" w:sz="8" w:space="0" w:color="000000"/>
              <w:right w:val="single" w:sz="8" w:space="0" w:color="000000"/>
            </w:tcBorders>
            <w:vAlign w:val="center"/>
            <w:hideMark/>
          </w:tcPr>
          <w:p>
            <w:pPr>
              <w:spacing w:before="0" w:after="0"/>
              <w:jc w:val="left"/>
              <w:rPr>
                <w:noProof/>
                <w:color w:val="000000"/>
                <w:sz w:val="21"/>
                <w:szCs w:val="21"/>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tcPr>
          <w:p>
            <w:pPr>
              <w:spacing w:before="0" w:after="0"/>
              <w:jc w:val="left"/>
              <w:rPr>
                <w:b/>
                <w:bCs/>
                <w:noProof/>
                <w:color w:val="000000"/>
                <w:sz w:val="20"/>
                <w:szCs w:val="20"/>
              </w:rPr>
            </w:pPr>
          </w:p>
        </w:tc>
      </w:tr>
      <w:tr>
        <w:trPr>
          <w:trHeight w:val="288"/>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bCs/>
                <w:noProof/>
                <w:color w:val="000000"/>
                <w:sz w:val="22"/>
              </w:rPr>
            </w:pPr>
            <w:r>
              <w:rPr>
                <w:b/>
                <w:noProof/>
                <w:color w:val="000000"/>
                <w:sz w:val="22"/>
              </w:rPr>
              <w:t xml:space="preserve">KOPĀ apropriācijas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Saistības</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(4+6)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40,000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Cs w:val="24"/>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b/>
                <w:bCs/>
                <w:noProof/>
                <w:color w:val="000000"/>
                <w:sz w:val="22"/>
              </w:rPr>
            </w:pPr>
            <w:r>
              <w:rPr>
                <w:b/>
                <w:noProof/>
                <w:color w:val="000000"/>
                <w:sz w:val="22"/>
              </w:rPr>
              <w:t>1.b IZDEVUMU KATEGORIJĀ</w:t>
            </w: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Cs w:val="24"/>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r>
        <w:trPr>
          <w:trHeight w:val="576"/>
        </w:trPr>
        <w:tc>
          <w:tcPr>
            <w:tcW w:w="5118" w:type="dxa"/>
            <w:tcBorders>
              <w:top w:val="nil"/>
              <w:left w:val="single" w:sz="8" w:space="0" w:color="auto"/>
              <w:bottom w:val="nil"/>
              <w:right w:val="single" w:sz="8" w:space="0" w:color="auto"/>
            </w:tcBorders>
            <w:shd w:val="thinDiagStripe" w:color="C0C0C0" w:fill="F1F1F1"/>
            <w:vAlign w:val="center"/>
            <w:hideMark/>
          </w:tcPr>
          <w:p>
            <w:pPr>
              <w:spacing w:before="0" w:after="0"/>
              <w:jc w:val="center"/>
              <w:rPr>
                <w:noProof/>
                <w:color w:val="000000"/>
                <w:sz w:val="22"/>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rPr>
                <w:noProof/>
                <w:color w:val="000000"/>
                <w:sz w:val="18"/>
                <w:szCs w:val="18"/>
              </w:rPr>
            </w:pPr>
            <w:r>
              <w:rPr>
                <w:noProof/>
                <w:color w:val="000000"/>
                <w:sz w:val="18"/>
              </w:rPr>
              <w:t>Maksājumi</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noProof/>
                <w:color w:val="000000"/>
                <w:sz w:val="14"/>
                <w:szCs w:val="14"/>
              </w:rPr>
            </w:pPr>
            <w:r>
              <w:rPr>
                <w:noProof/>
                <w:color w:val="000000"/>
                <w:sz w:val="14"/>
              </w:rPr>
              <w:t>(5+6)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pPr>
              <w:spacing w:before="0" w:after="0"/>
              <w:jc w:val="right"/>
              <w:rPr>
                <w:b/>
                <w:bCs/>
                <w:noProof/>
                <w:color w:val="000000"/>
                <w:sz w:val="22"/>
              </w:rPr>
            </w:pPr>
            <w:r>
              <w:rPr>
                <w:b/>
                <w:noProof/>
                <w:color w:val="000000"/>
                <w:sz w:val="22"/>
              </w:rPr>
              <w:t>80,000</w:t>
            </w:r>
          </w:p>
        </w:tc>
      </w:tr>
      <w:tr>
        <w:trPr>
          <w:trHeight w:val="302"/>
        </w:trPr>
        <w:tc>
          <w:tcPr>
            <w:tcW w:w="5118" w:type="dxa"/>
            <w:tcBorders>
              <w:top w:val="nil"/>
              <w:left w:val="single" w:sz="8" w:space="0" w:color="auto"/>
              <w:bottom w:val="single" w:sz="8" w:space="0" w:color="auto"/>
              <w:right w:val="single" w:sz="8" w:space="0" w:color="auto"/>
            </w:tcBorders>
            <w:shd w:val="thinDiagStripe" w:color="C0C0C0" w:fill="F1F1F1"/>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843"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c>
          <w:tcPr>
            <w:tcW w:w="993" w:type="dxa"/>
            <w:vMerge/>
            <w:tcBorders>
              <w:top w:val="nil"/>
              <w:left w:val="single" w:sz="8" w:space="0" w:color="auto"/>
              <w:bottom w:val="single" w:sz="8" w:space="0" w:color="000000"/>
              <w:right w:val="single" w:sz="8" w:space="0" w:color="auto"/>
            </w:tcBorders>
            <w:vAlign w:val="center"/>
            <w:hideMark/>
          </w:tcPr>
          <w:p>
            <w:pPr>
              <w:spacing w:before="0" w:after="0"/>
              <w:jc w:val="left"/>
              <w:rPr>
                <w:b/>
                <w:bCs/>
                <w:noProof/>
                <w:color w:val="000000"/>
                <w:sz w:val="22"/>
              </w:rPr>
            </w:pPr>
          </w:p>
        </w:tc>
      </w:tr>
    </w:tbl>
    <w:p>
      <w:pPr>
        <w:jc w:val="left"/>
        <w:rPr>
          <w:noProof/>
          <w:sz w:val="20"/>
        </w:rPr>
      </w:pPr>
    </w:p>
    <w:p>
      <w:pPr>
        <w:jc w:val="left"/>
        <w:rPr>
          <w:noProof/>
          <w:sz w:val="20"/>
        </w:rPr>
      </w:pPr>
    </w:p>
    <w:tbl>
      <w:tblPr>
        <w:tblW w:w="13827"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5463"/>
        <w:gridCol w:w="1843"/>
        <w:gridCol w:w="2410"/>
        <w:gridCol w:w="992"/>
        <w:gridCol w:w="992"/>
        <w:gridCol w:w="1134"/>
        <w:gridCol w:w="993"/>
      </w:tblGrid>
      <w:tr>
        <w:tc>
          <w:tcPr>
            <w:tcW w:w="5463"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KOPĀ apropriācijas</w:t>
            </w:r>
            <w:r>
              <w:rPr>
                <w:noProof/>
                <w:sz w:val="22"/>
              </w:rPr>
              <w:br/>
              <w:t>daudzgadu finanšu shēmas</w:t>
            </w:r>
            <w:r>
              <w:rPr>
                <w:noProof/>
                <w:sz w:val="22"/>
              </w:rPr>
              <w:br/>
            </w:r>
            <w:r>
              <w:rPr>
                <w:b/>
                <w:noProof/>
                <w:sz w:val="22"/>
              </w:rPr>
              <w:t>1.–4. IZDEVUMU KATEGORIJĀ</w:t>
            </w:r>
            <w:r>
              <w:rPr>
                <w:noProof/>
                <w:sz w:val="22"/>
              </w:rPr>
              <w:br/>
            </w:r>
            <w:r>
              <w:rPr>
                <w:noProof/>
                <w:sz w:val="20"/>
              </w:rPr>
              <w:t>(Pamatsumma)</w:t>
            </w:r>
          </w:p>
        </w:tc>
        <w:tc>
          <w:tcPr>
            <w:tcW w:w="1843" w:type="dxa"/>
            <w:vAlign w:val="center"/>
          </w:tcPr>
          <w:p>
            <w:pPr>
              <w:rPr>
                <w:noProof/>
                <w:sz w:val="18"/>
              </w:rPr>
            </w:pPr>
            <w:r>
              <w:rPr>
                <w:noProof/>
                <w:sz w:val="18"/>
              </w:rPr>
              <w:t>Saistības</w:t>
            </w:r>
          </w:p>
        </w:tc>
        <w:tc>
          <w:tcPr>
            <w:tcW w:w="2410" w:type="dxa"/>
            <w:vAlign w:val="center"/>
          </w:tcPr>
          <w:p>
            <w:pPr>
              <w:jc w:val="center"/>
              <w:rPr>
                <w:noProof/>
                <w:sz w:val="14"/>
              </w:rPr>
            </w:pPr>
            <w:r>
              <w:rPr>
                <w:noProof/>
                <w:sz w:val="14"/>
              </w:rPr>
              <w:t>=4+ 6</w:t>
            </w:r>
          </w:p>
        </w:tc>
        <w:tc>
          <w:tcPr>
            <w:tcW w:w="992" w:type="dxa"/>
            <w:vAlign w:val="center"/>
          </w:tcPr>
          <w:p>
            <w:pPr>
              <w:spacing w:before="20" w:after="20"/>
              <w:jc w:val="right"/>
              <w:rPr>
                <w:noProof/>
                <w:sz w:val="20"/>
              </w:rPr>
            </w:pPr>
            <w:r>
              <w:rPr>
                <w:noProof/>
                <w:sz w:val="20"/>
              </w:rPr>
              <w:t>40,000</w:t>
            </w:r>
          </w:p>
        </w:tc>
        <w:tc>
          <w:tcPr>
            <w:tcW w:w="992" w:type="dxa"/>
            <w:vAlign w:val="center"/>
          </w:tcPr>
          <w:p>
            <w:pPr>
              <w:spacing w:before="20" w:after="20"/>
              <w:jc w:val="right"/>
              <w:rPr>
                <w:noProof/>
                <w:sz w:val="20"/>
              </w:rPr>
            </w:pPr>
            <w:r>
              <w:rPr>
                <w:noProof/>
                <w:sz w:val="20"/>
              </w:rPr>
              <w:t>40,000</w:t>
            </w:r>
          </w:p>
        </w:tc>
        <w:tc>
          <w:tcPr>
            <w:tcW w:w="1134" w:type="dxa"/>
            <w:vAlign w:val="center"/>
          </w:tcPr>
          <w:p>
            <w:pPr>
              <w:spacing w:before="20" w:after="20"/>
              <w:jc w:val="right"/>
              <w:rPr>
                <w:b/>
                <w:noProof/>
                <w:sz w:val="20"/>
              </w:rPr>
            </w:pPr>
          </w:p>
        </w:tc>
        <w:tc>
          <w:tcPr>
            <w:tcW w:w="993" w:type="dxa"/>
            <w:tcBorders>
              <w:right w:val="single" w:sz="4" w:space="0" w:color="auto"/>
            </w:tcBorders>
            <w:vAlign w:val="center"/>
          </w:tcPr>
          <w:p>
            <w:pPr>
              <w:spacing w:before="20" w:after="20"/>
              <w:jc w:val="right"/>
              <w:rPr>
                <w:b/>
                <w:noProof/>
                <w:sz w:val="20"/>
              </w:rPr>
            </w:pPr>
            <w:r>
              <w:rPr>
                <w:b/>
                <w:noProof/>
                <w:sz w:val="20"/>
              </w:rPr>
              <w:t>80,000</w:t>
            </w:r>
          </w:p>
        </w:tc>
      </w:tr>
      <w:tr>
        <w:tc>
          <w:tcPr>
            <w:tcW w:w="5463"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843" w:type="dxa"/>
            <w:tcBorders>
              <w:bottom w:val="single" w:sz="4" w:space="0" w:color="FF0000"/>
            </w:tcBorders>
            <w:vAlign w:val="center"/>
          </w:tcPr>
          <w:p>
            <w:pPr>
              <w:rPr>
                <w:noProof/>
                <w:sz w:val="18"/>
              </w:rPr>
            </w:pPr>
            <w:r>
              <w:rPr>
                <w:noProof/>
                <w:sz w:val="18"/>
              </w:rPr>
              <w:t>Maksājumi</w:t>
            </w:r>
          </w:p>
        </w:tc>
        <w:tc>
          <w:tcPr>
            <w:tcW w:w="2410" w:type="dxa"/>
            <w:tcBorders>
              <w:bottom w:val="single" w:sz="4" w:space="0" w:color="FF0000"/>
            </w:tcBorders>
            <w:vAlign w:val="center"/>
          </w:tcPr>
          <w:p>
            <w:pPr>
              <w:jc w:val="center"/>
              <w:rPr>
                <w:noProof/>
                <w:sz w:val="14"/>
              </w:rPr>
            </w:pPr>
            <w:r>
              <w:rPr>
                <w:noProof/>
                <w:sz w:val="14"/>
              </w:rPr>
              <w:t>=5+ 6</w:t>
            </w:r>
          </w:p>
        </w:tc>
        <w:tc>
          <w:tcPr>
            <w:tcW w:w="992" w:type="dxa"/>
            <w:tcBorders>
              <w:bottom w:val="single" w:sz="4" w:space="0" w:color="FF0000"/>
            </w:tcBorders>
            <w:vAlign w:val="center"/>
          </w:tcPr>
          <w:p>
            <w:pPr>
              <w:spacing w:before="20" w:after="20"/>
              <w:jc w:val="right"/>
              <w:rPr>
                <w:noProof/>
                <w:sz w:val="20"/>
              </w:rPr>
            </w:pPr>
            <w:r>
              <w:rPr>
                <w:noProof/>
                <w:sz w:val="20"/>
              </w:rPr>
              <w:t>17,200</w:t>
            </w:r>
          </w:p>
        </w:tc>
        <w:tc>
          <w:tcPr>
            <w:tcW w:w="992" w:type="dxa"/>
            <w:tcBorders>
              <w:bottom w:val="single" w:sz="4" w:space="0" w:color="FF0000"/>
            </w:tcBorders>
            <w:vAlign w:val="center"/>
          </w:tcPr>
          <w:p>
            <w:pPr>
              <w:spacing w:before="20" w:after="20"/>
              <w:jc w:val="right"/>
              <w:rPr>
                <w:noProof/>
                <w:sz w:val="20"/>
              </w:rPr>
            </w:pPr>
            <w:r>
              <w:rPr>
                <w:noProof/>
                <w:sz w:val="20"/>
              </w:rPr>
              <w:t>28,600</w:t>
            </w:r>
          </w:p>
        </w:tc>
        <w:tc>
          <w:tcPr>
            <w:tcW w:w="1134" w:type="dxa"/>
            <w:tcBorders>
              <w:bottom w:val="single" w:sz="4" w:space="0" w:color="FF0000"/>
            </w:tcBorders>
            <w:vAlign w:val="center"/>
          </w:tcPr>
          <w:p>
            <w:pPr>
              <w:spacing w:before="20" w:after="20"/>
              <w:jc w:val="right"/>
              <w:rPr>
                <w:b/>
                <w:noProof/>
                <w:sz w:val="20"/>
              </w:rPr>
            </w:pPr>
            <w:r>
              <w:rPr>
                <w:b/>
                <w:noProof/>
                <w:sz w:val="20"/>
              </w:rPr>
              <w:t>34,200</w:t>
            </w:r>
          </w:p>
        </w:tc>
        <w:tc>
          <w:tcPr>
            <w:tcW w:w="993" w:type="dxa"/>
            <w:tcBorders>
              <w:bottom w:val="single" w:sz="4" w:space="0" w:color="FF0000"/>
              <w:right w:val="single" w:sz="4" w:space="0" w:color="auto"/>
            </w:tcBorders>
            <w:vAlign w:val="center"/>
          </w:tcPr>
          <w:p>
            <w:pPr>
              <w:spacing w:before="20" w:after="20"/>
              <w:jc w:val="right"/>
              <w:rPr>
                <w:b/>
                <w:noProof/>
                <w:sz w:val="20"/>
              </w:rPr>
            </w:pPr>
            <w:r>
              <w:rPr>
                <w:b/>
                <w:noProof/>
                <w:sz w:val="20"/>
              </w:rPr>
              <w:t>80,000</w:t>
            </w: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Daudzgadu finanšu shēmas </w:t>
            </w:r>
            <w:r>
              <w:rPr>
                <w:b/>
                <w:noProof/>
                <w:sz w:val="22"/>
              </w:rPr>
              <w:br/>
              <w:t xml:space="preserve">izdevumu kategorija: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“Administratīvie izdevumi”</w:t>
            </w:r>
          </w:p>
        </w:tc>
      </w:tr>
    </w:tbl>
    <w:p>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2019.</w:t>
            </w:r>
            <w:r>
              <w:rPr>
                <w:b/>
                <w:noProof/>
                <w:sz w:val="20"/>
              </w:rPr>
              <w:br/>
            </w:r>
            <w:r>
              <w:rPr>
                <w:noProof/>
                <w:sz w:val="20"/>
              </w:rPr>
              <w:t>gads</w:t>
            </w:r>
          </w:p>
        </w:tc>
        <w:tc>
          <w:tcPr>
            <w:tcW w:w="868" w:type="dxa"/>
            <w:vAlign w:val="center"/>
          </w:tcPr>
          <w:p>
            <w:pPr>
              <w:jc w:val="center"/>
              <w:rPr>
                <w:noProof/>
                <w:sz w:val="20"/>
              </w:rPr>
            </w:pPr>
            <w:r>
              <w:rPr>
                <w:b/>
                <w:noProof/>
                <w:sz w:val="20"/>
              </w:rPr>
              <w:t>2020.</w:t>
            </w:r>
            <w:r>
              <w:rPr>
                <w:b/>
                <w:noProof/>
                <w:sz w:val="20"/>
              </w:rPr>
              <w:br/>
              <w:t>gads</w:t>
            </w:r>
          </w:p>
        </w:tc>
        <w:tc>
          <w:tcPr>
            <w:tcW w:w="868" w:type="dxa"/>
            <w:vAlign w:val="center"/>
          </w:tcPr>
          <w:p>
            <w:pPr>
              <w:jc w:val="center"/>
              <w:rPr>
                <w:noProof/>
                <w:sz w:val="20"/>
              </w:rPr>
            </w:pP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 xml:space="preserve">Norādīt tik gadu, cik nepieciešams ietekmes ilguma atspoguļošanai (sk. 1.6. punktu) </w:t>
            </w:r>
          </w:p>
        </w:tc>
        <w:tc>
          <w:tcPr>
            <w:tcW w:w="1777" w:type="dxa"/>
            <w:vAlign w:val="center"/>
          </w:tcPr>
          <w:p>
            <w:pPr>
              <w:jc w:val="center"/>
              <w:rPr>
                <w:b/>
                <w:noProof/>
                <w:sz w:val="20"/>
              </w:rPr>
            </w:pPr>
            <w:r>
              <w:rPr>
                <w:b/>
                <w:noProof/>
                <w:sz w:val="20"/>
              </w:rPr>
              <w:t>KOPĀ</w:t>
            </w:r>
          </w:p>
        </w:tc>
      </w:tr>
      <w:tr>
        <w:trPr>
          <w:gridAfter w:val="10"/>
          <w:wAfter w:w="9947" w:type="dxa"/>
        </w:trPr>
        <w:tc>
          <w:tcPr>
            <w:tcW w:w="3960" w:type="dxa"/>
            <w:vAlign w:val="center"/>
          </w:tcPr>
          <w:p>
            <w:pPr>
              <w:spacing w:before="60" w:after="60"/>
              <w:jc w:val="center"/>
              <w:rPr>
                <w:noProof/>
              </w:rPr>
            </w:pPr>
            <w:r>
              <w:rPr>
                <w:noProof/>
                <w:sz w:val="22"/>
              </w:rPr>
              <w:t>ĢD: SG/SRSS</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Cilvēkresursi</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r>
              <w:rPr>
                <w:noProof/>
                <w:sz w:val="20"/>
              </w:rPr>
              <w:t>3,594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7,188</w:t>
            </w: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Pārējie administratīvie izdevumi</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r>
              <w:rPr>
                <w:rFonts w:ascii="Arial Narrow" w:hAnsi="Arial Narrow"/>
                <w:noProof/>
                <w:sz w:val="20"/>
              </w:rPr>
              <w:t>0,300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0,600</w:t>
            </w:r>
          </w:p>
        </w:tc>
      </w:tr>
      <w:tr>
        <w:tc>
          <w:tcPr>
            <w:tcW w:w="3960" w:type="dxa"/>
            <w:vAlign w:val="center"/>
          </w:tcPr>
          <w:p>
            <w:pPr>
              <w:jc w:val="center"/>
              <w:rPr>
                <w:b/>
                <w:noProof/>
              </w:rPr>
            </w:pPr>
            <w:r>
              <w:rPr>
                <w:b/>
                <w:noProof/>
                <w:sz w:val="22"/>
              </w:rPr>
              <w:t>KOPĀ ĢD</w:t>
            </w:r>
            <w:r>
              <w:rPr>
                <w:noProof/>
              </w:rPr>
              <w:t xml:space="preserve"> </w:t>
            </w:r>
            <w:r>
              <w:rPr>
                <w:noProof/>
                <w:sz w:val="22"/>
              </w:rPr>
              <w:t>SG/SRSS</w:t>
            </w:r>
          </w:p>
        </w:tc>
        <w:tc>
          <w:tcPr>
            <w:tcW w:w="2094" w:type="dxa"/>
            <w:gridSpan w:val="2"/>
            <w:vAlign w:val="center"/>
          </w:tcPr>
          <w:p>
            <w:pPr>
              <w:rPr>
                <w:noProof/>
                <w:sz w:val="14"/>
              </w:rPr>
            </w:pPr>
            <w:r>
              <w:rPr>
                <w:noProof/>
                <w:sz w:val="18"/>
              </w:rPr>
              <w:t xml:space="preserve">Apropriācijas </w:t>
            </w:r>
          </w:p>
        </w:tc>
        <w:tc>
          <w:tcPr>
            <w:tcW w:w="868" w:type="dxa"/>
            <w:vAlign w:val="center"/>
          </w:tcPr>
          <w:p>
            <w:pPr>
              <w:spacing w:before="60" w:after="6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KOPĀ apropriācijas</w:t>
            </w:r>
            <w:r>
              <w:rPr>
                <w:noProof/>
                <w:sz w:val="22"/>
              </w:rPr>
              <w:br/>
              <w:t>daudzgadu finanšu shēmas</w:t>
            </w:r>
            <w:r>
              <w:rPr>
                <w:noProof/>
                <w:sz w:val="22"/>
              </w:rPr>
              <w:br/>
            </w:r>
            <w:r>
              <w:rPr>
                <w:b/>
                <w:noProof/>
                <w:sz w:val="22"/>
              </w:rPr>
              <w:t xml:space="preserve">5. IZDEVUMU KATEGORIJĀ </w:t>
            </w:r>
          </w:p>
        </w:tc>
        <w:tc>
          <w:tcPr>
            <w:tcW w:w="2094" w:type="dxa"/>
            <w:vAlign w:val="center"/>
          </w:tcPr>
          <w:p>
            <w:pPr>
              <w:spacing w:before="40" w:after="40"/>
              <w:rPr>
                <w:noProof/>
              </w:rPr>
            </w:pPr>
            <w:r>
              <w:rPr>
                <w:noProof/>
                <w:sz w:val="18"/>
              </w:rPr>
              <w:t>(Saistību summa = maksājumu summa)</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r>
              <w:rPr>
                <w:noProof/>
                <w:sz w:val="20"/>
              </w:rPr>
              <w:t>3,894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7,788</w:t>
            </w:r>
          </w:p>
        </w:tc>
      </w:tr>
    </w:tbl>
    <w:p>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2019.</w:t>
            </w:r>
            <w:r>
              <w:rPr>
                <w:b/>
                <w:noProof/>
                <w:sz w:val="20"/>
              </w:rPr>
              <w:br/>
            </w:r>
            <w:r>
              <w:rPr>
                <w:noProof/>
                <w:sz w:val="20"/>
              </w:rPr>
              <w:t>gads</w:t>
            </w:r>
          </w:p>
        </w:tc>
        <w:tc>
          <w:tcPr>
            <w:tcW w:w="868" w:type="dxa"/>
            <w:vAlign w:val="center"/>
          </w:tcPr>
          <w:p>
            <w:pPr>
              <w:jc w:val="center"/>
              <w:rPr>
                <w:noProof/>
                <w:sz w:val="20"/>
              </w:rPr>
            </w:pPr>
            <w:r>
              <w:rPr>
                <w:b/>
                <w:noProof/>
                <w:sz w:val="20"/>
              </w:rPr>
              <w:t>2020.</w:t>
            </w:r>
            <w:r>
              <w:rPr>
                <w:b/>
                <w:noProof/>
                <w:sz w:val="20"/>
              </w:rPr>
              <w:br/>
            </w:r>
            <w:r>
              <w:rPr>
                <w:noProof/>
                <w:sz w:val="20"/>
              </w:rPr>
              <w:t>gads</w:t>
            </w:r>
          </w:p>
        </w:tc>
        <w:tc>
          <w:tcPr>
            <w:tcW w:w="868" w:type="dxa"/>
            <w:vAlign w:val="center"/>
          </w:tcPr>
          <w:p>
            <w:pPr>
              <w:jc w:val="center"/>
              <w:rPr>
                <w:noProof/>
                <w:sz w:val="20"/>
              </w:rPr>
            </w:pPr>
            <w:r>
              <w:rPr>
                <w:noProof/>
                <w:color w:val="000000"/>
                <w:sz w:val="20"/>
              </w:rPr>
              <w:t>2021. un 2022. gads</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Norādīt tik gadu, cik nepieciešams ietekmes ilguma atspoguļošanai (sk. 1.6. punktu)</w:t>
            </w:r>
          </w:p>
        </w:tc>
        <w:tc>
          <w:tcPr>
            <w:tcW w:w="1777" w:type="dxa"/>
            <w:vAlign w:val="center"/>
          </w:tcPr>
          <w:p>
            <w:pPr>
              <w:jc w:val="center"/>
              <w:rPr>
                <w:b/>
                <w:noProof/>
                <w:sz w:val="20"/>
              </w:rPr>
            </w:pPr>
            <w:r>
              <w:rPr>
                <w:b/>
                <w:noProof/>
                <w:sz w:val="20"/>
              </w:rPr>
              <w:t>KOPĀ</w:t>
            </w:r>
          </w:p>
        </w:tc>
      </w:tr>
      <w:tr>
        <w:tc>
          <w:tcPr>
            <w:tcW w:w="3960" w:type="dxa"/>
            <w:vMerge w:val="restart"/>
            <w:shd w:val="clear" w:color="auto" w:fill="C0C0C0"/>
            <w:vAlign w:val="center"/>
          </w:tcPr>
          <w:p>
            <w:pPr>
              <w:jc w:val="center"/>
              <w:rPr>
                <w:b/>
                <w:noProof/>
              </w:rPr>
            </w:pPr>
            <w:r>
              <w:rPr>
                <w:b/>
                <w:noProof/>
                <w:sz w:val="22"/>
              </w:rPr>
              <w:t>KOPĀ apropriācijas</w:t>
            </w:r>
            <w:r>
              <w:rPr>
                <w:noProof/>
                <w:sz w:val="22"/>
              </w:rPr>
              <w:br/>
              <w:t>daudzgadu finanšu shēmas</w:t>
            </w:r>
            <w:r>
              <w:rPr>
                <w:noProof/>
                <w:sz w:val="22"/>
              </w:rPr>
              <w:br/>
            </w:r>
            <w:r>
              <w:rPr>
                <w:b/>
                <w:noProof/>
                <w:sz w:val="22"/>
              </w:rPr>
              <w:t xml:space="preserve">1.–5. IZDEVUMU KATEGORIJĀ </w:t>
            </w:r>
          </w:p>
        </w:tc>
        <w:tc>
          <w:tcPr>
            <w:tcW w:w="2094" w:type="dxa"/>
            <w:gridSpan w:val="2"/>
            <w:vAlign w:val="center"/>
          </w:tcPr>
          <w:p>
            <w:pPr>
              <w:rPr>
                <w:noProof/>
                <w:sz w:val="14"/>
              </w:rPr>
            </w:pPr>
            <w:r>
              <w:rPr>
                <w:noProof/>
                <w:sz w:val="18"/>
              </w:rPr>
              <w:t>Saistības</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r>
              <w:rPr>
                <w:noProof/>
                <w:sz w:val="20"/>
              </w:rPr>
              <w:t>43,894</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868" w:type="dxa"/>
            <w:vAlign w:val="center"/>
          </w:tcPr>
          <w:p>
            <w:pPr>
              <w:spacing w:before="60" w:after="60"/>
              <w:jc w:val="right"/>
              <w:rPr>
                <w:noProof/>
                <w:sz w:val="20"/>
              </w:rPr>
            </w:pPr>
            <w:r>
              <w:rPr>
                <w:noProof/>
                <w:sz w:val="20"/>
              </w:rPr>
              <w:t>21,094</w:t>
            </w:r>
          </w:p>
        </w:tc>
        <w:tc>
          <w:tcPr>
            <w:tcW w:w="868" w:type="dxa"/>
            <w:vAlign w:val="center"/>
          </w:tcPr>
          <w:p>
            <w:pPr>
              <w:spacing w:before="60" w:after="60"/>
              <w:jc w:val="right"/>
              <w:rPr>
                <w:noProof/>
                <w:sz w:val="20"/>
              </w:rPr>
            </w:pPr>
            <w:r>
              <w:rPr>
                <w:noProof/>
                <w:sz w:val="20"/>
              </w:rPr>
              <w:t>32,494</w:t>
            </w:r>
          </w:p>
        </w:tc>
        <w:tc>
          <w:tcPr>
            <w:tcW w:w="868" w:type="dxa"/>
            <w:vAlign w:val="center"/>
          </w:tcPr>
          <w:p>
            <w:pPr>
              <w:spacing w:before="60" w:after="60"/>
              <w:jc w:val="right"/>
              <w:rPr>
                <w:noProof/>
                <w:sz w:val="20"/>
              </w:rPr>
            </w:pPr>
            <w:r>
              <w:rPr>
                <w:noProof/>
                <w:sz w:val="20"/>
              </w:rPr>
              <w:t>34,200</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87,788</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Paredzamā ietekme uz darbības apropriācijām </w:t>
      </w:r>
    </w:p>
    <w:p>
      <w:pPr>
        <w:pStyle w:val="ListDash1"/>
        <w:rPr>
          <w:noProof/>
        </w:rPr>
      </w:pPr>
      <w:r>
        <w:rPr>
          <w:noProof/>
        </w:rPr>
        <w:sym w:font="Wingdings" w:char="F0A8"/>
      </w:r>
      <w:r>
        <w:rPr>
          <w:noProof/>
        </w:rPr>
        <w:tab/>
        <w:t xml:space="preserve">Priekšlikums/iniciatīva neparedz izmantot darbības apropriācijas </w:t>
      </w:r>
    </w:p>
    <w:p>
      <w:pPr>
        <w:pStyle w:val="ListDash1"/>
        <w:rPr>
          <w:noProof/>
        </w:rPr>
      </w:pPr>
      <w:r>
        <w:rPr>
          <w:noProof/>
        </w:rPr>
        <w:sym w:font="Wingdings" w:char="F0FC"/>
      </w:r>
      <w:r>
        <w:rPr>
          <w:noProof/>
        </w:rPr>
        <w:tab/>
        <w:t>Priekšlikums/iniciatīva paredz darbības apropriācijas izmantot šādā veidā:</w:t>
      </w:r>
    </w:p>
    <w:p>
      <w:pPr>
        <w:jc w:val="right"/>
        <w:rPr>
          <w:noProof/>
          <w:sz w:val="20"/>
        </w:rPr>
      </w:pPr>
      <w:r>
        <w:rPr>
          <w:noProof/>
          <w:sz w:val="20"/>
        </w:rPr>
        <w:t>Saistību apropriācijas EUR miljonos (trīs zīmes aiz komata)</w:t>
      </w:r>
    </w:p>
    <w:tbl>
      <w:tblPr>
        <w:tblW w:w="10040" w:type="dxa"/>
        <w:tblInd w:w="93" w:type="dxa"/>
        <w:tblLook w:val="04A0" w:firstRow="1" w:lastRow="0" w:firstColumn="1" w:lastColumn="0" w:noHBand="0" w:noVBand="1"/>
      </w:tblPr>
      <w:tblGrid>
        <w:gridCol w:w="1091"/>
        <w:gridCol w:w="1980"/>
        <w:gridCol w:w="1240"/>
        <w:gridCol w:w="960"/>
        <w:gridCol w:w="960"/>
        <w:gridCol w:w="960"/>
        <w:gridCol w:w="960"/>
        <w:gridCol w:w="960"/>
        <w:gridCol w:w="1060"/>
      </w:tblGrid>
      <w:tr>
        <w:trPr>
          <w:gridAfter w:val="1"/>
          <w:wAfter w:w="1060" w:type="dxa"/>
          <w:trHeight w:val="975"/>
        </w:trPr>
        <w:tc>
          <w:tcPr>
            <w:tcW w:w="960" w:type="dxa"/>
            <w:tcBorders>
              <w:top w:val="single" w:sz="8" w:space="0" w:color="auto"/>
              <w:left w:val="single" w:sz="8" w:space="0" w:color="auto"/>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 xml:space="preserve">Norādīt mērķus un rezultātus </w:t>
            </w:r>
          </w:p>
        </w:tc>
        <w:tc>
          <w:tcPr>
            <w:tcW w:w="3220" w:type="dxa"/>
            <w:gridSpan w:val="2"/>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b/>
                <w:noProof/>
                <w:color w:val="000000"/>
                <w:sz w:val="18"/>
              </w:rPr>
              <w:t>2019.</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b/>
                <w:noProof/>
                <w:color w:val="000000"/>
                <w:sz w:val="18"/>
              </w:rPr>
              <w:t>2020.</w:t>
            </w:r>
          </w:p>
        </w:tc>
        <w:tc>
          <w:tcPr>
            <w:tcW w:w="960" w:type="dxa"/>
            <w:tcBorders>
              <w:top w:val="single" w:sz="8" w:space="0" w:color="auto"/>
              <w:left w:val="nil"/>
              <w:bottom w:val="nil"/>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KOPĀ</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 </w:t>
            </w:r>
          </w:p>
        </w:tc>
        <w:tc>
          <w:tcPr>
            <w:tcW w:w="3220" w:type="dxa"/>
            <w:gridSpan w:val="2"/>
            <w:vMerge/>
            <w:tcBorders>
              <w:top w:val="nil"/>
              <w:left w:val="single" w:sz="8" w:space="0" w:color="auto"/>
              <w:bottom w:val="single" w:sz="8" w:space="0" w:color="auto"/>
              <w:right w:val="nil"/>
            </w:tcBorders>
            <w:vAlign w:val="center"/>
            <w:hideMark/>
          </w:tcPr>
          <w:p>
            <w:pPr>
              <w:spacing w:before="0" w:after="0"/>
              <w:jc w:val="left"/>
              <w:rPr>
                <w:noProof/>
                <w:color w:val="000000"/>
                <w:sz w:val="18"/>
                <w:szCs w:val="18"/>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noProof/>
                <w:color w:val="000000"/>
                <w:sz w:val="18"/>
              </w:rPr>
              <w:t>gads</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pPr>
              <w:spacing w:before="0" w:after="0"/>
              <w:jc w:val="center"/>
              <w:rPr>
                <w:b/>
                <w:bCs/>
                <w:noProof/>
                <w:color w:val="000000"/>
                <w:sz w:val="18"/>
                <w:szCs w:val="18"/>
              </w:rPr>
            </w:pPr>
            <w:r>
              <w:rPr>
                <w:noProof/>
                <w:color w:val="000000"/>
                <w:sz w:val="18"/>
              </w:rPr>
              <w:t>gads</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left"/>
              <w:rPr>
                <w:b/>
                <w:bCs/>
                <w:noProof/>
                <w:color w:val="000000"/>
                <w:sz w:val="18"/>
                <w:szCs w:val="18"/>
              </w:rPr>
            </w:pPr>
            <w:r>
              <w:rPr>
                <w:b/>
                <w:noProof/>
                <w:color w:val="000000"/>
                <w:sz w:val="18"/>
              </w:rPr>
              <w:t> </w:t>
            </w:r>
          </w:p>
        </w:tc>
      </w:tr>
      <w:tr>
        <w:trPr>
          <w:trHeight w:val="315"/>
        </w:trPr>
        <w:tc>
          <w:tcPr>
            <w:tcW w:w="960" w:type="dxa"/>
            <w:tcBorders>
              <w:top w:val="nil"/>
              <w:left w:val="single" w:sz="8" w:space="0" w:color="auto"/>
              <w:bottom w:val="nil"/>
              <w:right w:val="nil"/>
            </w:tcBorders>
            <w:shd w:val="clear" w:color="auto" w:fill="auto"/>
            <w:vAlign w:val="center"/>
            <w:hideMark/>
          </w:tcPr>
          <w:p>
            <w:pPr>
              <w:spacing w:before="0" w:after="0"/>
              <w:jc w:val="center"/>
              <w:rPr>
                <w:rFonts w:ascii="Wingdings" w:hAnsi="Wingdings" w:cs="Calibri"/>
                <w:noProof/>
                <w:color w:val="000000"/>
                <w:sz w:val="18"/>
                <w:szCs w:val="18"/>
              </w:rPr>
            </w:pPr>
            <w:r>
              <w:rPr>
                <w:rFonts w:ascii="Wingdings" w:hAnsi="Wingdings" w:cs="Calibri"/>
                <w:noProof/>
                <w:color w:val="000000"/>
                <w:sz w:val="18"/>
                <w:szCs w:val="18"/>
              </w:rPr>
              <w:t></w:t>
            </w:r>
          </w:p>
        </w:tc>
        <w:tc>
          <w:tcPr>
            <w:tcW w:w="9080" w:type="dxa"/>
            <w:gridSpan w:val="8"/>
            <w:tcBorders>
              <w:top w:val="nil"/>
              <w:left w:val="nil"/>
              <w:bottom w:val="nil"/>
              <w:right w:val="nil"/>
            </w:tcBorders>
            <w:shd w:val="clear" w:color="auto" w:fill="auto"/>
            <w:vAlign w:val="center"/>
            <w:hideMark/>
          </w:tcPr>
          <w:p>
            <w:pPr>
              <w:spacing w:before="0" w:after="0"/>
              <w:jc w:val="center"/>
              <w:rPr>
                <w:b/>
                <w:bCs/>
                <w:noProof/>
                <w:color w:val="000000"/>
                <w:sz w:val="18"/>
                <w:szCs w:val="18"/>
              </w:rPr>
            </w:pPr>
            <w:r>
              <w:rPr>
                <w:b/>
                <w:noProof/>
                <w:color w:val="000000"/>
                <w:sz w:val="18"/>
              </w:rPr>
              <w:t>REZULTĀTI</w:t>
            </w:r>
          </w:p>
        </w:tc>
      </w:tr>
      <w:tr>
        <w:trPr>
          <w:gridAfter w:val="1"/>
          <w:wAfter w:w="1060" w:type="dxa"/>
          <w:trHeight w:val="315"/>
        </w:trPr>
        <w:tc>
          <w:tcPr>
            <w:tcW w:w="960" w:type="dxa"/>
            <w:tcBorders>
              <w:top w:val="nil"/>
              <w:left w:val="single" w:sz="8" w:space="0" w:color="auto"/>
              <w:bottom w:val="nil"/>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rFonts w:ascii="Calibri" w:hAnsi="Calibri" w:cs="Calibri"/>
                <w:noProof/>
                <w:color w:val="0000FF"/>
                <w:sz w:val="22"/>
                <w:u w:val="single"/>
              </w:rPr>
            </w:pPr>
            <w:r>
              <w:rPr>
                <w:rFonts w:ascii="Calibri" w:hAnsi="Calibri"/>
                <w:noProof/>
                <w:color w:val="0000FF"/>
                <w:sz w:val="22"/>
                <w:u w:val="single"/>
              </w:rPr>
              <w:t>Rezultāta veids [1]</w:t>
            </w:r>
          </w:p>
        </w:tc>
        <w:tc>
          <w:tcPr>
            <w:tcW w:w="1240" w:type="dxa"/>
            <w:tcBorders>
              <w:top w:val="single" w:sz="8" w:space="0" w:color="auto"/>
              <w:left w:val="nil"/>
              <w:bottom w:val="nil"/>
              <w:right w:val="nil"/>
            </w:tcBorders>
            <w:shd w:val="clear" w:color="auto" w:fill="auto"/>
            <w:vAlign w:val="center"/>
            <w:hideMark/>
          </w:tcPr>
          <w:p>
            <w:pPr>
              <w:spacing w:before="0" w:after="0"/>
              <w:jc w:val="left"/>
              <w:rPr>
                <w:noProof/>
                <w:color w:val="000000"/>
                <w:sz w:val="18"/>
                <w:szCs w:val="18"/>
              </w:rPr>
            </w:pPr>
            <w:r>
              <w:rPr>
                <w:noProof/>
                <w:color w:val="000000"/>
                <w:sz w:val="18"/>
              </w:rPr>
              <w:t>Rezultāta vidējās izmaksas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Nē</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Izmaksas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pPr>
              <w:spacing w:before="0" w:after="0"/>
              <w:jc w:val="center"/>
              <w:rPr>
                <w:noProof/>
                <w:color w:val="000000"/>
                <w:sz w:val="18"/>
                <w:szCs w:val="18"/>
              </w:rPr>
            </w:pPr>
            <w:r>
              <w:rPr>
                <w:noProof/>
                <w:color w:val="000000"/>
                <w:sz w:val="18"/>
              </w:rPr>
              <w:t>Nē</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Izmaksas</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Kopējās izmaksas</w:t>
            </w:r>
          </w:p>
        </w:tc>
      </w:tr>
      <w:tr>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pPr>
              <w:spacing w:before="0" w:after="0"/>
              <w:jc w:val="left"/>
              <w:rPr>
                <w:rFonts w:ascii="Calibri" w:hAnsi="Calibri" w:cs="Calibri"/>
                <w:noProof/>
                <w:color w:val="000000"/>
                <w:szCs w:val="24"/>
              </w:rPr>
            </w:pPr>
            <w:r>
              <w:rPr>
                <w:rFonts w:ascii="Calibri" w:hAnsi="Calibri"/>
                <w:noProof/>
                <w:color w:val="000000"/>
              </w:rPr>
              <w:t> </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rFonts w:ascii="Calibri" w:hAnsi="Calibri" w:cs="Calibri"/>
                <w:noProof/>
                <w:color w:val="0000FF"/>
                <w:sz w:val="22"/>
                <w:u w:val="single"/>
              </w:rPr>
            </w:pP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pPr>
              <w:spacing w:before="0" w:after="0"/>
              <w:jc w:val="left"/>
              <w:rPr>
                <w:noProof/>
                <w:color w:val="000000"/>
                <w:sz w:val="18"/>
                <w:szCs w:val="18"/>
              </w:rPr>
            </w:pPr>
          </w:p>
        </w:tc>
      </w:tr>
      <w:tr>
        <w:trPr>
          <w:trHeight w:val="315"/>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KONKRĒTAIS MĒRĶIS Nr. 1…</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Atbalstīt valsts iestāžu iniciatīvas, lai tās spētu izstrādāt reformas atbilstoši prioritātēm, ņemot vērā sākotnējos nosacījumus un paredzamo sociālekonomisko ietekmi</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A</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rPr>
                <w:noProof/>
                <w:color w:val="000000"/>
                <w:sz w:val="16"/>
                <w:szCs w:val="16"/>
              </w:rPr>
            </w:pPr>
            <w:r>
              <w:rPr>
                <w:noProof/>
                <w:color w:val="000000"/>
                <w:sz w:val="16"/>
              </w:rPr>
              <w:t>To analītisko izvērtējumu skaits, kuros ir atbalstīta valsts reformu nozare</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50-60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6,720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B</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Ekspertu skaits</w:t>
            </w:r>
          </w:p>
        </w:tc>
        <w:tc>
          <w:tcPr>
            <w:tcW w:w="1240" w:type="dxa"/>
            <w:tcBorders>
              <w:top w:val="nil"/>
              <w:left w:val="nil"/>
              <w:bottom w:val="single" w:sz="8" w:space="0" w:color="auto"/>
              <w:right w:val="nil"/>
            </w:tcBorders>
            <w:shd w:val="clear" w:color="auto" w:fill="auto"/>
            <w:vAlign w:val="center"/>
            <w:hideMark/>
          </w:tcPr>
          <w:p>
            <w:pPr>
              <w:spacing w:before="0" w:after="0"/>
              <w:jc w:val="left"/>
              <w:rPr>
                <w:noProof/>
                <w:color w:val="000000"/>
                <w:sz w:val="18"/>
                <w:szCs w:val="18"/>
              </w:rPr>
            </w:pPr>
            <w:r>
              <w:rPr>
                <w:noProof/>
                <w:color w:val="000000"/>
                <w:sz w:val="18"/>
              </w:rPr>
              <w:t>0,00115</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0,092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0,184</w:t>
            </w:r>
          </w:p>
        </w:tc>
      </w:tr>
      <w:tr>
        <w:trPr>
          <w:gridAfter w:val="1"/>
          <w:wAfter w:w="1060" w:type="dxa"/>
          <w:trHeight w:val="330"/>
        </w:trPr>
        <w:tc>
          <w:tcPr>
            <w:tcW w:w="4180" w:type="dxa"/>
            <w:gridSpan w:val="3"/>
            <w:tcBorders>
              <w:top w:val="single" w:sz="8" w:space="0" w:color="auto"/>
              <w:left w:val="single" w:sz="8" w:space="0" w:color="auto"/>
              <w:bottom w:val="single" w:sz="8" w:space="0" w:color="auto"/>
              <w:right w:val="nil"/>
            </w:tcBorders>
            <w:shd w:val="clear" w:color="auto" w:fill="auto"/>
            <w:vAlign w:val="center"/>
            <w:hideMark/>
          </w:tcPr>
          <w:p>
            <w:pPr>
              <w:spacing w:before="0" w:after="0"/>
              <w:jc w:val="center"/>
              <w:rPr>
                <w:noProof/>
                <w:color w:val="000000"/>
                <w:sz w:val="18"/>
                <w:szCs w:val="18"/>
              </w:rPr>
            </w:pPr>
            <w:r>
              <w:rPr>
                <w:noProof/>
                <w:color w:val="000000"/>
                <w:sz w:val="18"/>
              </w:rPr>
              <w:t>Starpsumma – konkrētais mērķis Nr. 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3,452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6,904</w:t>
            </w:r>
          </w:p>
        </w:tc>
      </w:tr>
      <w:tr>
        <w:trPr>
          <w:trHeight w:val="315"/>
        </w:trPr>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p>
            <w:pPr>
              <w:spacing w:before="0" w:after="0"/>
              <w:jc w:val="left"/>
              <w:rPr>
                <w:rFonts w:ascii="Calibri" w:hAnsi="Calibri" w:cs="Calibri"/>
                <w:noProof/>
                <w:color w:val="000000"/>
                <w:sz w:val="22"/>
              </w:rPr>
            </w:pPr>
          </w:p>
        </w:tc>
        <w:tc>
          <w:tcPr>
            <w:tcW w:w="198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24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c>
          <w:tcPr>
            <w:tcW w:w="1060" w:type="dxa"/>
            <w:tcBorders>
              <w:top w:val="nil"/>
              <w:left w:val="nil"/>
              <w:bottom w:val="nil"/>
              <w:right w:val="nil"/>
            </w:tcBorders>
            <w:shd w:val="clear" w:color="auto" w:fill="auto"/>
            <w:noWrap/>
            <w:vAlign w:val="bottom"/>
            <w:hideMark/>
          </w:tcPr>
          <w:p>
            <w:pPr>
              <w:spacing w:before="0" w:after="0"/>
              <w:jc w:val="left"/>
              <w:rPr>
                <w:rFonts w:ascii="Calibri" w:hAnsi="Calibri" w:cs="Calibri"/>
                <w:noProof/>
                <w:color w:val="000000"/>
                <w:sz w:val="22"/>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nil"/>
              <w:bottom w:val="nil"/>
              <w:right w:val="nil"/>
            </w:tcBorders>
            <w:shd w:val="clear" w:color="auto" w:fill="auto"/>
            <w:vAlign w:val="center"/>
            <w:hideMark/>
          </w:tcPr>
          <w:p>
            <w:pPr>
              <w:spacing w:before="0" w:after="0"/>
              <w:jc w:val="left"/>
              <w:rPr>
                <w:rFonts w:ascii="Calibri" w:hAnsi="Calibri" w:cs="Calibri"/>
                <w:noProof/>
                <w:color w:val="000000"/>
                <w:sz w:val="22"/>
              </w:rPr>
            </w:pPr>
          </w:p>
        </w:tc>
      </w:tr>
      <w:tr>
        <w:trPr>
          <w:trHeight w:val="315"/>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KONKRĒTAIS MĒRĶIS Nr. 2…</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Atbalstīt valsts iestādes, lai uzlabotu to spēju formulēt, izstrādāt un īstenot reformu politiku un stratēģijas un izmantot integrētu pieeju, kas nodrošina mērķu un izmantoto līdzekļu konsekvenci starp nozarēm</w:t>
            </w:r>
          </w:p>
        </w:tc>
        <w:tc>
          <w:tcPr>
            <w:tcW w:w="3940" w:type="dxa"/>
            <w:gridSpan w:val="4"/>
            <w:vMerge/>
            <w:tcBorders>
              <w:top w:val="nil"/>
              <w:left w:val="nil"/>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C</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Ekspertu skaits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0,282</w:t>
            </w:r>
          </w:p>
        </w:tc>
      </w:tr>
      <w:tr>
        <w:trPr>
          <w:gridAfter w:val="1"/>
          <w:wAfter w:w="1060" w:type="dxa"/>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D</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Sagatavoto un īstenoto ceļvežu un rīcības plānu skaits pa nozarēm un valstīm</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3,125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6,250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E</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Specifiskas zināšanas sniedzošu dienestu skaits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25-30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0,390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0,780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F</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Atbalstīto projektu skaits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10,800</w:t>
            </w:r>
          </w:p>
        </w:tc>
      </w:tr>
      <w:tr>
        <w:trPr>
          <w:trHeight w:val="330"/>
        </w:trPr>
        <w:tc>
          <w:tcPr>
            <w:tcW w:w="41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Starpsumma – konkrētais mērķis Nr. 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9,056</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18,112</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 </w:t>
            </w:r>
          </w:p>
        </w:tc>
        <w:tc>
          <w:tcPr>
            <w:tcW w:w="3940" w:type="dxa"/>
            <w:gridSpan w:val="4"/>
            <w:vMerge w:val="restart"/>
            <w:tcBorders>
              <w:top w:val="nil"/>
              <w:left w:val="single" w:sz="8" w:space="0" w:color="000000"/>
              <w:bottom w:val="nil"/>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r>
      <w:tr>
        <w:trPr>
          <w:trHeight w:val="420"/>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6"/>
                <w:szCs w:val="16"/>
              </w:rPr>
            </w:pPr>
            <w:r>
              <w:rPr>
                <w:b/>
                <w:noProof/>
                <w:color w:val="000000"/>
                <w:sz w:val="16"/>
              </w:rPr>
              <w:t>Atbalstīt valsts iestāžu centienus noteikt un īstenot piemērotus procesus un metodes, ņemot vērā labu praksi un pieredzi, ko guvušas citas valstis, kuras saskārušās ar līdzīgām situācijām</w:t>
            </w:r>
          </w:p>
        </w:tc>
        <w:tc>
          <w:tcPr>
            <w:tcW w:w="3940" w:type="dxa"/>
            <w:gridSpan w:val="4"/>
            <w:vMerge/>
            <w:tcBorders>
              <w:top w:val="nil"/>
              <w:left w:val="single" w:sz="8" w:space="0" w:color="000000"/>
              <w:bottom w:val="nil"/>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G</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Ekspertu skaits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220-240</w:t>
            </w:r>
          </w:p>
        </w:tc>
        <w:tc>
          <w:tcPr>
            <w:tcW w:w="960" w:type="dxa"/>
            <w:tcBorders>
              <w:top w:val="single" w:sz="8" w:space="0" w:color="auto"/>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0,251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0,502</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H</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Atbalstīto projektu skaits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7,200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14,400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I</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Atbalstīto projektu skaits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J</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Specifiskas zināšanas sniedzošu dienestu skaits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90-95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1,380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2,760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Starpsumma – konkrētais mērķis Nr. 3</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nil"/>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11,531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23,062</w:t>
            </w:r>
          </w:p>
        </w:tc>
      </w:tr>
      <w:tr>
        <w:trPr>
          <w:trHeight w:val="33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KONKRĒTAIS MĒRĶIS Nr. 4…</w:t>
            </w:r>
          </w:p>
        </w:tc>
        <w:tc>
          <w:tcPr>
            <w:tcW w:w="2880" w:type="dxa"/>
            <w:gridSpan w:val="3"/>
            <w:vMerge w:val="restart"/>
            <w:tcBorders>
              <w:top w:val="single" w:sz="8" w:space="0" w:color="auto"/>
              <w:left w:val="single" w:sz="8" w:space="0" w:color="000000"/>
              <w:bottom w:val="single" w:sz="8" w:space="0" w:color="000000"/>
              <w:right w:val="nil"/>
            </w:tcBorders>
            <w:shd w:val="clear" w:color="auto" w:fill="auto"/>
            <w:vAlign w:val="center"/>
            <w:hideMark/>
          </w:tcPr>
          <w:p>
            <w:pPr>
              <w:spacing w:before="0" w:after="0"/>
              <w:jc w:val="left"/>
              <w:rPr>
                <w:rFonts w:ascii="Calibri" w:hAnsi="Calibri" w:cs="Calibri"/>
                <w:noProof/>
                <w:color w:val="000000"/>
                <w:sz w:val="22"/>
              </w:rPr>
            </w:pPr>
            <w:r>
              <w:rPr>
                <w:rFonts w:ascii="Calibri" w:hAnsi="Calibri"/>
                <w:noProof/>
                <w:color w:val="000000"/>
                <w:sz w:val="22"/>
              </w:rPr>
              <w:t> </w:t>
            </w:r>
          </w:p>
        </w:tc>
        <w:tc>
          <w:tcPr>
            <w:tcW w:w="1060" w:type="dxa"/>
            <w:tcBorders>
              <w:top w:val="nil"/>
              <w:left w:val="nil"/>
              <w:bottom w:val="nil"/>
              <w:right w:val="nil"/>
            </w:tcBorders>
            <w:shd w:val="clear" w:color="auto" w:fill="auto"/>
            <w:vAlign w:val="center"/>
            <w:hideMark/>
          </w:tcPr>
          <w:p>
            <w:pPr>
              <w:spacing w:before="0" w:after="0"/>
              <w:rPr>
                <w:noProof/>
                <w:color w:val="000000"/>
                <w:szCs w:val="24"/>
              </w:rPr>
            </w:pPr>
          </w:p>
        </w:tc>
      </w:tr>
      <w:tr>
        <w:trPr>
          <w:gridAfter w:val="1"/>
          <w:wAfter w:w="1060" w:type="dxa"/>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b/>
                <w:bCs/>
                <w:noProof/>
                <w:color w:val="000000"/>
                <w:sz w:val="18"/>
                <w:szCs w:val="18"/>
              </w:rPr>
            </w:pPr>
            <w:r>
              <w:rPr>
                <w:b/>
                <w:noProof/>
                <w:color w:val="000000"/>
                <w:sz w:val="18"/>
              </w:rPr>
              <w:t>Palīdzēt valsts iestādēm palielināt cilvēkresursu pārvaldības efektivitāti un lietderību, vajadzības gadījumā skaidri nosakot atbildības jomas un uzlabojot profesionālās zināšanas un prasmes</w:t>
            </w:r>
          </w:p>
        </w:tc>
        <w:tc>
          <w:tcPr>
            <w:tcW w:w="2880" w:type="dxa"/>
            <w:gridSpan w:val="3"/>
            <w:vMerge/>
            <w:tcBorders>
              <w:top w:val="single" w:sz="8" w:space="0" w:color="auto"/>
              <w:left w:val="single" w:sz="8" w:space="0" w:color="000000"/>
              <w:bottom w:val="single" w:sz="8" w:space="0" w:color="000000"/>
              <w:right w:val="nil"/>
            </w:tcBorders>
            <w:vAlign w:val="center"/>
            <w:hideMark/>
          </w:tcPr>
          <w:p>
            <w:pPr>
              <w:spacing w:before="0" w:after="0"/>
              <w:jc w:val="left"/>
              <w:rPr>
                <w:rFonts w:ascii="Calibri" w:hAnsi="Calibri" w:cs="Calibri"/>
                <w:noProof/>
                <w:color w:val="000000"/>
                <w:sz w:val="22"/>
              </w:rPr>
            </w:pP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K</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Apmācības pasākumu/semināru skaits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40-50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3,200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6,400</w:t>
            </w:r>
          </w:p>
        </w:tc>
      </w:tr>
      <w:tr>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L</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Ekspertu skaits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0,00115</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100-150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0,161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0,322</w:t>
            </w:r>
          </w:p>
        </w:tc>
      </w:tr>
      <w:tr>
        <w:trPr>
          <w:gridAfter w:val="1"/>
          <w:wAfter w:w="1060" w:type="dxa"/>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M</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Atbalstīto projektu skaits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sz w:val="18"/>
                <w:szCs w:val="18"/>
              </w:rPr>
            </w:pPr>
            <w:r>
              <w:rPr>
                <w:b/>
                <w:noProof/>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sz w:val="18"/>
                <w:szCs w:val="18"/>
              </w:rPr>
            </w:pPr>
            <w:r>
              <w:rPr>
                <w:noProof/>
                <w:sz w:val="18"/>
              </w:rPr>
              <w:t>10-12</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9,900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19,800</w:t>
            </w:r>
          </w:p>
        </w:tc>
      </w:tr>
      <w:tr>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Rezultāts N</w:t>
            </w:r>
          </w:p>
        </w:tc>
        <w:tc>
          <w:tcPr>
            <w:tcW w:w="198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6"/>
                <w:szCs w:val="16"/>
              </w:rPr>
            </w:pPr>
            <w:r>
              <w:rPr>
                <w:noProof/>
                <w:color w:val="000000"/>
                <w:sz w:val="16"/>
              </w:rPr>
              <w:t>Atbalstīto projektu skaits</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0,150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18</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2,700</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5,400</w:t>
            </w:r>
          </w:p>
        </w:tc>
      </w:tr>
      <w:tr>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noProof/>
                <w:color w:val="000000"/>
                <w:sz w:val="18"/>
                <w:szCs w:val="18"/>
              </w:rPr>
            </w:pPr>
            <w:r>
              <w:rPr>
                <w:noProof/>
                <w:color w:val="000000"/>
                <w:sz w:val="18"/>
              </w:rPr>
              <w:t>Starpsumma – konkrētais mērķis Nr. 4</w:t>
            </w:r>
          </w:p>
        </w:tc>
        <w:tc>
          <w:tcPr>
            <w:tcW w:w="124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noProof/>
                <w:color w:val="000000"/>
                <w:sz w:val="18"/>
                <w:szCs w:val="18"/>
              </w:rPr>
            </w:pPr>
            <w:r>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FF0000"/>
                <w:sz w:val="18"/>
                <w:szCs w:val="18"/>
              </w:rPr>
            </w:pPr>
            <w:r>
              <w:rPr>
                <w:b/>
                <w:noProof/>
                <w:color w:val="FF0000"/>
                <w:sz w:val="18"/>
              </w:rPr>
              <w:t>15,961</w:t>
            </w:r>
          </w:p>
        </w:tc>
        <w:tc>
          <w:tcPr>
            <w:tcW w:w="960" w:type="dxa"/>
            <w:tcBorders>
              <w:top w:val="nil"/>
              <w:left w:val="nil"/>
              <w:bottom w:val="single" w:sz="8" w:space="0" w:color="auto"/>
              <w:right w:val="single" w:sz="8" w:space="0" w:color="auto"/>
            </w:tcBorders>
            <w:shd w:val="clear" w:color="auto" w:fill="auto"/>
            <w:vAlign w:val="center"/>
            <w:hideMark/>
          </w:tcPr>
          <w:p>
            <w:pPr>
              <w:spacing w:before="0" w:after="0"/>
              <w:jc w:val="center"/>
              <w:rPr>
                <w:b/>
                <w:bCs/>
                <w:noProof/>
                <w:color w:val="000000"/>
                <w:sz w:val="18"/>
                <w:szCs w:val="18"/>
              </w:rPr>
            </w:pPr>
            <w:r>
              <w:rPr>
                <w:b/>
                <w:noProof/>
                <w:color w:val="000000"/>
                <w:sz w:val="18"/>
              </w:rPr>
              <w:t>31,922</w:t>
            </w:r>
          </w:p>
        </w:tc>
      </w:tr>
    </w:tbl>
    <w:p>
      <w:pPr>
        <w:jc w:val="lef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Paredzamā ietekme uz administratīvajām apropriācijām</w:t>
      </w:r>
    </w:p>
    <w:p>
      <w:pPr>
        <w:pStyle w:val="ManualHeading4"/>
        <w:rPr>
          <w:noProof/>
        </w:rPr>
      </w:pPr>
      <w:r>
        <w:t>3.2.3.1.</w:t>
      </w:r>
      <w:r>
        <w:tab/>
      </w:r>
      <w:r>
        <w:rPr>
          <w:noProof/>
        </w:rPr>
        <w:t xml:space="preserve">Kopsavilkums </w:t>
      </w:r>
    </w:p>
    <w:p>
      <w:pPr>
        <w:pStyle w:val="ListDash1"/>
        <w:rPr>
          <w:noProof/>
        </w:rPr>
      </w:pPr>
      <w:r>
        <w:rPr>
          <w:noProof/>
        </w:rPr>
        <w:sym w:font="Wingdings" w:char="F0A8"/>
      </w:r>
      <w:r>
        <w:rPr>
          <w:noProof/>
        </w:rPr>
        <w:tab/>
        <w:t xml:space="preserve">Priekšlikums/iniciatīva neparedz izmantot administratīvās apropriācijas </w:t>
      </w:r>
    </w:p>
    <w:p>
      <w:pPr>
        <w:pStyle w:val="ListDash1"/>
        <w:rPr>
          <w:noProof/>
        </w:rPr>
      </w:pPr>
      <w:r>
        <w:rPr>
          <w:noProof/>
        </w:rPr>
        <w:sym w:font="Wingdings" w:char="F0FC"/>
      </w:r>
      <w:r>
        <w:rPr>
          <w:noProof/>
        </w:rPr>
        <w:tab/>
        <w:t>Priekšlikums/iniciatīva paredz izmantot administratīvās apropriācijas šādā veidā:</w:t>
      </w:r>
    </w:p>
    <w:p>
      <w:pPr>
        <w:rPr>
          <w:noProof/>
          <w:sz w:val="20"/>
        </w:rPr>
      </w:pPr>
      <w:r>
        <w:rPr>
          <w:noProof/>
          <w:sz w:val="20"/>
        </w:rPr>
        <w:t>EUR miljonos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2019.</w:t>
            </w:r>
            <w:r>
              <w:rPr>
                <w:b/>
                <w:noProof/>
                <w:sz w:val="16"/>
              </w:rPr>
              <w:br/>
            </w:r>
            <w:r>
              <w:rPr>
                <w:noProof/>
                <w:sz w:val="16"/>
              </w:rPr>
              <w:t>gads</w:t>
            </w:r>
            <w:r>
              <w:rPr>
                <w:rStyle w:val="FootnoteReference"/>
                <w:noProof/>
                <w:sz w:val="16"/>
              </w:rPr>
              <w:footnoteReference w:id="13"/>
            </w:r>
          </w:p>
        </w:tc>
        <w:tc>
          <w:tcPr>
            <w:tcW w:w="1080" w:type="dxa"/>
            <w:vAlign w:val="center"/>
          </w:tcPr>
          <w:p>
            <w:pPr>
              <w:spacing w:before="60" w:after="60" w:line="200" w:lineRule="exact"/>
              <w:jc w:val="center"/>
              <w:rPr>
                <w:noProof/>
                <w:sz w:val="16"/>
                <w:szCs w:val="16"/>
              </w:rPr>
            </w:pPr>
            <w:r>
              <w:rPr>
                <w:b/>
                <w:noProof/>
                <w:sz w:val="16"/>
              </w:rPr>
              <w:t>2020.</w:t>
            </w:r>
            <w:r>
              <w:rPr>
                <w:b/>
                <w:noProof/>
                <w:sz w:val="16"/>
              </w:rPr>
              <w:br/>
            </w:r>
            <w:r>
              <w:rPr>
                <w:noProof/>
                <w:sz w:val="16"/>
              </w:rPr>
              <w:t>gads</w:t>
            </w:r>
          </w:p>
        </w:tc>
        <w:tc>
          <w:tcPr>
            <w:tcW w:w="1080" w:type="dxa"/>
            <w:vAlign w:val="center"/>
          </w:tcPr>
          <w:p>
            <w:pPr>
              <w:spacing w:before="60" w:after="60" w:line="200" w:lineRule="exact"/>
              <w:jc w:val="center"/>
              <w:rPr>
                <w:noProof/>
                <w:sz w:val="16"/>
                <w:szCs w:val="16"/>
              </w:rPr>
            </w:pPr>
            <w:r>
              <w:rPr>
                <w:b/>
                <w:noProof/>
                <w:sz w:val="16"/>
              </w:rPr>
              <w:t>N+2</w:t>
            </w:r>
            <w:r>
              <w:rPr>
                <w:b/>
                <w:noProof/>
                <w:sz w:val="16"/>
              </w:rPr>
              <w:br/>
            </w:r>
            <w:r>
              <w:rPr>
                <w:noProof/>
                <w:sz w:val="16"/>
              </w:rPr>
              <w:t>gads</w:t>
            </w:r>
          </w:p>
        </w:tc>
        <w:tc>
          <w:tcPr>
            <w:tcW w:w="1080" w:type="dxa"/>
            <w:vAlign w:val="center"/>
          </w:tcPr>
          <w:p>
            <w:pPr>
              <w:spacing w:before="60" w:after="60" w:line="200" w:lineRule="exact"/>
              <w:jc w:val="center"/>
              <w:rPr>
                <w:noProof/>
                <w:sz w:val="16"/>
                <w:szCs w:val="16"/>
              </w:rPr>
            </w:pPr>
            <w:r>
              <w:rPr>
                <w:b/>
                <w:noProof/>
                <w:sz w:val="16"/>
              </w:rPr>
              <w:t>N+3</w:t>
            </w:r>
            <w:r>
              <w:rPr>
                <w:b/>
                <w:noProof/>
                <w:sz w:val="16"/>
              </w:rPr>
              <w:br/>
            </w:r>
            <w:r>
              <w:rPr>
                <w:noProof/>
                <w:sz w:val="16"/>
              </w:rPr>
              <w:t>gads</w:t>
            </w:r>
          </w:p>
        </w:tc>
        <w:tc>
          <w:tcPr>
            <w:tcW w:w="3240" w:type="dxa"/>
            <w:vAlign w:val="center"/>
          </w:tcPr>
          <w:p>
            <w:pPr>
              <w:spacing w:line="200" w:lineRule="exact"/>
              <w:jc w:val="center"/>
              <w:rPr>
                <w:b/>
                <w:noProof/>
                <w:sz w:val="16"/>
                <w:szCs w:val="16"/>
              </w:rPr>
            </w:pPr>
            <w:r>
              <w:rPr>
                <w:noProof/>
                <w:sz w:val="16"/>
              </w:rPr>
              <w:t>Norādīt tik gadu, cik nepieciešams ietekmes ilguma atspoguļošanai (sk. 1.6. punktu)</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Daudzgadu finanšu shēmas</w:t>
            </w:r>
            <w:r>
              <w:rPr>
                <w:noProof/>
                <w:sz w:val="22"/>
              </w:rPr>
              <w:br/>
            </w:r>
            <w:r>
              <w:rPr>
                <w:b/>
                <w:noProof/>
                <w:sz w:val="16"/>
              </w:rPr>
              <w:t>5. IZDEVUMU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r>
              <w:rPr>
                <w:noProof/>
                <w:sz w:val="20"/>
              </w:rPr>
              <w:t>3,594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7,188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Pārējie administratīvie izdevumi </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r>
              <w:rPr>
                <w:rFonts w:ascii="Arial Narrow" w:hAnsi="Arial Narrow"/>
                <w:noProof/>
                <w:sz w:val="20"/>
              </w:rPr>
              <w:t>0,300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0,600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Starpsumma daudzgadu finanšu shēmas</w:t>
            </w:r>
            <w:r>
              <w:rPr>
                <w:noProof/>
                <w:sz w:val="22"/>
              </w:rPr>
              <w:br/>
            </w:r>
            <w:r>
              <w:rPr>
                <w:b/>
                <w:noProof/>
                <w:sz w:val="16"/>
              </w:rPr>
              <w:t xml:space="preserve">5. IZDEVUMU KATEGORIJA </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r>
              <w:rPr>
                <w:noProof/>
                <w:sz w:val="20"/>
              </w:rPr>
              <w:t>3,894</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7,788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Ārpus daudzgadu finanšu shēmas</w:t>
            </w:r>
            <w:r>
              <w:rPr>
                <w:rStyle w:val="FootnoteReference"/>
                <w:b/>
                <w:noProof/>
                <w:sz w:val="16"/>
              </w:rPr>
              <w:footnoteReference w:id="14"/>
            </w:r>
            <w:r>
              <w:rPr>
                <w:noProof/>
                <w:sz w:val="22"/>
              </w:rPr>
              <w:br/>
            </w:r>
            <w:r>
              <w:rPr>
                <w:b/>
                <w:noProof/>
                <w:sz w:val="16"/>
              </w:rPr>
              <w:t xml:space="preserve">5. IZDEVUMU KATEGORIJAS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Pārējie</w:t>
            </w:r>
            <w:r>
              <w:rPr>
                <w:noProof/>
                <w:sz w:val="22"/>
              </w:rPr>
              <w:br/>
            </w:r>
            <w:r>
              <w:rPr>
                <w:noProof/>
                <w:sz w:val="16"/>
              </w:rPr>
              <w:t>administratīvie izdevumi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Starpsumma</w:t>
            </w:r>
            <w:r>
              <w:rPr>
                <w:noProof/>
                <w:sz w:val="22"/>
              </w:rPr>
              <w:br/>
            </w:r>
            <w:r>
              <w:rPr>
                <w:b/>
                <w:noProof/>
                <w:sz w:val="16"/>
              </w:rPr>
              <w:t>ārpus daudzgadu finanšu shēmas</w:t>
            </w:r>
            <w:r>
              <w:rPr>
                <w:noProof/>
                <w:sz w:val="22"/>
              </w:rPr>
              <w:br/>
            </w:r>
            <w:r>
              <w:rPr>
                <w:b/>
                <w:noProof/>
                <w:sz w:val="16"/>
              </w:rPr>
              <w:t xml:space="preserve">5. IZDEVUMU KATEGORIJAS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7,788</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p>
    <w:p>
      <w:pPr>
        <w:pStyle w:val="ManualHeading4"/>
        <w:rPr>
          <w:bCs/>
          <w:noProof/>
          <w:szCs w:val="24"/>
        </w:rPr>
      </w:pPr>
      <w:r>
        <w:t>3.2.3.2.</w:t>
      </w:r>
      <w:r>
        <w:tab/>
      </w:r>
      <w:r>
        <w:rPr>
          <w:noProof/>
        </w:rPr>
        <w:t>Paredzamās vajadzības pēc cilvēkresursiem</w:t>
      </w:r>
    </w:p>
    <w:p>
      <w:pPr>
        <w:pStyle w:val="ListDash1"/>
        <w:rPr>
          <w:noProof/>
        </w:rPr>
      </w:pPr>
      <w:r>
        <w:rPr>
          <w:noProof/>
        </w:rPr>
        <w:sym w:font="Wingdings" w:char="F0A8"/>
      </w:r>
      <w:r>
        <w:rPr>
          <w:noProof/>
        </w:rPr>
        <w:tab/>
        <w:t xml:space="preserve">Priekšlikums/iniciatīva neparedz cilvēkresursu izmantošanu </w:t>
      </w:r>
    </w:p>
    <w:p>
      <w:pPr>
        <w:pStyle w:val="ListDash1"/>
        <w:rPr>
          <w:noProof/>
        </w:rPr>
      </w:pPr>
      <w:r>
        <w:rPr>
          <w:noProof/>
        </w:rPr>
        <w:sym w:font="Wingdings" w:char="F0FC"/>
      </w:r>
      <w:r>
        <w:rPr>
          <w:noProof/>
        </w:rPr>
        <w:tab/>
        <w:t>Priekšlikums/iniciatīva paredz cilvēkresursu izmantošanu šādā veidā:</w:t>
      </w:r>
    </w:p>
    <w:p>
      <w:pPr>
        <w:spacing w:after="60"/>
        <w:jc w:val="right"/>
        <w:rPr>
          <w:i/>
          <w:noProof/>
          <w:sz w:val="20"/>
        </w:rPr>
      </w:pPr>
      <w:r>
        <w:rPr>
          <w:i/>
          <w:noProof/>
          <w:sz w:val="20"/>
        </w:rPr>
        <w:t>Aplēse izsakāma ar pilnslodzes ekvivalentu</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
        <w:gridCol w:w="1953"/>
        <w:gridCol w:w="1955"/>
        <w:gridCol w:w="655"/>
        <w:gridCol w:w="655"/>
        <w:gridCol w:w="3669"/>
        <w:gridCol w:w="597"/>
        <w:gridCol w:w="334"/>
        <w:gridCol w:w="237"/>
        <w:gridCol w:w="237"/>
      </w:tblGrid>
      <w:tr>
        <w:trPr>
          <w:gridBefore w:val="1"/>
          <w:wBefore w:w="4"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b/>
                <w:noProof/>
                <w:sz w:val="16"/>
              </w:rPr>
              <w:t>2019.</w:t>
            </w:r>
            <w:r>
              <w:rPr>
                <w:b/>
                <w:noProof/>
                <w:sz w:val="16"/>
              </w:rPr>
              <w:br/>
            </w:r>
            <w:r>
              <w:rPr>
                <w:noProof/>
                <w:sz w:val="16"/>
              </w:rPr>
              <w:t>gads</w:t>
            </w:r>
          </w:p>
        </w:tc>
        <w:tc>
          <w:tcPr>
            <w:tcW w:w="318" w:type="pct"/>
            <w:shd w:val="clear" w:color="auto" w:fill="auto"/>
            <w:vAlign w:val="center"/>
          </w:tcPr>
          <w:p>
            <w:pPr>
              <w:spacing w:before="20" w:after="20"/>
              <w:jc w:val="center"/>
              <w:rPr>
                <w:noProof/>
                <w:sz w:val="16"/>
                <w:szCs w:val="16"/>
              </w:rPr>
            </w:pPr>
            <w:r>
              <w:rPr>
                <w:b/>
                <w:noProof/>
                <w:sz w:val="16"/>
              </w:rPr>
              <w:t>2020.</w:t>
            </w:r>
            <w:r>
              <w:rPr>
                <w:b/>
                <w:noProof/>
                <w:sz w:val="16"/>
              </w:rPr>
              <w:br/>
            </w:r>
            <w:r>
              <w:rPr>
                <w:noProof/>
                <w:sz w:val="16"/>
              </w:rPr>
              <w:t>gads</w:t>
            </w:r>
          </w:p>
        </w:tc>
        <w:tc>
          <w:tcPr>
            <w:tcW w:w="1781" w:type="pct"/>
            <w:shd w:val="clear" w:color="auto" w:fill="auto"/>
            <w:vAlign w:val="center"/>
          </w:tcPr>
          <w:p>
            <w:pPr>
              <w:spacing w:before="20" w:after="20"/>
              <w:jc w:val="center"/>
              <w:rPr>
                <w:noProof/>
                <w:sz w:val="16"/>
                <w:szCs w:val="16"/>
              </w:rPr>
            </w:pPr>
            <w:r>
              <w:rPr>
                <w:b/>
                <w:noProof/>
                <w:sz w:val="16"/>
              </w:rPr>
              <w:t>N+2</w:t>
            </w:r>
            <w:r>
              <w:rPr>
                <w:noProof/>
                <w:sz w:val="16"/>
              </w:rPr>
              <w:t xml:space="preserve"> gads</w:t>
            </w:r>
          </w:p>
        </w:tc>
        <w:tc>
          <w:tcPr>
            <w:tcW w:w="290" w:type="pct"/>
            <w:shd w:val="clear" w:color="auto" w:fill="auto"/>
            <w:vAlign w:val="center"/>
          </w:tcPr>
          <w:p>
            <w:pPr>
              <w:spacing w:before="20" w:after="20"/>
              <w:jc w:val="center"/>
              <w:rPr>
                <w:noProof/>
                <w:sz w:val="16"/>
                <w:szCs w:val="16"/>
              </w:rPr>
            </w:pPr>
            <w:r>
              <w:rPr>
                <w:b/>
                <w:noProof/>
                <w:sz w:val="16"/>
              </w:rPr>
              <w:t>N+3</w:t>
            </w:r>
            <w:r>
              <w:rPr>
                <w:noProof/>
                <w:sz w:val="16"/>
              </w:rPr>
              <w:t xml:space="preserve"> gads</w:t>
            </w:r>
          </w:p>
        </w:tc>
        <w:tc>
          <w:tcPr>
            <w:tcW w:w="392" w:type="pct"/>
            <w:gridSpan w:val="3"/>
            <w:shd w:val="clear" w:color="auto" w:fill="auto"/>
            <w:vAlign w:val="center"/>
          </w:tcPr>
          <w:p>
            <w:pPr>
              <w:jc w:val="center"/>
              <w:rPr>
                <w:b/>
                <w:noProof/>
                <w:sz w:val="16"/>
                <w:szCs w:val="16"/>
              </w:rPr>
            </w:pPr>
            <w:r>
              <w:rPr>
                <w:noProof/>
                <w:sz w:val="16"/>
              </w:rPr>
              <w:t>Norādīt tik gadu, cik nepieciešams ietekmes ilguma atspoguļošanai (sk. 1.6. punktu)</w:t>
            </w:r>
          </w:p>
        </w:tc>
      </w:tr>
      <w:tr>
        <w:trPr>
          <w:gridBefore w:val="1"/>
          <w:wBefore w:w="4" w:type="pct"/>
          <w:trHeight w:val="289"/>
          <w:jc w:val="center"/>
        </w:trPr>
        <w:tc>
          <w:tcPr>
            <w:tcW w:w="4314" w:type="pct"/>
            <w:gridSpan w:val="5"/>
            <w:shd w:val="clear" w:color="auto" w:fill="auto"/>
          </w:tcPr>
          <w:p>
            <w:pPr>
              <w:spacing w:before="20" w:after="20"/>
              <w:rPr>
                <w:noProof/>
                <w:sz w:val="16"/>
                <w:szCs w:val="16"/>
              </w:rPr>
            </w:pPr>
            <w:r>
              <w:rPr>
                <w:b/>
                <w:noProof/>
                <w:sz w:val="16"/>
              </w:rPr>
              <w:sym w:font="Wingdings" w:char="F09F"/>
            </w:r>
            <w:r>
              <w:rPr>
                <w:b/>
                <w:noProof/>
                <w:sz w:val="16"/>
              </w:rPr>
              <w:t>Štatu sarakstā ietvertās amata vietas (ierēdņi un pagaidu darbinieki)</w:t>
            </w:r>
          </w:p>
        </w:tc>
        <w:tc>
          <w:tcPr>
            <w:tcW w:w="290" w:type="pct"/>
            <w:shd w:val="clear" w:color="auto" w:fill="auto"/>
            <w:vAlign w:val="center"/>
          </w:tcPr>
          <w:p>
            <w:pPr>
              <w:spacing w:before="20" w:after="20"/>
              <w:jc w:val="center"/>
              <w:rPr>
                <w:noProof/>
                <w:sz w:val="16"/>
                <w:szCs w:val="16"/>
              </w:rPr>
            </w:pPr>
          </w:p>
        </w:tc>
        <w:tc>
          <w:tcPr>
            <w:tcW w:w="392" w:type="pct"/>
            <w:gridSpan w:val="3"/>
            <w:shd w:val="clear" w:color="auto" w:fill="auto"/>
            <w:vAlign w:val="center"/>
          </w:tcPr>
          <w:p>
            <w:pPr>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(Galvenā mītne un Komisijas pārstāvniecības)</w:t>
            </w:r>
          </w:p>
        </w:tc>
        <w:tc>
          <w:tcPr>
            <w:tcW w:w="318" w:type="pct"/>
            <w:shd w:val="clear" w:color="auto" w:fill="auto"/>
            <w:vAlign w:val="center"/>
          </w:tcPr>
          <w:p>
            <w:pPr>
              <w:spacing w:beforeLines="20" w:before="48" w:afterLines="20" w:after="48"/>
              <w:jc w:val="center"/>
              <w:rPr>
                <w:noProof/>
                <w:sz w:val="16"/>
                <w:szCs w:val="16"/>
              </w:rPr>
            </w:pPr>
            <w:r>
              <w:rPr>
                <w:noProof/>
                <w:sz w:val="16"/>
              </w:rPr>
              <w:t>23</w:t>
            </w:r>
          </w:p>
        </w:tc>
        <w:tc>
          <w:tcPr>
            <w:tcW w:w="318" w:type="pct"/>
            <w:shd w:val="clear" w:color="auto" w:fill="auto"/>
            <w:vAlign w:val="center"/>
          </w:tcPr>
          <w:p>
            <w:pPr>
              <w:spacing w:beforeLines="20" w:before="48" w:afterLines="20" w:after="48"/>
              <w:jc w:val="center"/>
              <w:rPr>
                <w:noProof/>
                <w:sz w:val="16"/>
                <w:szCs w:val="16"/>
              </w:rPr>
            </w:pPr>
            <w:r>
              <w:rPr>
                <w:noProof/>
                <w:sz w:val="16"/>
              </w:rPr>
              <w:t>23</w:t>
            </w:r>
          </w:p>
        </w:tc>
        <w:tc>
          <w:tcPr>
            <w:tcW w:w="1781" w:type="pct"/>
            <w:shd w:val="clear" w:color="auto" w:fill="auto"/>
            <w:vAlign w:val="center"/>
          </w:tcPr>
          <w:p>
            <w:pPr>
              <w:spacing w:beforeLines="20" w:before="48" w:afterLines="20" w:after="48"/>
              <w:jc w:val="center"/>
              <w:rPr>
                <w:noProof/>
                <w:sz w:val="16"/>
                <w:szCs w:val="16"/>
              </w:rPr>
            </w:pPr>
          </w:p>
        </w:tc>
        <w:tc>
          <w:tcPr>
            <w:tcW w:w="290" w:type="pct"/>
            <w:shd w:val="clear" w:color="auto" w:fill="auto"/>
            <w:vAlign w:val="center"/>
          </w:tcPr>
          <w:p>
            <w:pPr>
              <w:spacing w:beforeLines="20" w:before="48" w:afterLines="20" w:after="48"/>
              <w:jc w:val="center"/>
              <w:rPr>
                <w:noProof/>
                <w:sz w:val="16"/>
                <w:szCs w:val="16"/>
              </w:rPr>
            </w:pPr>
          </w:p>
        </w:tc>
        <w:tc>
          <w:tcPr>
            <w:tcW w:w="162"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1" w:type="pct"/>
            <w:shd w:val="clear" w:color="auto" w:fill="auto"/>
            <w:vAlign w:val="center"/>
          </w:tcPr>
          <w:p>
            <w:pPr>
              <w:spacing w:beforeLines="20" w:before="48" w:afterLines="20" w:after="48"/>
              <w:jc w:val="center"/>
              <w:rPr>
                <w:noProof/>
                <w:sz w:val="16"/>
                <w:szCs w:val="16"/>
              </w:rPr>
            </w:pPr>
          </w:p>
        </w:tc>
        <w:tc>
          <w:tcPr>
            <w:tcW w:w="290" w:type="pct"/>
            <w:shd w:val="clear" w:color="auto" w:fill="auto"/>
            <w:vAlign w:val="center"/>
          </w:tcPr>
          <w:p>
            <w:pPr>
              <w:spacing w:beforeLines="20" w:before="48" w:afterLines="20" w:after="48"/>
              <w:jc w:val="center"/>
              <w:rPr>
                <w:noProof/>
                <w:sz w:val="16"/>
                <w:szCs w:val="16"/>
              </w:rPr>
            </w:pPr>
          </w:p>
        </w:tc>
        <w:tc>
          <w:tcPr>
            <w:tcW w:w="162"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1" w:type="pct"/>
            <w:shd w:val="clear" w:color="auto" w:fill="auto"/>
            <w:vAlign w:val="center"/>
          </w:tcPr>
          <w:p>
            <w:pPr>
              <w:spacing w:beforeLines="20" w:before="48" w:afterLines="20" w:after="48"/>
              <w:jc w:val="center"/>
              <w:rPr>
                <w:noProof/>
                <w:sz w:val="16"/>
                <w:szCs w:val="16"/>
              </w:rPr>
            </w:pPr>
          </w:p>
        </w:tc>
        <w:tc>
          <w:tcPr>
            <w:tcW w:w="290" w:type="pct"/>
            <w:shd w:val="clear" w:color="auto" w:fill="auto"/>
            <w:vAlign w:val="center"/>
          </w:tcPr>
          <w:p>
            <w:pPr>
              <w:spacing w:beforeLines="20" w:before="48" w:afterLines="20" w:after="48"/>
              <w:jc w:val="center"/>
              <w:rPr>
                <w:noProof/>
                <w:sz w:val="16"/>
                <w:szCs w:val="16"/>
              </w:rPr>
            </w:pPr>
          </w:p>
        </w:tc>
        <w:tc>
          <w:tcPr>
            <w:tcW w:w="162"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1" w:type="pct"/>
            <w:shd w:val="clear" w:color="auto" w:fill="auto"/>
            <w:vAlign w:val="center"/>
          </w:tcPr>
          <w:p>
            <w:pPr>
              <w:spacing w:beforeLines="20" w:before="48" w:afterLines="20" w:after="48"/>
              <w:jc w:val="center"/>
              <w:rPr>
                <w:noProof/>
                <w:sz w:val="16"/>
                <w:szCs w:val="16"/>
              </w:rPr>
            </w:pPr>
          </w:p>
        </w:tc>
        <w:tc>
          <w:tcPr>
            <w:tcW w:w="290" w:type="pct"/>
            <w:shd w:val="clear" w:color="auto" w:fill="auto"/>
            <w:vAlign w:val="center"/>
          </w:tcPr>
          <w:p>
            <w:pPr>
              <w:spacing w:beforeLines="20" w:before="48" w:afterLines="20" w:after="48"/>
              <w:jc w:val="center"/>
              <w:rPr>
                <w:noProof/>
                <w:sz w:val="16"/>
                <w:szCs w:val="16"/>
              </w:rPr>
            </w:pPr>
          </w:p>
        </w:tc>
        <w:tc>
          <w:tcPr>
            <w:tcW w:w="162"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683" w:type="pct"/>
          <w:trHeight w:val="248"/>
          <w:jc w:val="center"/>
        </w:trPr>
        <w:tc>
          <w:tcPr>
            <w:tcW w:w="4317"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Ārštata darbinieki (izsakot ar pilnslodzes ekvivalentu – FTE)</w:t>
            </w:r>
            <w:r>
              <w:rPr>
                <w:rStyle w:val="FootnoteReference"/>
                <w:b/>
                <w:noProof/>
                <w:sz w:val="16"/>
              </w:rPr>
              <w:footnoteReference w:id="15"/>
            </w:r>
          </w:p>
          <w:p>
            <w:pPr>
              <w:pStyle w:val="Text1"/>
              <w:spacing w:before="0" w:after="0"/>
              <w:ind w:left="0"/>
              <w:jc w:val="left"/>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(CA, SNE, INT, ko finansē no vispārīgajām apropriācijām)</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318" w:type="pct"/>
            <w:shd w:val="clear" w:color="auto" w:fill="auto"/>
            <w:vAlign w:val="center"/>
          </w:tcPr>
          <w:p>
            <w:pPr>
              <w:spacing w:beforeLines="20" w:before="48" w:afterLines="20" w:after="48"/>
              <w:jc w:val="center"/>
              <w:rPr>
                <w:noProof/>
                <w:sz w:val="16"/>
                <w:szCs w:val="16"/>
              </w:rPr>
            </w:pPr>
            <w:r>
              <w:rPr>
                <w:noProof/>
                <w:sz w:val="16"/>
              </w:rPr>
              <w:t>6</w:t>
            </w:r>
          </w:p>
        </w:tc>
        <w:tc>
          <w:tcPr>
            <w:tcW w:w="1781" w:type="pct"/>
            <w:shd w:val="clear" w:color="auto" w:fill="auto"/>
            <w:vAlign w:val="center"/>
          </w:tcPr>
          <w:p>
            <w:pPr>
              <w:spacing w:beforeLines="20" w:before="48" w:afterLines="20" w:after="48"/>
              <w:jc w:val="center"/>
              <w:rPr>
                <w:noProof/>
                <w:sz w:val="16"/>
                <w:szCs w:val="16"/>
              </w:rPr>
            </w:pPr>
          </w:p>
        </w:tc>
        <w:tc>
          <w:tcPr>
            <w:tcW w:w="290" w:type="pct"/>
            <w:shd w:val="clear" w:color="auto" w:fill="auto"/>
            <w:vAlign w:val="center"/>
          </w:tcPr>
          <w:p>
            <w:pPr>
              <w:spacing w:beforeLines="20" w:before="48" w:afterLines="20" w:after="48"/>
              <w:jc w:val="center"/>
              <w:rPr>
                <w:noProof/>
                <w:sz w:val="16"/>
                <w:szCs w:val="16"/>
              </w:rPr>
            </w:pPr>
          </w:p>
        </w:tc>
        <w:tc>
          <w:tcPr>
            <w:tcW w:w="162"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(CA, LA, SNE, INT un JED delegācijās)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1" w:type="pct"/>
            <w:shd w:val="clear" w:color="auto" w:fill="auto"/>
            <w:vAlign w:val="center"/>
          </w:tcPr>
          <w:p>
            <w:pPr>
              <w:spacing w:beforeLines="20" w:before="48" w:afterLines="20" w:after="48"/>
              <w:jc w:val="center"/>
              <w:rPr>
                <w:noProof/>
                <w:sz w:val="16"/>
                <w:szCs w:val="16"/>
              </w:rPr>
            </w:pPr>
          </w:p>
        </w:tc>
        <w:tc>
          <w:tcPr>
            <w:tcW w:w="290" w:type="pct"/>
            <w:shd w:val="clear" w:color="auto" w:fill="auto"/>
            <w:vAlign w:val="center"/>
          </w:tcPr>
          <w:p>
            <w:pPr>
              <w:spacing w:beforeLines="20" w:before="48" w:afterLines="20" w:after="48"/>
              <w:jc w:val="center"/>
              <w:rPr>
                <w:noProof/>
                <w:sz w:val="16"/>
                <w:szCs w:val="16"/>
              </w:rPr>
            </w:pPr>
          </w:p>
        </w:tc>
        <w:tc>
          <w:tcPr>
            <w:tcW w:w="162"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6"/>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1" w:type="pct"/>
            <w:shd w:val="clear" w:color="auto" w:fill="auto"/>
            <w:vAlign w:val="center"/>
          </w:tcPr>
          <w:p>
            <w:pPr>
              <w:spacing w:beforeLines="20" w:before="48" w:afterLines="20" w:after="48"/>
              <w:jc w:val="center"/>
              <w:rPr>
                <w:noProof/>
                <w:sz w:val="16"/>
                <w:szCs w:val="16"/>
              </w:rPr>
            </w:pPr>
          </w:p>
        </w:tc>
        <w:tc>
          <w:tcPr>
            <w:tcW w:w="290" w:type="pct"/>
            <w:shd w:val="clear" w:color="auto" w:fill="auto"/>
            <w:vAlign w:val="center"/>
          </w:tcPr>
          <w:p>
            <w:pPr>
              <w:spacing w:beforeLines="20" w:before="48" w:afterLines="20" w:after="48"/>
              <w:jc w:val="center"/>
              <w:rPr>
                <w:noProof/>
                <w:sz w:val="16"/>
                <w:szCs w:val="16"/>
              </w:rPr>
            </w:pPr>
          </w:p>
        </w:tc>
        <w:tc>
          <w:tcPr>
            <w:tcW w:w="162"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1" w:type="pct"/>
            <w:shd w:val="clear" w:color="auto" w:fill="auto"/>
            <w:vAlign w:val="center"/>
          </w:tcPr>
          <w:p>
            <w:pPr>
              <w:spacing w:beforeLines="20" w:before="48" w:afterLines="20" w:after="48"/>
              <w:jc w:val="center"/>
              <w:rPr>
                <w:noProof/>
                <w:sz w:val="16"/>
                <w:szCs w:val="16"/>
              </w:rPr>
            </w:pPr>
          </w:p>
        </w:tc>
        <w:tc>
          <w:tcPr>
            <w:tcW w:w="290" w:type="pct"/>
            <w:shd w:val="clear" w:color="auto" w:fill="auto"/>
            <w:vAlign w:val="center"/>
          </w:tcPr>
          <w:p>
            <w:pPr>
              <w:spacing w:beforeLines="20" w:before="48" w:afterLines="20" w:after="48"/>
              <w:jc w:val="center"/>
              <w:rPr>
                <w:noProof/>
                <w:sz w:val="16"/>
                <w:szCs w:val="16"/>
              </w:rPr>
            </w:pPr>
          </w:p>
        </w:tc>
        <w:tc>
          <w:tcPr>
            <w:tcW w:w="162"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netiešā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1" w:type="pct"/>
            <w:shd w:val="clear" w:color="auto" w:fill="auto"/>
            <w:vAlign w:val="center"/>
          </w:tcPr>
          <w:p>
            <w:pPr>
              <w:spacing w:beforeLines="20" w:before="48" w:afterLines="20" w:after="48"/>
              <w:jc w:val="center"/>
              <w:rPr>
                <w:noProof/>
                <w:sz w:val="16"/>
                <w:szCs w:val="16"/>
              </w:rPr>
            </w:pPr>
          </w:p>
        </w:tc>
        <w:tc>
          <w:tcPr>
            <w:tcW w:w="290" w:type="pct"/>
            <w:shd w:val="clear" w:color="auto" w:fill="auto"/>
            <w:vAlign w:val="center"/>
          </w:tcPr>
          <w:p>
            <w:pPr>
              <w:spacing w:beforeLines="20" w:before="48" w:afterLines="20" w:after="48"/>
              <w:jc w:val="center"/>
              <w:rPr>
                <w:noProof/>
                <w:sz w:val="16"/>
                <w:szCs w:val="16"/>
              </w:rPr>
            </w:pPr>
          </w:p>
        </w:tc>
        <w:tc>
          <w:tcPr>
            <w:tcW w:w="162"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tiešā pētniecība)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781" w:type="pct"/>
            <w:shd w:val="clear" w:color="auto" w:fill="auto"/>
            <w:vAlign w:val="center"/>
          </w:tcPr>
          <w:p>
            <w:pPr>
              <w:spacing w:beforeLines="20" w:before="48" w:afterLines="20" w:after="48"/>
              <w:jc w:val="center"/>
              <w:rPr>
                <w:noProof/>
                <w:sz w:val="16"/>
                <w:szCs w:val="16"/>
              </w:rPr>
            </w:pPr>
          </w:p>
        </w:tc>
        <w:tc>
          <w:tcPr>
            <w:tcW w:w="290" w:type="pct"/>
            <w:shd w:val="clear" w:color="auto" w:fill="auto"/>
            <w:vAlign w:val="center"/>
          </w:tcPr>
          <w:p>
            <w:pPr>
              <w:spacing w:beforeLines="20" w:before="48" w:afterLines="20" w:after="48"/>
              <w:jc w:val="center"/>
              <w:rPr>
                <w:noProof/>
                <w:sz w:val="16"/>
                <w:szCs w:val="16"/>
              </w:rPr>
            </w:pPr>
          </w:p>
        </w:tc>
        <w:tc>
          <w:tcPr>
            <w:tcW w:w="162"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Citas budžeta pozīcijas (precizēt)</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78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9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62"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4"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29</w:t>
            </w:r>
          </w:p>
        </w:tc>
        <w:tc>
          <w:tcPr>
            <w:tcW w:w="178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90"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62"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ir attiecīgā politikas joma vai budžeta sadaļa.</w:t>
      </w:r>
    </w:p>
    <w:p>
      <w:pPr>
        <w:pStyle w:val="Text1"/>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r>
              <w:rPr>
                <w:noProof/>
                <w:sz w:val="20"/>
              </w:rPr>
              <w:t>Veicamie uzdevumi ietver visus uzdevumus, kas vajadzīgi a) dalībvalstu pieprasījumu apstrādei un tai sekojošai projektu vadībai un b) programmas finansiālai un līgumiskai pārvaldībai, proti,</w:t>
            </w:r>
          </w:p>
          <w:p>
            <w:pPr>
              <w:numPr>
                <w:ilvl w:val="0"/>
                <w:numId w:val="17"/>
              </w:numPr>
              <w:rPr>
                <w:noProof/>
                <w:sz w:val="20"/>
              </w:rPr>
            </w:pPr>
            <w:r>
              <w:rPr>
                <w:noProof/>
                <w:sz w:val="20"/>
              </w:rPr>
              <w:t>sniegt datus un informāciju saistībā ar budžeta procedūru un vadības plānu;</w:t>
            </w:r>
          </w:p>
          <w:p>
            <w:pPr>
              <w:numPr>
                <w:ilvl w:val="0"/>
                <w:numId w:val="17"/>
              </w:numPr>
              <w:rPr>
                <w:noProof/>
                <w:sz w:val="20"/>
              </w:rPr>
            </w:pPr>
            <w:r>
              <w:rPr>
                <w:noProof/>
                <w:sz w:val="20"/>
              </w:rPr>
              <w:t xml:space="preserve">sagatavot gada darba programmas/finansēšanas lēmumus, noteikt gada prioritātes; </w:t>
            </w:r>
          </w:p>
          <w:p>
            <w:pPr>
              <w:numPr>
                <w:ilvl w:val="0"/>
                <w:numId w:val="17"/>
              </w:numPr>
              <w:rPr>
                <w:noProof/>
                <w:sz w:val="20"/>
              </w:rPr>
            </w:pPr>
            <w:r>
              <w:rPr>
                <w:noProof/>
                <w:sz w:val="20"/>
              </w:rPr>
              <w:t>sadarbībā ar operatīvajiem dienestiem pārvaldīt uzaicinājumus iesniegt piedāvājumus un uzaicinājumus iesniegt priekšlikumus, kā arī turpmākās atlases procedūras;</w:t>
            </w:r>
          </w:p>
          <w:p>
            <w:pPr>
              <w:numPr>
                <w:ilvl w:val="0"/>
                <w:numId w:val="17"/>
              </w:numPr>
              <w:rPr>
                <w:noProof/>
                <w:sz w:val="20"/>
              </w:rPr>
            </w:pPr>
            <w:r>
              <w:rPr>
                <w:noProof/>
                <w:sz w:val="20"/>
              </w:rPr>
              <w:t>sazināties ar ieinteresētajām personām par līgumiskiem un finansiāliem jautājumiem;</w:t>
            </w:r>
          </w:p>
          <w:p>
            <w:pPr>
              <w:numPr>
                <w:ilvl w:val="0"/>
                <w:numId w:val="17"/>
              </w:numPr>
              <w:rPr>
                <w:noProof/>
                <w:sz w:val="20"/>
              </w:rPr>
            </w:pPr>
            <w:r>
              <w:rPr>
                <w:noProof/>
                <w:sz w:val="20"/>
              </w:rPr>
              <w:t>sagatavot un organizēt augsta līmeņa darba grupas sanāksmes ar attiecīgo ģenerāldirektorātu, dalībvalstīm un citām ieinteresētajām personām;</w:t>
            </w:r>
          </w:p>
          <w:p>
            <w:pPr>
              <w:numPr>
                <w:ilvl w:val="0"/>
                <w:numId w:val="17"/>
              </w:numPr>
              <w:rPr>
                <w:noProof/>
                <w:sz w:val="20"/>
              </w:rPr>
            </w:pPr>
            <w:r>
              <w:rPr>
                <w:noProof/>
                <w:sz w:val="20"/>
              </w:rPr>
              <w:t>vadīt projektus: plānot un īstenot projektus, veikt to pēcpārbaudes, pārzināt līgumiskos un finansiālos aspektus: saistības, maksājumus, iekasēšanas rīkojumus utt.;</w:t>
            </w:r>
          </w:p>
          <w:p>
            <w:pPr>
              <w:numPr>
                <w:ilvl w:val="0"/>
                <w:numId w:val="17"/>
              </w:numPr>
              <w:rPr>
                <w:noProof/>
                <w:sz w:val="20"/>
              </w:rPr>
            </w:pPr>
            <w:r>
              <w:rPr>
                <w:noProof/>
                <w:sz w:val="20"/>
              </w:rPr>
              <w:t>veikt iepriekš aprakstītās kontroles (</w:t>
            </w:r>
            <w:r>
              <w:rPr>
                <w:i/>
                <w:noProof/>
                <w:sz w:val="20"/>
              </w:rPr>
              <w:t xml:space="preserve">ex ante </w:t>
            </w:r>
            <w:r>
              <w:rPr>
                <w:noProof/>
                <w:sz w:val="20"/>
              </w:rPr>
              <w:t xml:space="preserve">pārbaudi, ar iepirkumu pakalpojumiem saistītu kontroli, </w:t>
            </w:r>
            <w:r>
              <w:rPr>
                <w:i/>
                <w:noProof/>
                <w:sz w:val="20"/>
              </w:rPr>
              <w:t>ex post</w:t>
            </w:r>
            <w:r>
              <w:rPr>
                <w:noProof/>
                <w:sz w:val="20"/>
              </w:rPr>
              <w:t>/iekšēju kontroli);</w:t>
            </w:r>
          </w:p>
          <w:p>
            <w:pPr>
              <w:numPr>
                <w:ilvl w:val="0"/>
                <w:numId w:val="17"/>
              </w:numPr>
              <w:rPr>
                <w:noProof/>
                <w:sz w:val="20"/>
              </w:rPr>
            </w:pPr>
            <w:r>
              <w:rPr>
                <w:noProof/>
                <w:sz w:val="20"/>
              </w:rPr>
              <w:t xml:space="preserve"> pārvaldīt IT rīkus;</w:t>
            </w:r>
          </w:p>
          <w:p>
            <w:pPr>
              <w:numPr>
                <w:ilvl w:val="0"/>
                <w:numId w:val="17"/>
              </w:numPr>
              <w:rPr>
                <w:noProof/>
                <w:sz w:val="20"/>
              </w:rPr>
            </w:pPr>
            <w:r>
              <w:rPr>
                <w:noProof/>
                <w:sz w:val="20"/>
              </w:rPr>
              <w:t>sniegt ieguldījumu ticamības deklarāciju (</w:t>
            </w:r>
            <w:r>
              <w:rPr>
                <w:i/>
                <w:noProof/>
                <w:sz w:val="20"/>
              </w:rPr>
              <w:t>DAS</w:t>
            </w:r>
            <w:r>
              <w:rPr>
                <w:noProof/>
                <w:sz w:val="20"/>
              </w:rPr>
              <w:t>) ikgadējā iesniegšanas procedūrā un veikt turpmākus pasākumus šajā saistībā;</w:t>
            </w:r>
          </w:p>
          <w:p>
            <w:pPr>
              <w:rPr>
                <w:noProof/>
                <w:sz w:val="20"/>
              </w:rPr>
            </w:pPr>
            <w:r>
              <w:rPr>
                <w:noProof/>
                <w:sz w:val="20"/>
              </w:rPr>
              <w:t>uzraudzīt mērķu sasniegšanu un ziņot par rezultātiem, tostarp budžeta procedūras ietvaros, vadības plānā, vidusposma pārskatā, gada darbības pārskatā un pastarpināti pilnvaroto kredītrīkotāju ziņojumos.</w:t>
            </w:r>
          </w:p>
        </w:tc>
      </w:tr>
      <w:tr>
        <w:tc>
          <w:tcPr>
            <w:tcW w:w="3240" w:type="dxa"/>
          </w:tcPr>
          <w:p>
            <w:pPr>
              <w:spacing w:before="60" w:after="60"/>
              <w:rPr>
                <w:noProof/>
                <w:sz w:val="20"/>
              </w:rPr>
            </w:pPr>
            <w:r>
              <w:rPr>
                <w:noProof/>
                <w:sz w:val="20"/>
              </w:rPr>
              <w:t>Ārštata darbinieki</w:t>
            </w:r>
          </w:p>
        </w:tc>
        <w:tc>
          <w:tcPr>
            <w:tcW w:w="7200" w:type="dxa"/>
          </w:tcPr>
          <w:p>
            <w:pPr>
              <w:rPr>
                <w:noProof/>
                <w:sz w:val="20"/>
              </w:rPr>
            </w:pPr>
            <w:r>
              <w:rPr>
                <w:noProof/>
                <w:sz w:val="20"/>
              </w:rPr>
              <w:t>Atbalstīt finansiālos un administratīvos uzdevumus.</w:t>
            </w:r>
          </w:p>
        </w:tc>
      </w:tr>
    </w:tbl>
    <w:p>
      <w:pPr>
        <w:pStyle w:val="ManualHeading3"/>
        <w:rPr>
          <w:bCs/>
          <w:noProof/>
          <w:szCs w:val="24"/>
        </w:rPr>
      </w:pPr>
      <w:r>
        <w:t>3.2.4.</w:t>
      </w:r>
      <w:r>
        <w:tab/>
      </w:r>
      <w:r>
        <w:rPr>
          <w:noProof/>
        </w:rPr>
        <w:t xml:space="preserve">Saderība ar kārtējo daudzgadu finanšu shēmu </w:t>
      </w:r>
    </w:p>
    <w:p>
      <w:pPr>
        <w:pStyle w:val="ListDash1"/>
        <w:rPr>
          <w:noProof/>
        </w:rPr>
      </w:pPr>
      <w:r>
        <w:rPr>
          <w:noProof/>
        </w:rPr>
        <w:sym w:font="Wingdings" w:char="F0A8"/>
      </w:r>
      <w:r>
        <w:rPr>
          <w:noProof/>
        </w:rPr>
        <w:tab/>
        <w:t>Priekšlikums/iniciatīva atbilst kārtējai daudzgadu finanšu shēmai</w:t>
      </w:r>
    </w:p>
    <w:p>
      <w:pPr>
        <w:pStyle w:val="ListDash1"/>
        <w:rPr>
          <w:noProof/>
        </w:rPr>
      </w:pPr>
      <w:r>
        <w:rPr>
          <w:noProof/>
        </w:rPr>
        <w:sym w:font="Wingdings" w:char="F0A8"/>
      </w:r>
      <w:r>
        <w:rPr>
          <w:noProof/>
        </w:rPr>
        <w:tab/>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pPr>
        <w:pStyle w:val="ListDash1"/>
        <w:rPr>
          <w:noProof/>
        </w:rPr>
      </w:pPr>
      <w:r>
        <w:rPr>
          <w:noProof/>
        </w:rPr>
        <w:sym w:font="Wingdings" w:char="F0FC"/>
      </w:r>
      <w:r>
        <w:rPr>
          <w:noProof/>
        </w:rPr>
        <w:tab/>
        <w:t>Pieņemot priekšlikumu/iniciatīvu, jāpiemēro elastības instruments vai jāpārskata daudzgadu finanšu shēma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pPr>
        <w:pStyle w:val="Text1"/>
        <w:pBdr>
          <w:top w:val="single" w:sz="4" w:space="1" w:color="auto"/>
          <w:left w:val="single" w:sz="4" w:space="4" w:color="auto"/>
          <w:bottom w:val="single" w:sz="4" w:space="1" w:color="auto"/>
          <w:right w:val="single" w:sz="4" w:space="4" w:color="auto"/>
        </w:pBdr>
        <w:rPr>
          <w:noProof/>
        </w:rPr>
      </w:pPr>
      <w:r>
        <w:rPr>
          <w:noProof/>
        </w:rPr>
        <w:t>Priekšlikums paredz izmantot elastības instrumentu, uz kuru attiecas pašreizējā daudzgadu finanšu shēma (Padomes Regulas 1311/2013 11. pants); tādējādi varētu papildināt finansējumu, kas pieejams Savienības vispārējā budžetā, par 40 milj. euro 2019. gadā un par 40 milj. euro 2020. gadā, pārsniedzot 1.b izdevumu kategorijas maksimālo summu.</w:t>
      </w:r>
    </w:p>
    <w:p>
      <w:pPr>
        <w:pStyle w:val="ManualHeading3"/>
        <w:rPr>
          <w:bCs/>
          <w:noProof/>
          <w:szCs w:val="24"/>
        </w:rPr>
      </w:pPr>
      <w:r>
        <w:t>3.2.5.</w:t>
      </w:r>
      <w:r>
        <w:tab/>
      </w:r>
      <w:r>
        <w:rPr>
          <w:noProof/>
        </w:rPr>
        <w:t xml:space="preserve">Trešo personu iemaksas </w:t>
      </w:r>
    </w:p>
    <w:p>
      <w:pPr>
        <w:pStyle w:val="ListDash1"/>
        <w:rPr>
          <w:noProof/>
        </w:rPr>
      </w:pPr>
      <w:r>
        <w:rPr>
          <w:noProof/>
        </w:rPr>
        <w:sym w:font="Wingdings" w:char="F0FC"/>
      </w:r>
      <w:r>
        <w:rPr>
          <w:noProof/>
        </w:rPr>
        <w:t xml:space="preserve"> Priekšlikums/iniciatīva neparedz trešo personu līdzfinansējumu. </w:t>
      </w:r>
    </w:p>
    <w:p>
      <w:pPr>
        <w:pStyle w:val="ListDash1"/>
        <w:rPr>
          <w:noProof/>
        </w:rPr>
      </w:pPr>
      <w:r>
        <w:rPr>
          <w:noProof/>
        </w:rPr>
        <w:t>Priekšlikums/iniciatīva paredz šādu līdzfinansējumu:</w:t>
      </w:r>
    </w:p>
    <w:p>
      <w:pPr>
        <w:jc w:val="right"/>
        <w:rPr>
          <w:noProof/>
          <w:sz w:val="20"/>
        </w:rPr>
      </w:pPr>
      <w:r>
        <w:rPr>
          <w:noProof/>
          <w:sz w:val="20"/>
        </w:rPr>
        <w:t>Apropriācijas EUR miljonos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N</w:t>
            </w:r>
            <w:r>
              <w:rPr>
                <w:b/>
                <w:noProof/>
                <w:sz w:val="20"/>
              </w:rPr>
              <w:br/>
            </w:r>
            <w:r>
              <w:rPr>
                <w:noProof/>
                <w:sz w:val="20"/>
              </w:rPr>
              <w:t>gads</w:t>
            </w:r>
          </w:p>
        </w:tc>
        <w:tc>
          <w:tcPr>
            <w:tcW w:w="964" w:type="dxa"/>
            <w:vAlign w:val="center"/>
          </w:tcPr>
          <w:p>
            <w:pPr>
              <w:jc w:val="center"/>
              <w:rPr>
                <w:noProof/>
                <w:sz w:val="20"/>
              </w:rPr>
            </w:pPr>
            <w:r>
              <w:rPr>
                <w:b/>
                <w:noProof/>
                <w:sz w:val="20"/>
              </w:rPr>
              <w:t>N+1</w:t>
            </w:r>
            <w:r>
              <w:rPr>
                <w:b/>
                <w:noProof/>
                <w:sz w:val="20"/>
              </w:rPr>
              <w:br/>
            </w:r>
            <w:r>
              <w:rPr>
                <w:noProof/>
                <w:sz w:val="20"/>
              </w:rPr>
              <w:t>gads</w:t>
            </w:r>
          </w:p>
        </w:tc>
        <w:tc>
          <w:tcPr>
            <w:tcW w:w="964" w:type="dxa"/>
            <w:vAlign w:val="center"/>
          </w:tcPr>
          <w:p>
            <w:pPr>
              <w:jc w:val="center"/>
              <w:rPr>
                <w:noProof/>
                <w:sz w:val="20"/>
              </w:rPr>
            </w:pPr>
            <w:r>
              <w:rPr>
                <w:b/>
                <w:noProof/>
                <w:sz w:val="20"/>
              </w:rPr>
              <w:t>N+2</w:t>
            </w:r>
            <w:r>
              <w:rPr>
                <w:b/>
                <w:noProof/>
                <w:sz w:val="20"/>
              </w:rPr>
              <w:br/>
            </w:r>
            <w:r>
              <w:rPr>
                <w:noProof/>
                <w:sz w:val="20"/>
              </w:rPr>
              <w:t>gads</w:t>
            </w:r>
          </w:p>
        </w:tc>
        <w:tc>
          <w:tcPr>
            <w:tcW w:w="964" w:type="dxa"/>
            <w:vAlign w:val="center"/>
          </w:tcPr>
          <w:p>
            <w:pPr>
              <w:jc w:val="center"/>
              <w:rPr>
                <w:noProof/>
                <w:sz w:val="20"/>
              </w:rPr>
            </w:pPr>
            <w:r>
              <w:rPr>
                <w:b/>
                <w:noProof/>
                <w:sz w:val="20"/>
              </w:rPr>
              <w:t>N+3</w:t>
            </w:r>
            <w:r>
              <w:rPr>
                <w:b/>
                <w:noProof/>
                <w:sz w:val="20"/>
              </w:rPr>
              <w:br/>
            </w:r>
            <w:r>
              <w:rPr>
                <w:noProof/>
                <w:sz w:val="20"/>
              </w:rPr>
              <w:t>gads</w:t>
            </w:r>
          </w:p>
        </w:tc>
        <w:tc>
          <w:tcPr>
            <w:tcW w:w="2892" w:type="dxa"/>
            <w:gridSpan w:val="3"/>
            <w:vAlign w:val="center"/>
          </w:tcPr>
          <w:p>
            <w:pPr>
              <w:jc w:val="center"/>
              <w:rPr>
                <w:b/>
                <w:noProof/>
                <w:sz w:val="20"/>
              </w:rPr>
            </w:pPr>
            <w:r>
              <w:rPr>
                <w:noProof/>
                <w:sz w:val="20"/>
              </w:rPr>
              <w:t>Norādīt tik gadu, cik nepieciešams ietekmes ilguma atspoguļošanai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rPr>
            </w:pPr>
            <w:r>
              <w:rPr>
                <w:noProof/>
                <w:sz w:val="20"/>
              </w:rPr>
              <w:t>Norādīt līdzfinansējuma struktūru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KOPĀ līdzfinansējuma apropriācijas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t>3.3.</w:t>
      </w:r>
      <w:r>
        <w:tab/>
      </w:r>
      <w:r>
        <w:rPr>
          <w:noProof/>
        </w:rPr>
        <w:t xml:space="preserve">Paredzamā ietekme uz ieņēmumiem </w:t>
      </w:r>
    </w:p>
    <w:p>
      <w:pPr>
        <w:pStyle w:val="ListDash1"/>
        <w:rPr>
          <w:noProof/>
        </w:rPr>
      </w:pPr>
      <w:r>
        <w:rPr>
          <w:noProof/>
        </w:rPr>
        <w:sym w:font="Wingdings" w:char="F0FC"/>
      </w:r>
      <w:r>
        <w:rPr>
          <w:noProof/>
        </w:rPr>
        <w:tab/>
        <w:t>Priekšlikums/iniciatīva finansiāli neietekmē ieņēmumus</w:t>
      </w:r>
    </w:p>
    <w:p>
      <w:pPr>
        <w:pStyle w:val="ListDash1"/>
        <w:rPr>
          <w:noProof/>
        </w:rPr>
      </w:pPr>
      <w:r>
        <w:rPr>
          <w:noProof/>
        </w:rPr>
        <w:sym w:font="Wingdings" w:char="F0A8"/>
      </w:r>
      <w:r>
        <w:rPr>
          <w:noProof/>
        </w:rPr>
        <w:tab/>
        <w:t>Priekšlikums/iniciatīva finansiāli ietekmē:</w:t>
      </w:r>
    </w:p>
    <w:p>
      <w:pPr>
        <w:pStyle w:val="ListNumberLevel3"/>
        <w:tabs>
          <w:tab w:val="clear" w:pos="2126"/>
        </w:tabs>
        <w:rPr>
          <w:noProof/>
        </w:rPr>
      </w:pPr>
      <w:r>
        <w:rPr>
          <w:noProof/>
        </w:rPr>
        <w:sym w:font="Wingdings" w:char="F0A8"/>
      </w:r>
      <w:r>
        <w:rPr>
          <w:noProof/>
        </w:rPr>
        <w:tab/>
        <w:t xml:space="preserve">pašu resursus </w:t>
      </w:r>
    </w:p>
    <w:p>
      <w:pPr>
        <w:pStyle w:val="ListNumberLevel3"/>
        <w:tabs>
          <w:tab w:val="clear" w:pos="2126"/>
        </w:tabs>
        <w:rPr>
          <w:noProof/>
        </w:rPr>
      </w:pPr>
      <w:r>
        <w:rPr>
          <w:noProof/>
        </w:rPr>
        <w:sym w:font="Wingdings" w:char="F0A8"/>
      </w:r>
      <w:r>
        <w:rPr>
          <w:noProof/>
        </w:rPr>
        <w:tab/>
        <w:t xml:space="preserve">dažādus ieņēmumus </w:t>
      </w:r>
    </w:p>
    <w:p>
      <w:pPr>
        <w:jc w:val="right"/>
        <w:rPr>
          <w:i/>
          <w:noProof/>
          <w:sz w:val="20"/>
        </w:rPr>
      </w:pPr>
      <w:r>
        <w:rPr>
          <w:noProof/>
        </w:rPr>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Budžeta ieņēmumu pozīcija</w:t>
            </w:r>
          </w:p>
        </w:tc>
        <w:tc>
          <w:tcPr>
            <w:tcW w:w="1276"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r>
              <w:rPr>
                <w:rStyle w:val="FootnoteReference"/>
                <w:noProof/>
                <w:sz w:val="18"/>
              </w:rPr>
              <w:footnoteReference w:id="17"/>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b/>
                <w:noProof/>
                <w:sz w:val="18"/>
              </w:rPr>
              <w:t>N</w:t>
            </w:r>
            <w:r>
              <w:rPr>
                <w:b/>
                <w:noProof/>
                <w:sz w:val="18"/>
              </w:rPr>
              <w:br/>
            </w:r>
            <w:r>
              <w:rPr>
                <w:noProof/>
                <w:sz w:val="18"/>
              </w:rPr>
              <w:t>gads</w:t>
            </w:r>
          </w:p>
        </w:tc>
        <w:tc>
          <w:tcPr>
            <w:tcW w:w="900" w:type="dxa"/>
            <w:vAlign w:val="center"/>
          </w:tcPr>
          <w:p>
            <w:pPr>
              <w:jc w:val="center"/>
              <w:rPr>
                <w:noProof/>
                <w:sz w:val="18"/>
              </w:rPr>
            </w:pPr>
            <w:r>
              <w:rPr>
                <w:b/>
                <w:noProof/>
                <w:sz w:val="18"/>
              </w:rPr>
              <w:t>N+1</w:t>
            </w:r>
            <w:r>
              <w:rPr>
                <w:b/>
                <w:noProof/>
                <w:sz w:val="18"/>
              </w:rPr>
              <w:br/>
            </w:r>
            <w:r>
              <w:rPr>
                <w:noProof/>
                <w:sz w:val="18"/>
              </w:rPr>
              <w:t>gads</w:t>
            </w:r>
          </w:p>
        </w:tc>
        <w:tc>
          <w:tcPr>
            <w:tcW w:w="900" w:type="dxa"/>
            <w:vAlign w:val="center"/>
          </w:tcPr>
          <w:p>
            <w:pPr>
              <w:jc w:val="center"/>
              <w:rPr>
                <w:noProof/>
                <w:sz w:val="18"/>
              </w:rPr>
            </w:pPr>
            <w:r>
              <w:rPr>
                <w:b/>
                <w:noProof/>
                <w:sz w:val="18"/>
              </w:rPr>
              <w:t>N+2</w:t>
            </w:r>
            <w:r>
              <w:rPr>
                <w:b/>
                <w:noProof/>
                <w:sz w:val="18"/>
              </w:rPr>
              <w:br/>
            </w:r>
            <w:r>
              <w:rPr>
                <w:noProof/>
                <w:sz w:val="18"/>
              </w:rPr>
              <w:t>gads</w:t>
            </w:r>
          </w:p>
        </w:tc>
        <w:tc>
          <w:tcPr>
            <w:tcW w:w="1080" w:type="dxa"/>
            <w:vAlign w:val="center"/>
          </w:tcPr>
          <w:p>
            <w:pPr>
              <w:jc w:val="center"/>
              <w:rPr>
                <w:noProof/>
                <w:sz w:val="18"/>
              </w:rPr>
            </w:pPr>
            <w:r>
              <w:rPr>
                <w:b/>
                <w:noProof/>
                <w:sz w:val="18"/>
              </w:rPr>
              <w:t>N+3</w:t>
            </w:r>
            <w:r>
              <w:rPr>
                <w:noProof/>
                <w:sz w:val="18"/>
              </w:rPr>
              <w:br/>
              <w:t>gads</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2144" w:type="dxa"/>
            <w:vAlign w:val="center"/>
          </w:tcPr>
          <w:p>
            <w:pPr>
              <w:spacing w:before="40" w:after="40"/>
              <w:rPr>
                <w:noProof/>
                <w:sz w:val="18"/>
              </w:rPr>
            </w:pPr>
            <w:r>
              <w:rPr>
                <w:noProof/>
                <w:sz w:val="18"/>
              </w:rPr>
              <w:t>…………. pants</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rPr>
          <w:noProof/>
          <w:sz w:val="20"/>
        </w:rPr>
      </w:pPr>
      <w:r>
        <w:rPr>
          <w:noProof/>
          <w:sz w:val="20"/>
        </w:rPr>
        <w:t>Norādīt, ar kādu metodi aprēķināta ietekme uz ieņēmumiem.</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footnote>
  <w:footnote w:id="2">
    <w:p>
      <w:pPr>
        <w:pStyle w:val="FootnoteText"/>
      </w:pPr>
      <w:r>
        <w:rPr>
          <w:rStyle w:val="FootnoteReference"/>
        </w:rPr>
        <w:footnoteRef/>
      </w:r>
      <w:r>
        <w:tab/>
        <w:t>Eiropas Parlamenta un Padomes Regula (ES) 2017/825 (2017. gada 17. maijs), ar ko laikposmam no 2017. gada līdz 2020. gadam izveido Strukturālo reformu atbalsta programmu un groza Regulas (ES) Nr. 1303/2013 un (ES) Nr. 1305/2013 (OV L 129, 19.5.2017., 1. lpp.).</w:t>
      </w:r>
    </w:p>
  </w:footnote>
  <w:footnote w:id="3">
    <w:p>
      <w:pPr>
        <w:pStyle w:val="FootnoteText"/>
      </w:pPr>
      <w:r>
        <w:rPr>
          <w:rStyle w:val="FootnoteReference"/>
        </w:rPr>
        <w:footnoteRef/>
      </w:r>
      <w:r>
        <w:tab/>
        <w:t>Komisijas priekšsēdētāja Žana Kloda Junkera runa par stāvokli Savienībā 2017. gadā, 2017. gada 13. septembris.</w:t>
      </w:r>
    </w:p>
  </w:footnote>
  <w:footnote w:id="4">
    <w:p>
      <w:pPr>
        <w:pStyle w:val="FootnoteText"/>
      </w:pPr>
      <w:r>
        <w:rPr>
          <w:rStyle w:val="FootnoteReference"/>
        </w:rPr>
        <w:footnoteRef/>
      </w:r>
      <w:r>
        <w:tab/>
        <w:t xml:space="preserve">Sal. ar Padomes Regulas (ES, EURATOM) Nr. 1311/2013 11. pantu. </w:t>
      </w:r>
    </w:p>
  </w:footnote>
  <w:footnote w:id="5">
    <w:p>
      <w:pPr>
        <w:pStyle w:val="FootnoteText"/>
      </w:pPr>
      <w:r>
        <w:rPr>
          <w:rStyle w:val="FootnoteReference"/>
        </w:rPr>
        <w:footnoteRef/>
      </w:r>
      <w:r>
        <w:tab/>
        <w:t>COM(2017) 291, 2017. gada 31. maijs.</w:t>
      </w:r>
    </w:p>
  </w:footnote>
  <w:footnote w:id="6">
    <w:p>
      <w:pPr>
        <w:pStyle w:val="FootnoteText"/>
      </w:pPr>
      <w:r>
        <w:rPr>
          <w:rStyle w:val="FootnoteReference"/>
        </w:rPr>
        <w:footnoteRef/>
      </w:r>
      <w:r>
        <w:tab/>
        <w:t>OV C […], […], […]. lpp.</w:t>
      </w:r>
    </w:p>
  </w:footnote>
  <w:footnote w:id="7">
    <w:p>
      <w:pPr>
        <w:pStyle w:val="FootnoteText"/>
      </w:pPr>
      <w:r>
        <w:rPr>
          <w:rStyle w:val="FootnoteReference"/>
        </w:rPr>
        <w:footnoteRef/>
      </w:r>
      <w:r>
        <w:tab/>
        <w:t>OV C […], […], […]. lpp.</w:t>
      </w:r>
    </w:p>
  </w:footnote>
  <w:footnote w:id="8">
    <w:p>
      <w:pPr>
        <w:pStyle w:val="FootnoteText"/>
        <w:rPr>
          <w:szCs w:val="24"/>
        </w:rPr>
      </w:pPr>
      <w:r>
        <w:rPr>
          <w:rStyle w:val="FootnoteReference"/>
        </w:rPr>
        <w:footnoteRef/>
      </w:r>
      <w:r>
        <w:tab/>
        <w:t>Kā paredzēts Finanšu regulas 54. panta 2. punkta attiecīgi a) un b) apakšpunktā.</w:t>
      </w:r>
    </w:p>
  </w:footnote>
  <w:footnote w:id="9">
    <w:p>
      <w:pPr>
        <w:pStyle w:val="FootnoteText"/>
        <w:jc w:val="left"/>
        <w:rPr>
          <w:szCs w:val="24"/>
        </w:rPr>
      </w:pPr>
      <w:r>
        <w:rPr>
          <w:rStyle w:val="FootnoteReference"/>
        </w:rPr>
        <w:footnoteRef/>
      </w:r>
      <w:r>
        <w:tab/>
        <w:t xml:space="preserve">Skaidrojumus par pārvaldības veidiem un atsauces uz Finanšu regulu skatīt </w:t>
      </w:r>
      <w:r>
        <w:rPr>
          <w:i/>
        </w:rPr>
        <w:t>BudgWeb</w:t>
      </w:r>
      <w:r>
        <w:t xml:space="preserve"> tīmekļa vietnē: </w:t>
      </w:r>
      <w:hyperlink r:id="rId1">
        <w:r>
          <w:rPr>
            <w:rStyle w:val="Hyperlink"/>
          </w:rPr>
          <w:t>https://myintracomm.ec.europa.eu/budgweb/EN/man/budgmanag/Pages/budgmanag.aspx</w:t>
        </w:r>
      </w:hyperlink>
      <w:r>
        <w:t xml:space="preserve"> </w:t>
      </w:r>
    </w:p>
  </w:footnote>
  <w:footnote w:id="10">
    <w:p>
      <w:pPr>
        <w:pStyle w:val="FootnoteText"/>
        <w:rPr>
          <w:szCs w:val="24"/>
        </w:rPr>
      </w:pPr>
      <w:r>
        <w:rPr>
          <w:rStyle w:val="FootnoteReference"/>
        </w:rPr>
        <w:footnoteRef/>
      </w:r>
      <w:r>
        <w:tab/>
        <w:t>Dif. — diferencētās apropriācijas / nedif. — nediferencētās apropriācijas.</w:t>
      </w:r>
    </w:p>
  </w:footnote>
  <w:footnote w:id="11">
    <w:p>
      <w:pPr>
        <w:pStyle w:val="FootnoteText"/>
        <w:rPr>
          <w:szCs w:val="24"/>
        </w:rPr>
      </w:pPr>
      <w:r>
        <w:rPr>
          <w:rStyle w:val="FootnoteReference"/>
        </w:rPr>
        <w:footnoteRef/>
      </w:r>
      <w:r>
        <w:tab/>
        <w:t xml:space="preserve">EBTA — Eiropas Brīvās tirdzniecības asociācija. </w:t>
      </w:r>
    </w:p>
  </w:footnote>
  <w:footnote w:id="12">
    <w:p>
      <w:pPr>
        <w:pStyle w:val="FootnoteText"/>
        <w:rPr>
          <w:szCs w:val="24"/>
        </w:rPr>
      </w:pPr>
      <w:r>
        <w:rPr>
          <w:rStyle w:val="FootnoteReference"/>
        </w:rPr>
        <w:footnoteRef/>
      </w:r>
      <w:r>
        <w:tab/>
        <w:t>Kandidātvalstis un attiecīgā gadījumā potenciālās kandidātvalstis no Rietumbalkāniem.</w:t>
      </w:r>
    </w:p>
  </w:footnote>
  <w:footnote w:id="13">
    <w:p>
      <w:pPr>
        <w:pStyle w:val="FootnoteText"/>
        <w:rPr>
          <w:szCs w:val="24"/>
        </w:rPr>
      </w:pPr>
      <w:r>
        <w:rPr>
          <w:rStyle w:val="FootnoteReference"/>
        </w:rPr>
        <w:footnoteRef/>
      </w:r>
      <w:r>
        <w:tab/>
        <w:t>N gads ir gads, kurā priekšlikumu/iniciatīvu sāk īstenot.</w:t>
      </w:r>
    </w:p>
  </w:footnote>
  <w:footnote w:id="14">
    <w:p>
      <w:pPr>
        <w:pStyle w:val="FootnoteText"/>
        <w:rPr>
          <w:szCs w:val="24"/>
        </w:rPr>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15">
    <w:p>
      <w:pPr>
        <w:pStyle w:val="FootnoteText"/>
        <w:rPr>
          <w:szCs w:val="24"/>
        </w:rPr>
      </w:pPr>
      <w:r>
        <w:rPr>
          <w:rStyle w:val="FootnoteReference"/>
        </w:rPr>
        <w:footnoteRef/>
      </w:r>
      <w:r>
        <w:tab/>
        <w:t xml:space="preserve">AC – līgumdarbinieki, AL – vietējie darbinieki, END – norīkotie valsts eksperti, INT – aģentūras darbinieki, JED – jaunākie eksperti delegācijās. </w:t>
      </w:r>
    </w:p>
  </w:footnote>
  <w:footnote w:id="16">
    <w:p>
      <w:pPr>
        <w:pStyle w:val="FootnoteText"/>
        <w:rPr>
          <w:szCs w:val="24"/>
        </w:rPr>
      </w:pPr>
      <w:r>
        <w:rPr>
          <w:rStyle w:val="FootnoteReference"/>
        </w:rPr>
        <w:footnoteRef/>
      </w:r>
      <w:r>
        <w:tab/>
        <w:t>Ārštata darbiniekiem paredzēto maksimālo summu finansē no darbības apropriācijām (kādreizējām “BA” pozīcijām).</w:t>
      </w:r>
    </w:p>
  </w:footnote>
  <w:footnote w:id="17">
    <w:p>
      <w:pPr>
        <w:pStyle w:val="FootnoteText"/>
        <w:rPr>
          <w:szCs w:val="24"/>
        </w:rPr>
      </w:pPr>
      <w:r>
        <w:rPr>
          <w:rStyle w:val="FootnoteReference"/>
        </w:rPr>
        <w:footnoteRef/>
      </w:r>
      <w:r>
        <w:tab/>
        <w:t>Norādītajām tradicionālo pašu resursu (muitas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54A8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A85C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08EE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CC83B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24C3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EA7D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508B808"/>
    <w:lvl w:ilvl="0">
      <w:start w:val="1"/>
      <w:numFmt w:val="decimal"/>
      <w:pStyle w:val="ListNumber"/>
      <w:lvlText w:val="%1."/>
      <w:lvlJc w:val="left"/>
      <w:pPr>
        <w:tabs>
          <w:tab w:val="num" w:pos="360"/>
        </w:tabs>
        <w:ind w:left="360" w:hanging="360"/>
      </w:pPr>
    </w:lvl>
  </w:abstractNum>
  <w:abstractNum w:abstractNumId="7">
    <w:nsid w:val="FFFFFF89"/>
    <w:multiLevelType w:val="singleLevel"/>
    <w:tmpl w:val="E752E8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CAA416B"/>
    <w:multiLevelType w:val="hybridMultilevel"/>
    <w:tmpl w:val="876E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8"/>
    <w:lvlOverride w:ilvl="0">
      <w:startOverride w:val="1"/>
    </w:lvlOverride>
  </w:num>
  <w:num w:numId="6">
    <w:abstractNumId w:val="6"/>
  </w:num>
  <w:num w:numId="7">
    <w:abstractNumId w:val="2"/>
  </w:num>
  <w:num w:numId="8">
    <w:abstractNumId w:val="1"/>
  </w:num>
  <w:num w:numId="9">
    <w:abstractNumId w:val="0"/>
  </w:num>
  <w:num w:numId="10">
    <w:abstractNumId w:val="25"/>
  </w:num>
  <w:num w:numId="11">
    <w:abstractNumId w:val="8"/>
  </w:num>
  <w:num w:numId="12">
    <w:abstractNumId w:val="13"/>
  </w:num>
  <w:num w:numId="13">
    <w:abstractNumId w:val="18"/>
  </w:num>
  <w:num w:numId="14">
    <w:abstractNumId w:val="1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24"/>
  </w:num>
  <w:num w:numId="19">
    <w:abstractNumId w:val="28"/>
  </w:num>
  <w:num w:numId="20">
    <w:abstractNumId w:val="23"/>
  </w:num>
  <w:num w:numId="21">
    <w:abstractNumId w:val="14"/>
  </w:num>
  <w:num w:numId="22">
    <w:abstractNumId w:val="26"/>
  </w:num>
  <w:num w:numId="23">
    <w:abstractNumId w:val="12"/>
  </w:num>
  <w:num w:numId="24">
    <w:abstractNumId w:val="15"/>
  </w:num>
  <w:num w:numId="25">
    <w:abstractNumId w:val="10"/>
  </w:num>
  <w:num w:numId="26">
    <w:abstractNumId w:val="25"/>
  </w:num>
  <w:num w:numId="27">
    <w:abstractNumId w:val="9"/>
  </w:num>
  <w:num w:numId="28">
    <w:abstractNumId w:val="16"/>
  </w:num>
  <w:num w:numId="29">
    <w:abstractNumId w:val="21"/>
  </w:num>
  <w:num w:numId="30">
    <w:abstractNumId w:val="22"/>
  </w:num>
  <w:num w:numId="31">
    <w:abstractNumId w:val="11"/>
  </w:num>
  <w:num w:numId="32">
    <w:abstractNumId w:val="20"/>
  </w:num>
  <w:num w:numId="33">
    <w:abstractNumId w:val="28"/>
  </w:num>
  <w:num w:numId="34">
    <w:abstractNumId w:val="23"/>
  </w:num>
  <w:num w:numId="35">
    <w:abstractNumId w:val="14"/>
  </w:num>
  <w:num w:numId="36">
    <w:abstractNumId w:val="26"/>
  </w:num>
  <w:num w:numId="37">
    <w:abstractNumId w:val="12"/>
  </w:num>
  <w:num w:numId="38">
    <w:abstractNumId w:val="15"/>
  </w:num>
  <w:num w:numId="39">
    <w:abstractNumId w:val="10"/>
  </w:num>
  <w:num w:numId="40">
    <w:abstractNumId w:val="25"/>
  </w:num>
  <w:num w:numId="41">
    <w:abstractNumId w:val="9"/>
  </w:num>
  <w:num w:numId="42">
    <w:abstractNumId w:val="16"/>
  </w:num>
  <w:num w:numId="43">
    <w:abstractNumId w:val="21"/>
  </w:num>
  <w:num w:numId="44">
    <w:abstractNumId w:val="22"/>
  </w:num>
  <w:num w:numId="45">
    <w:abstractNumId w:val="11"/>
  </w:num>
  <w:num w:numId="46">
    <w:abstractNumId w:val="20"/>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7 11:32:0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38"/>
    <w:docVar w:name="DQCResult_UnknownFonts" w:val="0;0"/>
    <w:docVar w:name="DQCResult_UnknownStyles" w:val="0;10"/>
    <w:docVar w:name="DQCStatus" w:val="Green"/>
    <w:docVar w:name="DQCVersion" w:val="3"/>
    <w:docVar w:name="DQCWithWarnings" w:val="0"/>
    <w:docVar w:name="LW_CORRIGENDUM" w:val="&lt;UNUSED&gt;"/>
    <w:docVar w:name="LW_COVERPAGE_EXISTS" w:val="True"/>
    <w:docVar w:name="LW_COVERPAGE_GUID" w:val="52BF042C-6180-4E56-8CD7-BD173919DF40"/>
    <w:docVar w:name="LW_COVERPAGE_TYPE" w:val="1"/>
    <w:docVar w:name="LW_CROSSREFERENCE" w:val="&lt;UNUSED&gt;"/>
    <w:docVar w:name="LW_DocType" w:val="COM"/>
    <w:docVar w:name="LW_EMISSION" w:val="6.12.2017"/>
    <w:docVar w:name="LW_EMISSION_ISODATE" w:val="2017-12-06"/>
    <w:docVar w:name="LW_EMISSION_LOCATION" w:val="BRX"/>
    <w:docVar w:name="LW_EMISSION_PREFIX" w:val="Briselē,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334"/>
    <w:docVar w:name="LW_REF.II.NEW.CP_YEAR" w:val="2017"/>
    <w:docVar w:name="LW_REF.INST.NEW" w:val="COM"/>
    <w:docVar w:name="LW_REF.INST.NEW_ADOPTED" w:val="final"/>
    <w:docVar w:name="LW_REF.INST.NEW_TEXT" w:val="(2017)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ar ko groza Regulu (ES) 2017/825, lai palielin\u257?tu Struktur\u257?lo reformu atbalsta programmas finans\u275?jumu un piel\u257?gotu t\u257?s visp\u257?r\u299?go m\u275?r\u311?i "/>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1"/>
      </w:numPr>
    </w:pPr>
    <w:rPr>
      <w:lang w:eastAsia="en-GB"/>
    </w:rPr>
  </w:style>
  <w:style w:type="paragraph" w:customStyle="1" w:styleId="ListDash">
    <w:name w:val="List Dash"/>
    <w:basedOn w:val="Normal"/>
    <w:pPr>
      <w:numPr>
        <w:numId w:val="12"/>
      </w:numPr>
    </w:pPr>
    <w:rPr>
      <w:lang w:eastAsia="en-GB"/>
    </w:rPr>
  </w:style>
  <w:style w:type="paragraph" w:customStyle="1" w:styleId="ListDash1">
    <w:name w:val="List Dash 1"/>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6"/>
      </w:numPr>
      <w:spacing w:before="0" w:after="240"/>
    </w:pPr>
    <w:rPr>
      <w:szCs w:val="20"/>
    </w:rPr>
  </w:style>
  <w:style w:type="paragraph" w:styleId="ListParagraph">
    <w:name w:val="List Paragraph"/>
    <w:basedOn w:val="Normal"/>
    <w:uiPriority w:val="34"/>
    <w:qFormat/>
    <w:pPr>
      <w:ind w:left="720"/>
      <w:contextualSpacing/>
    </w:pPr>
    <w:rPr>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1"/>
      </w:numPr>
    </w:pPr>
    <w:rPr>
      <w:lang w:eastAsia="en-GB"/>
    </w:rPr>
  </w:style>
  <w:style w:type="paragraph" w:customStyle="1" w:styleId="ListDash">
    <w:name w:val="List Dash"/>
    <w:basedOn w:val="Normal"/>
    <w:pPr>
      <w:numPr>
        <w:numId w:val="12"/>
      </w:numPr>
    </w:pPr>
    <w:rPr>
      <w:lang w:eastAsia="en-GB"/>
    </w:rPr>
  </w:style>
  <w:style w:type="paragraph" w:customStyle="1" w:styleId="ListDash1">
    <w:name w:val="List Dash 1"/>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6"/>
      </w:numPr>
      <w:spacing w:before="0" w:after="240"/>
    </w:pPr>
    <w:rPr>
      <w:szCs w:val="20"/>
    </w:rPr>
  </w:style>
  <w:style w:type="paragraph" w:styleId="ListParagraph">
    <w:name w:val="List Paragraph"/>
    <w:basedOn w:val="Normal"/>
    <w:uiPriority w:val="34"/>
    <w:qFormat/>
    <w:pPr>
      <w:ind w:left="720"/>
      <w:contextualSpacing/>
    </w:pPr>
    <w:rPr>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5179">
      <w:bodyDiv w:val="1"/>
      <w:marLeft w:val="0"/>
      <w:marRight w:val="0"/>
      <w:marTop w:val="0"/>
      <w:marBottom w:val="0"/>
      <w:divBdr>
        <w:top w:val="none" w:sz="0" w:space="0" w:color="auto"/>
        <w:left w:val="none" w:sz="0" w:space="0" w:color="auto"/>
        <w:bottom w:val="none" w:sz="0" w:space="0" w:color="auto"/>
        <w:right w:val="none" w:sz="0" w:space="0" w:color="auto"/>
      </w:divBdr>
    </w:div>
    <w:div w:id="979530168">
      <w:bodyDiv w:val="1"/>
      <w:marLeft w:val="0"/>
      <w:marRight w:val="0"/>
      <w:marTop w:val="0"/>
      <w:marBottom w:val="0"/>
      <w:divBdr>
        <w:top w:val="none" w:sz="0" w:space="0" w:color="auto"/>
        <w:left w:val="none" w:sz="0" w:space="0" w:color="auto"/>
        <w:bottom w:val="none" w:sz="0" w:space="0" w:color="auto"/>
        <w:right w:val="none" w:sz="0" w:space="0" w:color="auto"/>
      </w:divBdr>
    </w:div>
    <w:div w:id="1048723693">
      <w:bodyDiv w:val="1"/>
      <w:marLeft w:val="0"/>
      <w:marRight w:val="0"/>
      <w:marTop w:val="0"/>
      <w:marBottom w:val="0"/>
      <w:divBdr>
        <w:top w:val="none" w:sz="0" w:space="0" w:color="auto"/>
        <w:left w:val="none" w:sz="0" w:space="0" w:color="auto"/>
        <w:bottom w:val="none" w:sz="0" w:space="0" w:color="auto"/>
        <w:right w:val="none" w:sz="0" w:space="0" w:color="auto"/>
      </w:divBdr>
    </w:div>
    <w:div w:id="17888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772A-D0D5-41B8-86B9-904C036C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25</Pages>
  <Words>5301</Words>
  <Characters>37163</Characters>
  <Application>Microsoft Office Word</Application>
  <DocSecurity>0</DocSecurity>
  <Lines>1548</Lines>
  <Paragraphs>719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2017-11-20T16:11:00Z</cp:lastPrinted>
  <dcterms:created xsi:type="dcterms:W3CDTF">2017-12-06T13:32:00Z</dcterms:created>
  <dcterms:modified xsi:type="dcterms:W3CDTF">2017-12-07T10:32:00Z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