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B7148A54-7697-4AE2-87FD-A934CB8B3DD9" style="width:450.7pt;height:392.9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EXPUNERE DE MOTIVE</w:t>
      </w:r>
    </w:p>
    <w:p>
      <w:pPr>
        <w:pStyle w:val="ManualHeading1"/>
        <w:rPr>
          <w:noProof/>
        </w:rPr>
      </w:pPr>
      <w:r>
        <w:rPr>
          <w:noProof/>
        </w:rPr>
        <w:t>1.</w:t>
      </w:r>
      <w:r>
        <w:rPr>
          <w:noProof/>
        </w:rPr>
        <w:tab/>
        <w:t>CONTEXTUL PROPUNERII</w:t>
      </w:r>
    </w:p>
    <w:p>
      <w:pPr>
        <w:ind w:left="850"/>
        <w:rPr>
          <w:rFonts w:eastAsia="Times New Roman"/>
          <w:noProof/>
        </w:rPr>
      </w:pPr>
      <w:r>
        <w:rPr>
          <w:noProof/>
        </w:rPr>
        <w:t>Următoarea propunere de abrogare a Regulamentului (UE) nr. 256/2014 („regulamentul”) este prezentată în contextul programului REFIT al Comisiei și al angajamentului acesteia pentru o mai bună reglementare. Obiectivul propunerii este de a asigura un cadru legislativ adecvat scopului și de înaltă calitate, după cum se afirmă în Acordul interinstituțional dintre Parlamentul European, Consiliul Uniunii Europene și Comisia Europeană privind o mai bună legiferare</w:t>
      </w:r>
      <w:r>
        <w:rPr>
          <w:rStyle w:val="FootnoteReference"/>
          <w:noProof/>
        </w:rPr>
        <w:footnoteReference w:id="2"/>
      </w:r>
      <w:r>
        <w:rPr>
          <w:noProof/>
        </w:rPr>
        <w:t>. Comisia a constatat că regulamentul în cauză nu mai este adecvat scopului și propune abrogarea lui.</w:t>
      </w:r>
    </w:p>
    <w:p>
      <w:pPr>
        <w:ind w:left="850"/>
        <w:rPr>
          <w:rFonts w:eastAsia="Times New Roman"/>
          <w:noProof/>
          <w:szCs w:val="24"/>
        </w:rPr>
      </w:pPr>
      <w:r>
        <w:rPr>
          <w:noProof/>
        </w:rPr>
        <w:t>Regulamentul (UE) nr. 256/2014 privind notificarea către Comisie a proiectelor de investiții în infrastructura energetică din Uniunea Europeană a fost adoptat, la 26 februarie 2014, pentru a se garanta că politica energetică a UE se dezvoltă în mod eficace și răspunde nevoilor reale ale UE. Regulamentul respectiv a fost sprijinit de Regulamentul de punere în aplicare (UE) nr. 1113/2014 al Comisiei din 16 octombrie 2014, care a stabilit forma și detaliile tehnice pentru notificarea menționată la articolele 3 și 5 din Regulamentul (UE) nr. 256/2014</w:t>
      </w:r>
      <w:r>
        <w:rPr>
          <w:rStyle w:val="FootnoteReference"/>
          <w:noProof/>
        </w:rPr>
        <w:footnoteReference w:id="3"/>
      </w:r>
      <w:r>
        <w:rPr>
          <w:noProof/>
        </w:rPr>
        <w:t>.</w:t>
      </w:r>
    </w:p>
    <w:p>
      <w:pPr>
        <w:ind w:left="850"/>
        <w:rPr>
          <w:rFonts w:eastAsia="Times New Roman"/>
          <w:noProof/>
          <w:szCs w:val="24"/>
        </w:rPr>
      </w:pPr>
      <w:r>
        <w:rPr>
          <w:noProof/>
        </w:rPr>
        <w:t>În temeiul articolului 194 din Tratatul privind funcționarea Uniunii Europene, Regulamentul (UE) nr. 256/2014 și Regulamentul de punere în aplicare (UE) nr. 1113/2014 al Comisiei au prevăzut obligativitatea statelor membre de a notifica Comisiei proiectele de investiții în cazul cărora au demarat deja lucrările de construcție sau de dezafectare sau în cazul cărora a fost adoptată o decizie finală în privința investițiilor. Astfel, Comisia urma să obțină acces la datele și informațiile privind evoluțiile planificate în materie de producție, transport și capacități de stocare și privind proiectele din diferitele sectoare energetice care prezintă interes pentru Uniune și sunt importante pentru viitoarele politici în materie de energie și investiții.</w:t>
      </w:r>
    </w:p>
    <w:p>
      <w:pPr>
        <w:ind w:left="850"/>
        <w:rPr>
          <w:rFonts w:eastAsia="Times New Roman"/>
          <w:noProof/>
          <w:szCs w:val="24"/>
        </w:rPr>
      </w:pPr>
      <w:r>
        <w:rPr>
          <w:noProof/>
        </w:rPr>
        <w:t>Așadar, regulamentul viza să ofere Comisiei o imagine de ansamblu asupra evoluției investițiilor în infrastructura energetică din UE, astfel încât să-și poată îndeplini mai bine responsabilitățile în domeniul energiei.</w:t>
      </w:r>
    </w:p>
    <w:p>
      <w:pPr>
        <w:ind w:left="850"/>
        <w:rPr>
          <w:rFonts w:ascii="Lucida Sans Unicode" w:hAnsi="Lucida Sans Unicode" w:cs="Lucida Sans Unicode"/>
          <w:noProof/>
          <w:color w:val="444444"/>
          <w:sz w:val="19"/>
          <w:szCs w:val="19"/>
        </w:rPr>
      </w:pPr>
      <w:r>
        <w:rPr>
          <w:noProof/>
        </w:rPr>
        <w:t>Obligațiile în temeiul regulamentului în cauză erau deja în vigoare în temeiul Regulamentului (UE, Euratom) nr. 617/2010 al Consiliului din 24 iunie 2010 privind informarea Comisiei cu privire la proiectele de investiții în infrastructura energetică din cadrul Uniunii Europene și de abrogare a Regulamentului (CE) nr. 736/96</w:t>
      </w:r>
      <w:r>
        <w:rPr>
          <w:rStyle w:val="FootnoteReference"/>
          <w:noProof/>
        </w:rPr>
        <w:footnoteReference w:id="4"/>
      </w:r>
      <w:r>
        <w:rPr>
          <w:noProof/>
        </w:rPr>
        <w:t>. Curtea de Justiție a anulat Regulamentul (UE, Euratom) nr. 617/2010 al Consiliului</w:t>
      </w:r>
      <w:r>
        <w:rPr>
          <w:rStyle w:val="FootnoteReference"/>
          <w:noProof/>
        </w:rPr>
        <w:footnoteReference w:id="5"/>
      </w:r>
      <w:r>
        <w:rPr>
          <w:noProof/>
        </w:rPr>
        <w:t xml:space="preserve"> din cauza temeiului juridic greșit, dar efectele regulamentului respectiv au rămas până la adoptarea Regulamentului (UE) nr. 256/2014.</w:t>
      </w:r>
    </w:p>
    <w:p>
      <w:pPr>
        <w:ind w:left="850"/>
        <w:rPr>
          <w:rFonts w:eastAsia="Times New Roman"/>
          <w:noProof/>
          <w:szCs w:val="24"/>
        </w:rPr>
      </w:pPr>
      <w:r>
        <w:rPr>
          <w:noProof/>
        </w:rPr>
        <w:t xml:space="preserve">Statele membre au parcurs trei exerciții de raportare (2011, 2013 și 2015) de când sunt în vigoare obligațiile în temeiul regulamentului în cauză și al predecesorului acestuia, Regulamentul (UE, Euratom) nr. 617/2010 al Consiliului. Așadar, a trecut suficient timp încât Comisia să poată efectua o analiză critică bazată pe dovezi și să poată decide dacă regulamentul a dat și dă rezultatele preconizate. </w:t>
      </w:r>
    </w:p>
    <w:p>
      <w:pPr>
        <w:pStyle w:val="ManualHeading1"/>
        <w:rPr>
          <w:noProof/>
        </w:rPr>
      </w:pPr>
      <w:r>
        <w:rPr>
          <w:noProof/>
        </w:rPr>
        <w:t>2.</w:t>
      </w:r>
      <w:r>
        <w:rPr>
          <w:noProof/>
        </w:rPr>
        <w:tab/>
        <w:t xml:space="preserve">REZULTATELE EVALUĂRILOR </w:t>
      </w:r>
      <w:r>
        <w:rPr>
          <w:i/>
          <w:noProof/>
        </w:rPr>
        <w:t>EX POST</w:t>
      </w:r>
      <w:r>
        <w:rPr>
          <w:noProof/>
        </w:rPr>
        <w:t>, ALE CONSULTĂRILOR CU PĂRȚILE INTERESATE ȘI ALE EVALUĂRILOR IMPACTULUI</w:t>
      </w:r>
    </w:p>
    <w:p>
      <w:pPr>
        <w:pStyle w:val="ManualHeading2"/>
        <w:rPr>
          <w:rFonts w:eastAsia="Arial Unicode MS"/>
          <w:noProof/>
          <w:u w:color="000000"/>
          <w:bdr w:val="nil"/>
        </w:rPr>
      </w:pPr>
      <w:r>
        <w:rPr>
          <w:noProof/>
        </w:rPr>
        <w:t>•</w:t>
      </w:r>
      <w:r>
        <w:rPr>
          <w:noProof/>
        </w:rPr>
        <w:tab/>
        <w:t xml:space="preserve">Evaluările </w:t>
      </w:r>
      <w:r>
        <w:rPr>
          <w:i/>
          <w:noProof/>
        </w:rPr>
        <w:t>ex post</w:t>
      </w:r>
      <w:r>
        <w:rPr>
          <w:noProof/>
        </w:rPr>
        <w:t>, adecvarea reglementărilor și simplificarea</w:t>
      </w:r>
    </w:p>
    <w:p>
      <w:pPr>
        <w:ind w:left="788"/>
        <w:rPr>
          <w:rFonts w:eastAsia="Times New Roman"/>
          <w:noProof/>
        </w:rPr>
      </w:pPr>
      <w:r>
        <w:rPr>
          <w:noProof/>
        </w:rPr>
        <w:t>Comisia a comandat trei studii externe după desfășurarea celor trei exerciții de raportare de către statele membre în temeiul regulamentului în cauză și al predecesorului acestuia. În lumina constatărilor sale, Comisia a reexaminat, în 2016, Regulamentul (UE) nr. 256/2014 în conformitate cu articolul 11 din regulamentul respectiv. Această revizuire a făcut parte din dintr-o verificare a adecvării mai amplă, care a cuprins obligațiile referitoare la planificare și raportare în temeiul corpusului legislativ referitor la energie. Comisia a publicat revizuirea în noiembrie 2016</w:t>
      </w:r>
      <w:r>
        <w:rPr>
          <w:rStyle w:val="FootnoteReference"/>
          <w:noProof/>
        </w:rPr>
        <w:footnoteReference w:id="6"/>
      </w:r>
      <w:r>
        <w:rPr>
          <w:noProof/>
        </w:rPr>
        <w:t>, împreună cu o propunere de regulament privind guvernanța uniunii energetice</w:t>
      </w:r>
      <w:r>
        <w:rPr>
          <w:rStyle w:val="FootnoteReference"/>
          <w:noProof/>
        </w:rPr>
        <w:footnoteReference w:id="7"/>
      </w:r>
      <w:r>
        <w:rPr>
          <w:noProof/>
        </w:rPr>
        <w:t xml:space="preserve">. </w:t>
      </w:r>
    </w:p>
    <w:p>
      <w:pPr>
        <w:ind w:left="788"/>
        <w:rPr>
          <w:rFonts w:eastAsia="Times New Roman"/>
          <w:noProof/>
        </w:rPr>
      </w:pPr>
      <w:r>
        <w:rPr>
          <w:noProof/>
        </w:rPr>
        <w:t>Constatările acestui exercițiu au fost următoarele:</w:t>
      </w:r>
    </w:p>
    <w:p>
      <w:pPr>
        <w:pStyle w:val="ManualNumPar1"/>
        <w:rPr>
          <w:noProof/>
        </w:rPr>
      </w:pPr>
      <w:r>
        <w:t>1.</w:t>
      </w:r>
      <w:r>
        <w:tab/>
      </w:r>
      <w:r>
        <w:rPr>
          <w:noProof/>
        </w:rPr>
        <w:t>Au existat suprapuneri semnificative între obligațiile de raportare în temeiul regulamentului în cauză și obligațiile de raportare către ENTSO-E</w:t>
      </w:r>
      <w:r>
        <w:rPr>
          <w:rStyle w:val="FootnoteReference"/>
          <w:noProof/>
        </w:rPr>
        <w:footnoteReference w:id="8"/>
      </w:r>
      <w:r>
        <w:rPr>
          <w:noProof/>
        </w:rPr>
        <w:t xml:space="preserve"> și ENTSO-G</w:t>
      </w:r>
      <w:r>
        <w:rPr>
          <w:rStyle w:val="FootnoteReference"/>
          <w:noProof/>
        </w:rPr>
        <w:footnoteReference w:id="9"/>
      </w:r>
      <w:r>
        <w:rPr>
          <w:noProof/>
        </w:rPr>
        <w:t xml:space="preserve">, iar obligațiile în temeiul regulamentului în cauză nu au avut o valoare adăugată sau au avut o valoare adăugată nesemnificativă. </w:t>
      </w:r>
    </w:p>
    <w:p>
      <w:pPr>
        <w:pStyle w:val="ManualNumPar1"/>
        <w:rPr>
          <w:noProof/>
        </w:rPr>
      </w:pPr>
      <w:r>
        <w:t>2.</w:t>
      </w:r>
      <w:r>
        <w:tab/>
      </w:r>
      <w:r>
        <w:rPr>
          <w:noProof/>
        </w:rPr>
        <w:t>Majoritatea informațiilor furnizate de statele membre în temeiul regulamentului în cauză pot fi obținute cu ușurință din alte surse: Rețelele europene ale operatorilor de transport și de sistem („ENTSO”), planurile de dezvoltare a rețelei pe zece ani (TYNDPs), rapoartele anuale ale operatorilor de transport și de sistem și ale serviciilor de utilități publice, planurile naționale de dezvoltare sectorială (de exemplu, planurile de acțiune privind energia din surse regenerabile) etc. Mai mult, Comisia colectează regulat informații privind piața prin intermediul propriului sistem de observare a pieței energiei (EMOS).</w:t>
      </w:r>
    </w:p>
    <w:p>
      <w:pPr>
        <w:pStyle w:val="ManualNumPar1"/>
        <w:rPr>
          <w:noProof/>
        </w:rPr>
      </w:pPr>
      <w:r>
        <w:t>3.</w:t>
      </w:r>
      <w:r>
        <w:tab/>
      </w:r>
      <w:r>
        <w:rPr>
          <w:noProof/>
        </w:rPr>
        <w:t>Datele colectate pe parcursul tuturor celor trei exerciții încheiate au acoperit doar aproximativ jumătate din sectorul energetic al UE.</w:t>
      </w:r>
    </w:p>
    <w:p>
      <w:pPr>
        <w:pStyle w:val="ManualNumPar1"/>
        <w:rPr>
          <w:noProof/>
        </w:rPr>
      </w:pPr>
      <w:r>
        <w:t>4.</w:t>
      </w:r>
      <w:r>
        <w:tab/>
      </w:r>
      <w:r>
        <w:rPr>
          <w:noProof/>
        </w:rPr>
        <w:t>Dificultățile inerente implementării unora dintre cerințele regulamentului, în special în ceea ce privește informațiile care trebuie furnizate în legătură cu capacitatea viitoare, au subminat utilitatea celor trei exerciții de raportare desfășurate.</w:t>
      </w:r>
    </w:p>
    <w:p>
      <w:pPr>
        <w:ind w:left="851"/>
        <w:rPr>
          <w:noProof/>
        </w:rPr>
      </w:pPr>
      <w:r>
        <w:rPr>
          <w:noProof/>
        </w:rPr>
        <w:t>În consecință, Comisia a concluzionat că Regulamentul (UE) nr. 256/2014 nu a avut rezultatele preconizate. Prin urmare, ar trebui propusă abrogarea acestuia.</w:t>
      </w:r>
    </w:p>
    <w:p>
      <w:pPr>
        <w:pStyle w:val="ManualHeading2"/>
        <w:rPr>
          <w:rFonts w:eastAsia="Arial Unicode MS"/>
          <w:noProof/>
          <w:u w:color="000000"/>
          <w:bdr w:val="nil"/>
        </w:rPr>
      </w:pPr>
      <w:r>
        <w:rPr>
          <w:noProof/>
        </w:rPr>
        <w:t>•</w:t>
      </w:r>
      <w:r>
        <w:rPr>
          <w:noProof/>
        </w:rPr>
        <w:tab/>
        <w:t>Consultările cu părțile interesate</w:t>
      </w:r>
    </w:p>
    <w:p>
      <w:pPr>
        <w:autoSpaceDE w:val="0"/>
        <w:autoSpaceDN w:val="0"/>
        <w:adjustRightInd w:val="0"/>
        <w:ind w:left="851"/>
        <w:rPr>
          <w:noProof/>
        </w:rPr>
      </w:pPr>
      <w:r>
        <w:rPr>
          <w:noProof/>
        </w:rPr>
        <w:t>Ca parte a activității de pregătire a propunerii de inițiativă legislativă privind guvernanța uniunii energetice</w:t>
      </w:r>
      <w:r>
        <w:rPr>
          <w:rStyle w:val="FootnoteReference"/>
          <w:noProof/>
        </w:rPr>
        <w:footnoteReference w:id="10"/>
      </w:r>
      <w:r>
        <w:rPr>
          <w:noProof/>
        </w:rPr>
        <w:t>, Comisia a desfășurat o amplă consultare pentru a obține perspective și contribuții din partea statelor membre, a părților interesate și a cetățenilor. Consultarea întreba cum ar putea fi îmbunătățite modalitățile de planificare și raportare în sectorul energetic astfel încât să se îndeplinească obiectivele uniunii energetice și să se reducă sarcina administrativă.</w:t>
      </w:r>
    </w:p>
    <w:p>
      <w:pPr>
        <w:autoSpaceDE w:val="0"/>
        <w:autoSpaceDN w:val="0"/>
        <w:adjustRightInd w:val="0"/>
        <w:ind w:left="851"/>
        <w:rPr>
          <w:noProof/>
        </w:rPr>
      </w:pPr>
      <w:r>
        <w:rPr>
          <w:noProof/>
        </w:rPr>
        <w:t>Consultarea publică a fost lansată la 11 ianuarie 2016, a durat peste 12 săptămâni și s-a încheiat la 22 aprilie 2016. Răspunsurile au contribuit la evaluarea efectuată de Comisie și la verificarea adecvării obligațiilor existente referitoare la planificare și raportare, precum și la evaluarea impactului propunerii sale legislative privind guvernanța uniunii energetice.</w:t>
      </w:r>
    </w:p>
    <w:p>
      <w:pPr>
        <w:autoSpaceDE w:val="0"/>
        <w:autoSpaceDN w:val="0"/>
        <w:adjustRightInd w:val="0"/>
        <w:ind w:left="851"/>
        <w:rPr>
          <w:noProof/>
        </w:rPr>
      </w:pPr>
      <w:r>
        <w:rPr>
          <w:noProof/>
        </w:rPr>
        <w:t>Respondenții care au participat la consultare au identificat ca abrogabile obligațiile în temeiul Regulamentului (UE) nr. 256/2014</w:t>
      </w:r>
      <w:r>
        <w:rPr>
          <w:rStyle w:val="FootnoteReference"/>
          <w:noProof/>
        </w:rPr>
        <w:footnoteReference w:id="11"/>
      </w:r>
      <w:r>
        <w:rPr>
          <w:noProof/>
        </w:rPr>
        <w:t>.</w:t>
      </w:r>
    </w:p>
    <w:p>
      <w:pPr>
        <w:autoSpaceDE w:val="0"/>
        <w:autoSpaceDN w:val="0"/>
        <w:adjustRightInd w:val="0"/>
        <w:rPr>
          <w:noProof/>
        </w:rPr>
      </w:pPr>
    </w:p>
    <w:p>
      <w:pPr>
        <w:pStyle w:val="ManualHeading2"/>
        <w:rPr>
          <w:rFonts w:eastAsia="Arial Unicode MS"/>
          <w:noProof/>
          <w:u w:color="000000"/>
          <w:bdr w:val="nil"/>
        </w:rPr>
      </w:pPr>
      <w:r>
        <w:rPr>
          <w:noProof/>
        </w:rPr>
        <w:t>3.</w:t>
      </w:r>
      <w:r>
        <w:rPr>
          <w:noProof/>
        </w:rPr>
        <w:tab/>
        <w:t>ELEMENTELE JURIDICE ALE PROPUNERII</w:t>
      </w:r>
    </w:p>
    <w:p>
      <w:pPr>
        <w:ind w:left="850"/>
        <w:rPr>
          <w:rFonts w:eastAsia="Times New Roman"/>
          <w:noProof/>
        </w:rPr>
      </w:pPr>
      <w:r>
        <w:rPr>
          <w:noProof/>
        </w:rPr>
        <w:t>Propunerea abrogă Regulamentul (UE) nr. 256/2014 al Parlamentului European și al Consiliului din 26 februarie 2014 privind notificarea către Comisie a proiectelor de investiții în infrastructura energetică din Uniunea Europeană, de înlocuire a Regulamentului (UE, Euratom) nr. 617/2010 al Consiliului și de abrogare a Regulamentului (CE) nr. 736/96 al Consiliului.</w:t>
      </w:r>
    </w:p>
    <w:p>
      <w:pPr>
        <w:ind w:left="850"/>
        <w:rPr>
          <w:rFonts w:eastAsia="Times New Roman"/>
          <w:noProof/>
        </w:rPr>
      </w:pPr>
      <w:r>
        <w:rPr>
          <w:noProof/>
        </w:rPr>
        <w:t>Temeiul juridic al Regulamentului (UE) nr. 256/2014, și anume articolul 194 din Tratatul privind funcționarea Uniunii Europene, face obiectul procedurii legislative ordinare. Așadar, Comisia propune Parlamentului European și Consiliului abrogarea respectivului regulament.</w:t>
      </w:r>
    </w:p>
    <w:p>
      <w:pPr>
        <w:pStyle w:val="ManualHeading1"/>
        <w:rPr>
          <w:noProof/>
        </w:rPr>
      </w:pPr>
      <w:r>
        <w:rPr>
          <w:noProof/>
        </w:rPr>
        <w:t>4.</w:t>
      </w:r>
      <w:r>
        <w:rPr>
          <w:noProof/>
        </w:rPr>
        <w:tab/>
        <w:t xml:space="preserve">IMPLICAȚIILE BUGETARE </w:t>
      </w:r>
    </w:p>
    <w:p>
      <w:pPr>
        <w:autoSpaceDE w:val="0"/>
        <w:autoSpaceDN w:val="0"/>
        <w:adjustRightInd w:val="0"/>
        <w:rPr>
          <w:noProof/>
        </w:rPr>
      </w:pPr>
      <w:r>
        <w:rPr>
          <w:noProof/>
        </w:rPr>
        <w:t>Regulamentul avea implicații bugetare foarte limitate, legate de cheltuieli cu tehnologia informației, cu achiziționarea de date și cu rambursarea cheltuielilor experților. Nu se preconiza niciun impact direct nici asupra bugetelor statelor membre.</w:t>
      </w:r>
    </w:p>
    <w:p>
      <w:pPr>
        <w:autoSpaceDE w:val="0"/>
        <w:autoSpaceDN w:val="0"/>
        <w:adjustRightInd w:val="0"/>
        <w:rPr>
          <w:noProof/>
        </w:rPr>
      </w:pPr>
      <w:r>
        <w:rPr>
          <w:noProof/>
        </w:rPr>
        <w:t>Abrogarea regulamentului în cauză va duce la eliminarea cheltuielilor limitate aferente. Abrogarea va contribui la raționalizarea utilizării resurselor Comisiei și ale statelor membre, eliminând obligațiile de raportare duble și prelucrarea unor date care au devenit disponibile din alte surse, de calitate superioară.</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2017/0347 (COD)</w:t>
      </w:r>
    </w:p>
    <w:p>
      <w:pPr>
        <w:pStyle w:val="Statut"/>
        <w:rPr>
          <w:noProof/>
        </w:rPr>
      </w:pPr>
      <w:r>
        <w:rPr>
          <w:noProof/>
        </w:rPr>
        <w:t>Propunere de</w:t>
      </w:r>
    </w:p>
    <w:p>
      <w:pPr>
        <w:pStyle w:val="Typedudocument"/>
        <w:rPr>
          <w:noProof/>
        </w:rPr>
      </w:pPr>
      <w:r>
        <w:rPr>
          <w:noProof/>
        </w:rPr>
        <w:t>REGULAMENT AL PARLAMENTULUI EUROPEAN ŞI AL CONSILIULUI</w:t>
      </w:r>
    </w:p>
    <w:p>
      <w:pPr>
        <w:pStyle w:val="Titreobjet"/>
        <w:rPr>
          <w:noProof/>
        </w:rPr>
      </w:pPr>
      <w:r>
        <w:rPr>
          <w:noProof/>
        </w:rPr>
        <w:t xml:space="preserve">de abrogare a Regulamentului (UE) nr. 256/2014 al Parlamentului European și al Consiliului privind notificarea către Comisie a proiectelor de investiții în infrastructura energetică din Uniunea Europeană </w:t>
      </w:r>
      <w:r>
        <w:rPr>
          <w:noProof/>
        </w:rPr>
        <w:br/>
      </w:r>
      <w:r>
        <w:rPr>
          <w:noProof/>
        </w:rPr>
        <w:br/>
      </w:r>
    </w:p>
    <w:p>
      <w:pPr>
        <w:pStyle w:val="Institutionquiagit"/>
        <w:rPr>
          <w:noProof/>
        </w:rPr>
      </w:pPr>
      <w:r>
        <w:rPr>
          <w:noProof/>
        </w:rPr>
        <w:t>PARLAMENTUL EUROPEAN ȘI CONSILIUL UNIUNII EUROPENE,</w:t>
      </w:r>
    </w:p>
    <w:p>
      <w:pPr>
        <w:rPr>
          <w:noProof/>
        </w:rPr>
      </w:pPr>
      <w:r>
        <w:rPr>
          <w:noProof/>
        </w:rPr>
        <w:t>având în vedere Tratatul privind funcționarea Uniunii Europene, în special articolul 194,</w:t>
      </w:r>
    </w:p>
    <w:p>
      <w:pPr>
        <w:rPr>
          <w:noProof/>
        </w:rPr>
      </w:pPr>
      <w:r>
        <w:rPr>
          <w:noProof/>
        </w:rPr>
        <w:t>având în vedere propunerea Comisiei Europene,</w:t>
      </w:r>
    </w:p>
    <w:p>
      <w:pPr>
        <w:rPr>
          <w:noProof/>
        </w:rPr>
      </w:pPr>
      <w:r>
        <w:rPr>
          <w:noProof/>
        </w:rPr>
        <w:t>după transmiterea proiectului de act legislativ către parlamentele naționale,</w:t>
      </w:r>
    </w:p>
    <w:p>
      <w:pPr>
        <w:rPr>
          <w:noProof/>
        </w:rPr>
      </w:pPr>
      <w:r>
        <w:rPr>
          <w:noProof/>
        </w:rPr>
        <w:t>având în vedere avizul Comitetului Economic și Social European</w:t>
      </w:r>
      <w:r>
        <w:rPr>
          <w:rStyle w:val="FootnoteReference"/>
          <w:noProof/>
        </w:rPr>
        <w:footnoteReference w:id="12"/>
      </w:r>
      <w:r>
        <w:rPr>
          <w:noProof/>
        </w:rPr>
        <w:t>,</w:t>
      </w:r>
    </w:p>
    <w:p>
      <w:pPr>
        <w:rPr>
          <w:noProof/>
        </w:rPr>
      </w:pPr>
      <w:r>
        <w:rPr>
          <w:noProof/>
        </w:rPr>
        <w:t>având în vedere avizul Comitetului Regiunilor</w:t>
      </w:r>
      <w:r>
        <w:rPr>
          <w:rStyle w:val="FootnoteReference"/>
          <w:noProof/>
        </w:rPr>
        <w:footnoteReference w:id="13"/>
      </w:r>
      <w:r>
        <w:rPr>
          <w:noProof/>
        </w:rPr>
        <w:t xml:space="preserve">, </w:t>
      </w:r>
    </w:p>
    <w:p>
      <w:pPr>
        <w:rPr>
          <w:noProof/>
        </w:rPr>
      </w:pPr>
      <w:r>
        <w:rPr>
          <w:noProof/>
        </w:rPr>
        <w:t>hotărând în conformitate cu procedura legislativă ordinară,</w:t>
      </w:r>
    </w:p>
    <w:p>
      <w:pPr>
        <w:rPr>
          <w:noProof/>
        </w:rPr>
      </w:pPr>
      <w:r>
        <w:rPr>
          <w:noProof/>
        </w:rPr>
        <w:t>întrucât:</w:t>
      </w:r>
    </w:p>
    <w:p>
      <w:pPr>
        <w:pStyle w:val="ManualConsidrant"/>
        <w:rPr>
          <w:noProof/>
        </w:rPr>
      </w:pPr>
      <w:r>
        <w:t>(1)</w:t>
      </w:r>
      <w:r>
        <w:tab/>
      </w:r>
      <w:r>
        <w:rPr>
          <w:noProof/>
        </w:rPr>
        <w:t>Parlamentul European, Consiliul Uniunii Europene și Comisia Europeană au confirmat, în cadrul Acordului interinstituțional privind o mai bună legiferare din 13 aprilie 2016</w:t>
      </w:r>
      <w:r>
        <w:rPr>
          <w:rStyle w:val="FootnoteReference"/>
          <w:noProof/>
        </w:rPr>
        <w:footnoteReference w:id="14"/>
      </w:r>
      <w:r>
        <w:rPr>
          <w:noProof/>
        </w:rPr>
        <w:t>, angajamentul lor comun pentru actualizarea și simplificarea legislației.</w:t>
      </w:r>
    </w:p>
    <w:p>
      <w:pPr>
        <w:pStyle w:val="ManualConsidrant"/>
        <w:rPr>
          <w:noProof/>
        </w:rPr>
      </w:pPr>
      <w:r>
        <w:t>(2)</w:t>
      </w:r>
      <w:r>
        <w:tab/>
      </w:r>
      <w:r>
        <w:rPr>
          <w:noProof/>
        </w:rPr>
        <w:t>Pentru a raționaliza și pentru a reduce volumul legislației, trebuie identificate acte legislative care sunt depășite și nu mai sunt adecvate scopului. Abrogarea unor astfel de acte legislative întreține un cadru legislativ transparent, clar și ușor de utilizat.</w:t>
      </w:r>
    </w:p>
    <w:p>
      <w:pPr>
        <w:pStyle w:val="ManualConsidrant"/>
        <w:rPr>
          <w:noProof/>
        </w:rPr>
      </w:pPr>
      <w:r>
        <w:t>(3)</w:t>
      </w:r>
      <w:r>
        <w:tab/>
      </w:r>
      <w:r>
        <w:rPr>
          <w:noProof/>
        </w:rPr>
        <w:t>Regulamentul (UE) nr. 256/2014 al Parlamentului European și al Consiliului</w:t>
      </w:r>
      <w:r>
        <w:rPr>
          <w:rStyle w:val="FootnoteReference"/>
          <w:noProof/>
        </w:rPr>
        <w:footnoteReference w:id="15"/>
      </w:r>
      <w:r>
        <w:rPr>
          <w:noProof/>
        </w:rPr>
        <w:t xml:space="preserve"> prevedea obligativitatea statelor membre de a notifica Comisiei proiectele de investiții în cazul cărora au demarat deja lucrările de construcție sau de dezafectare sau în cazul cărora a fost adoptată o decizie finală în privința investițiilor. </w:t>
      </w:r>
    </w:p>
    <w:p>
      <w:pPr>
        <w:pStyle w:val="ManualConsidrant"/>
        <w:rPr>
          <w:noProof/>
        </w:rPr>
      </w:pPr>
      <w:r>
        <w:t>(4)</w:t>
      </w:r>
      <w:r>
        <w:tab/>
      </w:r>
      <w:r>
        <w:rPr>
          <w:noProof/>
        </w:rPr>
        <w:t>Obligațiile în temeiul Regulamentului (UE) nr. 256/2014 referitoare la notificarea proiectelor de investiții și a anumitor informații și date aferente existau deja în temeiul Regulamentului (UE, Euratom) nr. 617/2010 al Consiliului</w:t>
      </w:r>
      <w:r>
        <w:rPr>
          <w:rStyle w:val="FootnoteReference"/>
          <w:noProof/>
        </w:rPr>
        <w:footnoteReference w:id="16"/>
      </w:r>
      <w:r>
        <w:rPr>
          <w:noProof/>
        </w:rPr>
        <w:t>. Curtea de Justiție a anulat Regulamentul (UE, Euratom) nr. 617/2010</w:t>
      </w:r>
      <w:r>
        <w:rPr>
          <w:rStyle w:val="FootnoteReference"/>
          <w:noProof/>
        </w:rPr>
        <w:footnoteReference w:id="17"/>
      </w:r>
      <w:r>
        <w:rPr>
          <w:noProof/>
        </w:rPr>
        <w:t xml:space="preserve"> din cauză că nu avea temeiul juridic corect, dar efectele regulamentului respectiv au fost menținute până la adoptarea Regulamentului (UE) nr. 256/2014. </w:t>
      </w:r>
    </w:p>
    <w:p>
      <w:pPr>
        <w:pStyle w:val="ManualConsidrant"/>
        <w:rPr>
          <w:noProof/>
        </w:rPr>
      </w:pPr>
      <w:r>
        <w:t>(5)</w:t>
      </w:r>
      <w:r>
        <w:tab/>
      </w:r>
      <w:r>
        <w:rPr>
          <w:noProof/>
        </w:rPr>
        <w:t>Cadrul legislativ anterior avea menirea de a furniza Comisiei date și informații privind evoluțiile planificate în materie de producție, transport și capacități de stocare, precum și privind proiectele din sectoarele energetice. Avea rolul de a oferi Comisiei o imagine de ansamblu asupra evoluției investițiilor în infrastructura energetică din Uniune.</w:t>
      </w:r>
    </w:p>
    <w:p>
      <w:pPr>
        <w:pStyle w:val="ManualConsidrant"/>
        <w:rPr>
          <w:noProof/>
        </w:rPr>
      </w:pPr>
      <w:r>
        <w:t>(6)</w:t>
      </w:r>
      <w:r>
        <w:tab/>
      </w:r>
      <w:r>
        <w:rPr>
          <w:noProof/>
        </w:rPr>
        <w:t xml:space="preserve">Au avut loc trei exerciții de raportare de la crearea obligațiilor în temeiul Regulamentului (UE) nr. 256/2014 și al Regulamentului (UE, Euratom) nr. 617/2010 al Consiliului (în 2011, 2013 și 2015). În plus, Comisia a comandat trei studii externe după desfășurarea celor trei exerciții de raportare de către statele membre în temeiul Regulamentului (UE) nr. 256/2014. În consecință, a trecut suficient timp și s-a dobândit suficientă experiență încât Comisia să poată efectua o analiză critică bazată pe dovezi și să poată decide dacă regulamentul a dat rezultatele preconizate. </w:t>
      </w:r>
    </w:p>
    <w:p>
      <w:pPr>
        <w:pStyle w:val="ManualConsidrant"/>
        <w:rPr>
          <w:noProof/>
        </w:rPr>
      </w:pPr>
      <w:r>
        <w:t>(7)</w:t>
      </w:r>
      <w:r>
        <w:tab/>
      </w:r>
      <w:r>
        <w:rPr>
          <w:noProof/>
        </w:rPr>
        <w:t>În 2016, Comisia a efectuat reexaminarea prevăzută la articolul 11 din Regulamentul (UE) nr. 256/2014, desfășurând inclusiv o consultare a părților interesate care a vizat toate obligațiile referitoare la planificare și raportare din sectorul energetic. Comisia a ajuns la concluzia că au existat suprapuneri semnificative între obligațiile de raportare în temeiul Regulamentului (UE) nr. 256/2014 și obligațiile de raportare către operatorii de transport și de sistem ENTSO-E și ENTSO-G. De asemenea, a reieșit că informațiile și datele primite erau adesea de proastă calitate și necorespunzătoare și că respectivele informații și date deveniseră disponibile pentru Comisie prin intermediul altor surse, precum Rețelele europene ale operatorilor de transport și de sistem („ENTSO”), planurile de dezvoltare a rețelei pe zece ani (TYNDPs), rapoartele anuale ale operatorilor de transport și de sistem și ale serviciilor de utilități publice, planurile naționale de dezvoltare etc. În plus, s-a observat că Comisia avea acces direct la date privind piața prin intermediul propriului sistem de observare a pieței energiei (EMOS).</w:t>
      </w:r>
    </w:p>
    <w:p>
      <w:pPr>
        <w:pStyle w:val="ManualConsidrant"/>
        <w:rPr>
          <w:noProof/>
        </w:rPr>
      </w:pPr>
      <w:r>
        <w:t>(8)</w:t>
      </w:r>
      <w:r>
        <w:tab/>
      </w:r>
      <w:r>
        <w:rPr>
          <w:noProof/>
        </w:rPr>
        <w:t>Prin urmare, Regulamentul (UE) nr. 256/2014 nu a dat rezultatele preconizate în ceea ce privește cantitatea, calitatea și caracterul adecvat al datelor și informațiilor primite de Comisie.</w:t>
      </w:r>
    </w:p>
    <w:p>
      <w:pPr>
        <w:pStyle w:val="ManualConsidrant"/>
        <w:rPr>
          <w:noProof/>
        </w:rPr>
      </w:pPr>
      <w:r>
        <w:t>(9)</w:t>
      </w:r>
      <w:r>
        <w:tab/>
      </w:r>
      <w:r>
        <w:rPr>
          <w:noProof/>
        </w:rPr>
        <w:t>În consecință, Regulamentul (UE) nr. 256/2014 ar trebui abrogat,</w:t>
      </w:r>
    </w:p>
    <w:p>
      <w:pPr>
        <w:pStyle w:val="Formuledadoption"/>
        <w:rPr>
          <w:noProof/>
        </w:rPr>
      </w:pPr>
      <w:r>
        <w:rPr>
          <w:noProof/>
        </w:rPr>
        <w:t>ADOPTĂ PREZENTUL REGULAMENT:</w:t>
      </w:r>
    </w:p>
    <w:p>
      <w:pPr>
        <w:pStyle w:val="Titrearticle"/>
        <w:rPr>
          <w:noProof/>
        </w:rPr>
      </w:pPr>
      <w:r>
        <w:rPr>
          <w:noProof/>
        </w:rPr>
        <w:t>Articolul 1</w:t>
      </w:r>
    </w:p>
    <w:p>
      <w:pPr>
        <w:rPr>
          <w:noProof/>
        </w:rPr>
      </w:pPr>
      <w:r>
        <w:rPr>
          <w:noProof/>
        </w:rPr>
        <w:t>Regulamentul (UE) nr. 256/2014 se abrogă.</w:t>
      </w:r>
    </w:p>
    <w:p>
      <w:pPr>
        <w:rPr>
          <w:noProof/>
        </w:rPr>
      </w:pPr>
    </w:p>
    <w:p>
      <w:pPr>
        <w:pStyle w:val="Titrearticle"/>
        <w:rPr>
          <w:noProof/>
        </w:rPr>
      </w:pPr>
      <w:r>
        <w:rPr>
          <w:noProof/>
        </w:rPr>
        <w:t>Articolul 2</w:t>
      </w:r>
    </w:p>
    <w:p>
      <w:pPr>
        <w:rPr>
          <w:noProof/>
        </w:rPr>
      </w:pPr>
      <w:r>
        <w:rPr>
          <w:noProof/>
        </w:rPr>
        <w:t xml:space="preserve">Prezentul regulament intră în vigoare în a douăzecea zi de la data publicării în </w:t>
      </w:r>
      <w:r>
        <w:rPr>
          <w:i/>
          <w:noProof/>
        </w:rPr>
        <w:t>Jurnalul Oficial al Uniunii Europene</w:t>
      </w:r>
      <w:r>
        <w:rPr>
          <w:noProof/>
        </w:rPr>
        <w:t xml:space="preserve">. </w:t>
      </w:r>
    </w:p>
    <w:p>
      <w:pPr>
        <w:pStyle w:val="Applicationdirecte"/>
        <w:rPr>
          <w:noProof/>
        </w:rPr>
      </w:pPr>
      <w:r>
        <w:rPr>
          <w:noProof/>
        </w:rPr>
        <w:t>Prezentul regulament este obligatoriu în toate elementele sale și se aplică direct în toate statele membre.</w:t>
      </w:r>
    </w:p>
    <w:p>
      <w:pPr>
        <w:pStyle w:val="Fait"/>
        <w:rPr>
          <w:noProof/>
        </w:rPr>
      </w:pPr>
      <w:r>
        <w:t>Adoptat la Bruxelles,</w:t>
      </w:r>
    </w:p>
    <w:p>
      <w:pPr>
        <w:pStyle w:val="Institutionquisigne"/>
        <w:rPr>
          <w:noProof/>
        </w:rPr>
      </w:pPr>
      <w:r>
        <w:rPr>
          <w:noProof/>
        </w:rPr>
        <w:t>Pentru Parlamentul European</w:t>
      </w:r>
      <w:r>
        <w:rPr>
          <w:noProof/>
        </w:rPr>
        <w:tab/>
        <w:t>Pentru Consiliu</w:t>
      </w:r>
    </w:p>
    <w:p>
      <w:pPr>
        <w:pStyle w:val="Personnequisigne"/>
        <w:rPr>
          <w:noProof/>
        </w:rPr>
      </w:pPr>
      <w:r>
        <w:rPr>
          <w:noProof/>
        </w:rPr>
        <w:t>Președintele</w:t>
      </w:r>
      <w:r>
        <w:rPr>
          <w:noProof/>
        </w:rPr>
        <w:tab/>
        <w:t>Președintele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r>
      <w:r>
        <w:rPr>
          <w:rStyle w:val="Strong"/>
          <w:b w:val="0"/>
        </w:rPr>
        <w:t>Acord interinstituțional între Parlamentul European, Consiliul Uniunii Europene și Comisia Europeană privind o mai bună legiferare</w:t>
      </w:r>
      <w:r>
        <w:rPr>
          <w:rStyle w:val="Strong"/>
        </w:rPr>
        <w:t xml:space="preserve">. </w:t>
      </w:r>
      <w:r>
        <w:rPr>
          <w:rStyle w:val="Hyperlink"/>
          <w:color w:val="auto"/>
        </w:rPr>
        <w:t>JO L 123, 12.5.2016, p. 1.</w:t>
      </w:r>
    </w:p>
  </w:footnote>
  <w:footnote w:id="3">
    <w:p>
      <w:pPr>
        <w:pStyle w:val="FootnoteText"/>
      </w:pPr>
      <w:r>
        <w:rPr>
          <w:rStyle w:val="FootnoteReference"/>
        </w:rPr>
        <w:footnoteRef/>
      </w:r>
      <w:r>
        <w:tab/>
      </w:r>
      <w:r>
        <w:rPr>
          <w:rStyle w:val="Strong"/>
          <w:b w:val="0"/>
        </w:rPr>
        <w:t>JO L 302, 22.10.2014, p. 26.</w:t>
      </w:r>
      <w:r>
        <w:rPr>
          <w:rFonts w:ascii="Lucida Sans Unicode" w:hAnsi="Lucida Sans Unicode"/>
          <w:sz w:val="19"/>
        </w:rPr>
        <w:t xml:space="preserve"> </w:t>
      </w:r>
    </w:p>
  </w:footnote>
  <w:footnote w:id="4">
    <w:p>
      <w:pPr>
        <w:pStyle w:val="FootnoteText"/>
      </w:pPr>
      <w:r>
        <w:rPr>
          <w:rStyle w:val="FootnoteReference"/>
        </w:rPr>
        <w:footnoteRef/>
      </w:r>
      <w:r>
        <w:tab/>
      </w:r>
      <w:hyperlink r:id="rId1">
        <w:r>
          <w:rPr>
            <w:rStyle w:val="Hyperlink"/>
            <w:color w:val="auto"/>
            <w:u w:val="none"/>
          </w:rPr>
          <w:t>JO L 180, 15.7.2010, p. 7.</w:t>
        </w:r>
      </w:hyperlink>
    </w:p>
  </w:footnote>
  <w:footnote w:id="5">
    <w:p>
      <w:pPr>
        <w:pStyle w:val="FootnoteText"/>
      </w:pPr>
      <w:r>
        <w:rPr>
          <w:rStyle w:val="FootnoteReference"/>
        </w:rPr>
        <w:footnoteRef/>
      </w:r>
      <w:r>
        <w:tab/>
        <w:t>Hotărârea Curții de Justiție din 6 septembrie 2012, Parlamentul/Consiliul, C-490/10, EU:C:2012:525.</w:t>
      </w:r>
    </w:p>
  </w:footnote>
  <w:footnote w:id="6">
    <w:p>
      <w:pPr>
        <w:pStyle w:val="FootnoteText"/>
        <w:jc w:val="left"/>
      </w:pPr>
      <w:r>
        <w:rPr>
          <w:rStyle w:val="FootnoteReference"/>
        </w:rPr>
        <w:footnoteRef/>
      </w:r>
      <w:r>
        <w:tab/>
        <w:t xml:space="preserve">Documentul de lucru al serviciilor Comisiei(2016) 396 final. </w:t>
      </w:r>
      <w:hyperlink r:id="rId2">
        <w:r>
          <w:rPr>
            <w:rStyle w:val="Hyperlink"/>
            <w:color w:val="auto"/>
          </w:rPr>
          <w:t>http://ec.europa.eu/energy/sites/ener/files/documents/1_en_autre_document_travail_service_part1_v4.pdf</w:t>
        </w:r>
      </w:hyperlink>
    </w:p>
  </w:footnote>
  <w:footnote w:id="7">
    <w:p>
      <w:pPr>
        <w:pStyle w:val="FootnoteText"/>
      </w:pPr>
      <w:r>
        <w:rPr>
          <w:rStyle w:val="FootnoteReference"/>
        </w:rPr>
        <w:footnoteRef/>
      </w:r>
      <w:r>
        <w:tab/>
        <w:t>COM/2016/0759 final/2 - 2016/0375 (COD).</w:t>
      </w:r>
      <w:r>
        <w:rPr>
          <w:rFonts w:ascii="Lucida Sans Unicode" w:hAnsi="Lucida Sans Unicode"/>
          <w:sz w:val="19"/>
        </w:rPr>
        <w:t xml:space="preserve"> </w:t>
      </w:r>
      <w:r>
        <w:t xml:space="preserve">Propunerea Comisiei de Regulament al Parlamentului European și al Consiliului privind guvernanța uniunii energetice, de modificare a Directivei 94/22/CE, a Directivei 98/70/CE, a Directivei 2009/31/CE, a Regulamentului (CE) nr. 663/2009, a Regulamentului (CE) nr. 715/2009, a Directivei 2009/73/CE, a Directivei 2009/119/CE a Consiliului, a Directivei 2010/31/UE, a Directivei 2012/27/UE, a Directivei 2013/30/UE și a Directivei (UE) 2015/652 a Consiliului și de abrogare a Regulamentului (UE) nr. 525/2013. </w:t>
      </w:r>
    </w:p>
  </w:footnote>
  <w:footnote w:id="8">
    <w:p>
      <w:pPr>
        <w:pStyle w:val="FootnoteText"/>
      </w:pPr>
      <w:r>
        <w:rPr>
          <w:rStyle w:val="FootnoteReference"/>
        </w:rPr>
        <w:footnoteRef/>
      </w:r>
      <w:r>
        <w:tab/>
        <w:t>Rețeaua europeană a operatorilor de sisteme de transport de energie electrică</w:t>
      </w:r>
    </w:p>
  </w:footnote>
  <w:footnote w:id="9">
    <w:p>
      <w:pPr>
        <w:pStyle w:val="FootnoteText"/>
      </w:pPr>
      <w:r>
        <w:rPr>
          <w:rStyle w:val="FootnoteReference"/>
        </w:rPr>
        <w:footnoteRef/>
      </w:r>
      <w:r>
        <w:tab/>
        <w:t>Rețeaua europeană a operatorilor de transport și de sistem de gaze naturale</w:t>
      </w:r>
    </w:p>
  </w:footnote>
  <w:footnote w:id="10">
    <w:p>
      <w:pPr>
        <w:pStyle w:val="FootnoteText"/>
      </w:pPr>
      <w:r>
        <w:rPr>
          <w:rStyle w:val="FootnoteReference"/>
        </w:rPr>
        <w:footnoteRef/>
      </w:r>
      <w:r>
        <w:tab/>
        <w:t>COM/2016/0759 final/2 - 2016/0375 (COD).</w:t>
      </w:r>
      <w:r>
        <w:rPr>
          <w:rFonts w:ascii="Lucida Sans Unicode" w:hAnsi="Lucida Sans Unicode"/>
          <w:sz w:val="19"/>
        </w:rPr>
        <w:t xml:space="preserve"> </w:t>
      </w:r>
      <w:r>
        <w:t xml:space="preserve">Propunerea Comisiei de Regulament al Parlamentului European și al Consiliului privind guvernanța uniunii energetice, de modificare a Directivei 94/22/CE, a Directivei 98/70/CE, a Directivei 2009/31/CE, a Regulamentului (CE) nr. 663/2009, a Regulamentului (CE) nr. 715/2009, a Directivei 2009/73/CE, a Directivei 2009/119/CE a Consiliului, a Directivei 2010/31/UE, a Directivei 2012/27/UE, a Directivei 2013/30/UE și a Directivei (UE) 2015/652 a Consiliului și de abrogare a Regulamentului (UE) nr. 525/2013. </w:t>
      </w:r>
    </w:p>
  </w:footnote>
  <w:footnote w:id="11">
    <w:p>
      <w:pPr>
        <w:pStyle w:val="FootnoteText"/>
        <w:rPr>
          <w:lang w:val="pt-PT"/>
        </w:rPr>
      </w:pPr>
      <w:r>
        <w:rPr>
          <w:rStyle w:val="FootnoteReference"/>
        </w:rPr>
        <w:footnoteRef/>
      </w:r>
      <w:r>
        <w:rPr>
          <w:lang w:val="pt-PT"/>
        </w:rPr>
        <w:tab/>
        <w:t>A se vedea ibidem SWD(2016) 396 final, p. 118.</w:t>
      </w:r>
    </w:p>
  </w:footnote>
  <w:footnote w:id="12">
    <w:p>
      <w:pPr>
        <w:pStyle w:val="FootnoteText"/>
        <w:rPr>
          <w:lang w:val="fi-FI"/>
        </w:rPr>
      </w:pPr>
      <w:r>
        <w:rPr>
          <w:rStyle w:val="FootnoteReference"/>
        </w:rPr>
        <w:footnoteRef/>
      </w:r>
      <w:r>
        <w:rPr>
          <w:lang w:val="fi-FI"/>
        </w:rPr>
        <w:tab/>
        <w:t>JO C […], […], p. […].</w:t>
      </w:r>
    </w:p>
  </w:footnote>
  <w:footnote w:id="13">
    <w:p>
      <w:pPr>
        <w:pStyle w:val="FootnoteText"/>
        <w:rPr>
          <w:lang w:val="fi-FI"/>
        </w:rPr>
      </w:pPr>
      <w:r>
        <w:rPr>
          <w:rStyle w:val="FootnoteReference"/>
        </w:rPr>
        <w:footnoteRef/>
      </w:r>
      <w:r>
        <w:rPr>
          <w:lang w:val="fi-FI"/>
        </w:rPr>
        <w:tab/>
        <w:t>JO C […], […], p. […].</w:t>
      </w:r>
    </w:p>
  </w:footnote>
  <w:footnote w:id="14">
    <w:p>
      <w:pPr>
        <w:pStyle w:val="FootnoteText"/>
        <w:rPr>
          <w:lang w:val="fi-FI"/>
        </w:rPr>
      </w:pPr>
      <w:r>
        <w:rPr>
          <w:rStyle w:val="FootnoteReference"/>
        </w:rPr>
        <w:footnoteRef/>
      </w:r>
      <w:r>
        <w:rPr>
          <w:lang w:val="fi-FI"/>
        </w:rPr>
        <w:tab/>
        <w:t>JO L 123, 12.5.2016, p. 1.</w:t>
      </w:r>
    </w:p>
  </w:footnote>
  <w:footnote w:id="15">
    <w:p>
      <w:pPr>
        <w:pStyle w:val="FootnoteText"/>
        <w:rPr>
          <w:lang w:val="fi-FI"/>
        </w:rPr>
      </w:pPr>
      <w:r>
        <w:rPr>
          <w:rStyle w:val="FootnoteReference"/>
        </w:rPr>
        <w:footnoteRef/>
      </w:r>
      <w:r>
        <w:rPr>
          <w:lang w:val="fi-FI"/>
        </w:rPr>
        <w:tab/>
        <w:t>Regulamentul (UE) nr. 256/2014 al Parlamentului European și al Consiliului din 26 februarie 2014 privind notificarea către Comisie a proiectelor de investiții în infrastructura energetică din Uniunea Europeană, de înlocuire a Regulamentului (UE, Euratom) nr. 617/2010 al Consiliului și de abrogare a Regulamentului (CE) nr. 736/96 al Consiliului (JO L 84, 20.3.2014, p. 61).</w:t>
      </w:r>
    </w:p>
  </w:footnote>
  <w:footnote w:id="16">
    <w:p>
      <w:pPr>
        <w:pStyle w:val="FootnoteText"/>
        <w:rPr>
          <w:lang w:val="fi-FI"/>
        </w:rPr>
      </w:pPr>
      <w:r>
        <w:rPr>
          <w:rStyle w:val="FootnoteReference"/>
        </w:rPr>
        <w:footnoteRef/>
      </w:r>
      <w:r>
        <w:rPr>
          <w:lang w:val="fi-FI"/>
        </w:rPr>
        <w:tab/>
        <w:t>Regulamentul (UE, Euratom) nr. 617/2010 al Consiliului din 24 iunie 2010 privind informarea Comisiei cu privire la proiectele de investiții în infrastructura energetică din cadrul Uniunii Europene și de abrogare a Regulamentului (CE) nr. 736/96 (</w:t>
      </w:r>
      <w:hyperlink r:id="rId3">
        <w:r>
          <w:rPr>
            <w:rStyle w:val="Hyperlink"/>
            <w:color w:val="auto"/>
            <w:u w:val="none"/>
            <w:lang w:val="fi-FI"/>
          </w:rPr>
          <w:t>JO L 180, 15.7.2010, p. 7).</w:t>
        </w:r>
      </w:hyperlink>
    </w:p>
  </w:footnote>
  <w:footnote w:id="17">
    <w:p>
      <w:pPr>
        <w:pStyle w:val="FootnoteText"/>
      </w:pPr>
      <w:r>
        <w:rPr>
          <w:rStyle w:val="FootnoteReference"/>
        </w:rPr>
        <w:footnoteRef/>
      </w:r>
      <w:r>
        <w:tab/>
        <w:t>Hotărârea Curții de Justiție din 6 septembrie 2012, Parlamentul/Consiliul, C-490/10, EU:C:2012:525.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950786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6681B5E"/>
    <w:lvl w:ilvl="0">
      <w:start w:val="1"/>
      <w:numFmt w:val="decimal"/>
      <w:pStyle w:val="ListNumber3"/>
      <w:lvlText w:val="%1."/>
      <w:lvlJc w:val="left"/>
      <w:pPr>
        <w:tabs>
          <w:tab w:val="num" w:pos="926"/>
        </w:tabs>
        <w:ind w:left="926" w:hanging="360"/>
      </w:pPr>
    </w:lvl>
  </w:abstractNum>
  <w:abstractNum w:abstractNumId="2">
    <w:nsid w:val="FFFFFF7F"/>
    <w:multiLevelType w:val="singleLevel"/>
    <w:tmpl w:val="D8BEA206"/>
    <w:lvl w:ilvl="0">
      <w:start w:val="1"/>
      <w:numFmt w:val="decimal"/>
      <w:pStyle w:val="ListNumber2"/>
      <w:lvlText w:val="%1."/>
      <w:lvlJc w:val="left"/>
      <w:pPr>
        <w:tabs>
          <w:tab w:val="num" w:pos="643"/>
        </w:tabs>
        <w:ind w:left="643" w:hanging="360"/>
      </w:pPr>
    </w:lvl>
  </w:abstractNum>
  <w:abstractNum w:abstractNumId="3">
    <w:nsid w:val="FFFFFF81"/>
    <w:multiLevelType w:val="singleLevel"/>
    <w:tmpl w:val="042AFA9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8AEAF6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F9030D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064E98E"/>
    <w:lvl w:ilvl="0">
      <w:start w:val="1"/>
      <w:numFmt w:val="decimal"/>
      <w:pStyle w:val="ListNumber"/>
      <w:lvlText w:val="%1."/>
      <w:lvlJc w:val="left"/>
      <w:pPr>
        <w:tabs>
          <w:tab w:val="num" w:pos="360"/>
        </w:tabs>
        <w:ind w:left="360" w:hanging="360"/>
      </w:pPr>
    </w:lvl>
  </w:abstractNum>
  <w:abstractNum w:abstractNumId="7">
    <w:nsid w:val="FFFFFF89"/>
    <w:multiLevelType w:val="singleLevel"/>
    <w:tmpl w:val="9332737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7-12-18 16:18:44"/>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4"/>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B7148A54-7697-4AE2-87FD-A934CB8B3DD9"/>
    <w:docVar w:name="LW_COVERPAGE_TYPE" w:val="1"/>
    <w:docVar w:name="LW_CROSSREFERENCE" w:val="&lt;UNUSED&gt;"/>
    <w:docVar w:name="LW_DocType" w:val="COM"/>
    <w:docVar w:name="LW_EMISSION" w:val="19.12.2017"/>
    <w:docVar w:name="LW_EMISSION_ISODATE" w:val="2017-12-19"/>
    <w:docVar w:name="LW_EMISSION_LOCATION" w:val="BRX"/>
    <w:docVar w:name="LW_EMISSION_PREFIX" w:val="Bruxelles,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RO"/>
    <w:docVar w:name="LW_LEVEL_OF_SENSITIVITY" w:val="Standard treatment"/>
    <w:docVar w:name="LW_NOM.INST" w:val="COMISIA EUROPEAN\u258?"/>
    <w:docVar w:name="LW_NOM.INST_JOINTDOC" w:val="&lt;EMPTY&gt;"/>
    <w:docVar w:name="LW_PART_NBR" w:val="1"/>
    <w:docVar w:name="LW_PART_NBR_TOTAL" w:val="1"/>
    <w:docVar w:name="LW_REF.II.NEW.CP" w:val="COD"/>
    <w:docVar w:name="LW_REF.II.NEW.CP_NUMBER" w:val="0347"/>
    <w:docVar w:name="LW_REF.II.NEW.CP_YEAR" w:val="2017"/>
    <w:docVar w:name="LW_REF.INST.NEW" w:val="COM"/>
    <w:docVar w:name="LW_REF.INST.NEW_ADOPTED" w:val="final"/>
    <w:docVar w:name="LW_REF.INST.NEW_TEXT" w:val="(2017) 76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Propunere de"/>
    <w:docVar w:name="LW_SUPERTITRE" w:val="&lt;UNUSED&gt;"/>
    <w:docVar w:name="LW_TITRE.OBJ.CP" w:val="de abrogare a Regulamentului (UE) nr. 256/2014 al Parlamentului European \u537?i al Consiliului privind notificarea c\u259?tre Comisie a proiectelor de investi\u539?ii în infrastructura energetic\u259? din Uniunea European\u259? _x000b__x000b_"/>
    <w:docVar w:name="LW_TYPE.DOC.CP" w:val="REGULAMENT AL PARLAMENTULUI EUROPEAN \u350?I AL CONSILIULUI"/>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basedOn w:val="DefaultParagraphFont"/>
    <w:uiPriority w:val="99"/>
    <w:unhideWhenUsed/>
    <w:rPr>
      <w:color w:val="0000FF"/>
      <w:u w:val="single"/>
    </w:rPr>
  </w:style>
  <w:style w:type="character" w:customStyle="1" w:styleId="super">
    <w:name w:val="super"/>
    <w:basedOn w:val="DefaultParagraphFont"/>
    <w:rPr>
      <w:sz w:val="17"/>
      <w:szCs w:val="17"/>
      <w:vertAlign w:val="superscript"/>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otnote">
    <w:name w:val="Footnote"/>
    <w:basedOn w:val="Default"/>
    <w:rPr>
      <w:color w:val="auto"/>
      <w:sz w:val="20"/>
      <w:szCs w:val="20"/>
    </w:rPr>
  </w:style>
  <w:style w:type="character" w:styleId="Strong">
    <w:name w:val="Strong"/>
    <w:basedOn w:val="DefaultParagraphFont"/>
    <w:uiPriority w:val="22"/>
    <w:qFormat/>
    <w:rPr>
      <w:b/>
      <w:bCs/>
    </w:rPr>
  </w:style>
  <w:style w:type="paragraph" w:customStyle="1" w:styleId="doc-ti2">
    <w:name w:val="doc-ti2"/>
    <w:basedOn w:val="Normal"/>
    <w:pPr>
      <w:spacing w:before="240" w:line="312" w:lineRule="atLeast"/>
      <w:jc w:val="center"/>
    </w:pPr>
    <w:rPr>
      <w:rFonts w:eastAsia="Times New Roman"/>
      <w:b/>
      <w:bCs/>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basedOn w:val="DefaultParagraphFont"/>
    <w:uiPriority w:val="99"/>
    <w:unhideWhenUsed/>
    <w:rPr>
      <w:color w:val="0000FF"/>
      <w:u w:val="single"/>
    </w:rPr>
  </w:style>
  <w:style w:type="character" w:customStyle="1" w:styleId="super">
    <w:name w:val="super"/>
    <w:basedOn w:val="DefaultParagraphFont"/>
    <w:rPr>
      <w:sz w:val="17"/>
      <w:szCs w:val="17"/>
      <w:vertAlign w:val="superscript"/>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otnote">
    <w:name w:val="Footnote"/>
    <w:basedOn w:val="Default"/>
    <w:rPr>
      <w:color w:val="auto"/>
      <w:sz w:val="20"/>
      <w:szCs w:val="20"/>
    </w:rPr>
  </w:style>
  <w:style w:type="character" w:styleId="Strong">
    <w:name w:val="Strong"/>
    <w:basedOn w:val="DefaultParagraphFont"/>
    <w:uiPriority w:val="22"/>
    <w:qFormat/>
    <w:rPr>
      <w:b/>
      <w:bCs/>
    </w:rPr>
  </w:style>
  <w:style w:type="paragraph" w:customStyle="1" w:styleId="doc-ti2">
    <w:name w:val="doc-ti2"/>
    <w:basedOn w:val="Normal"/>
    <w:pPr>
      <w:spacing w:before="240" w:line="312" w:lineRule="atLeast"/>
      <w:jc w:val="center"/>
    </w:pPr>
    <w:rPr>
      <w:rFonts w:eastAsia="Times New Roman"/>
      <w:b/>
      <w:bCs/>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932031">
      <w:bodyDiv w:val="1"/>
      <w:marLeft w:val="0"/>
      <w:marRight w:val="0"/>
      <w:marTop w:val="0"/>
      <w:marBottom w:val="0"/>
      <w:divBdr>
        <w:top w:val="none" w:sz="0" w:space="0" w:color="auto"/>
        <w:left w:val="none" w:sz="0" w:space="0" w:color="auto"/>
        <w:bottom w:val="none" w:sz="0" w:space="0" w:color="auto"/>
        <w:right w:val="none" w:sz="0" w:space="0" w:color="auto"/>
      </w:divBdr>
      <w:divsChild>
        <w:div w:id="1797749863">
          <w:marLeft w:val="0"/>
          <w:marRight w:val="0"/>
          <w:marTop w:val="0"/>
          <w:marBottom w:val="0"/>
          <w:divBdr>
            <w:top w:val="none" w:sz="0" w:space="0" w:color="auto"/>
            <w:left w:val="none" w:sz="0" w:space="0" w:color="auto"/>
            <w:bottom w:val="none" w:sz="0" w:space="0" w:color="auto"/>
            <w:right w:val="none" w:sz="0" w:space="0" w:color="auto"/>
          </w:divBdr>
          <w:divsChild>
            <w:div w:id="284704445">
              <w:marLeft w:val="0"/>
              <w:marRight w:val="0"/>
              <w:marTop w:val="0"/>
              <w:marBottom w:val="0"/>
              <w:divBdr>
                <w:top w:val="none" w:sz="0" w:space="0" w:color="auto"/>
                <w:left w:val="none" w:sz="0" w:space="0" w:color="auto"/>
                <w:bottom w:val="none" w:sz="0" w:space="0" w:color="auto"/>
                <w:right w:val="none" w:sz="0" w:space="0" w:color="auto"/>
              </w:divBdr>
              <w:divsChild>
                <w:div w:id="36316893">
                  <w:marLeft w:val="0"/>
                  <w:marRight w:val="0"/>
                  <w:marTop w:val="0"/>
                  <w:marBottom w:val="0"/>
                  <w:divBdr>
                    <w:top w:val="none" w:sz="0" w:space="0" w:color="auto"/>
                    <w:left w:val="none" w:sz="0" w:space="0" w:color="auto"/>
                    <w:bottom w:val="none" w:sz="0" w:space="0" w:color="auto"/>
                    <w:right w:val="none" w:sz="0" w:space="0" w:color="auto"/>
                  </w:divBdr>
                  <w:divsChild>
                    <w:div w:id="2008820015">
                      <w:marLeft w:val="1"/>
                      <w:marRight w:val="1"/>
                      <w:marTop w:val="0"/>
                      <w:marBottom w:val="0"/>
                      <w:divBdr>
                        <w:top w:val="none" w:sz="0" w:space="0" w:color="auto"/>
                        <w:left w:val="none" w:sz="0" w:space="0" w:color="auto"/>
                        <w:bottom w:val="none" w:sz="0" w:space="0" w:color="auto"/>
                        <w:right w:val="none" w:sz="0" w:space="0" w:color="auto"/>
                      </w:divBdr>
                      <w:divsChild>
                        <w:div w:id="864171505">
                          <w:marLeft w:val="0"/>
                          <w:marRight w:val="0"/>
                          <w:marTop w:val="0"/>
                          <w:marBottom w:val="0"/>
                          <w:divBdr>
                            <w:top w:val="none" w:sz="0" w:space="0" w:color="auto"/>
                            <w:left w:val="none" w:sz="0" w:space="0" w:color="auto"/>
                            <w:bottom w:val="none" w:sz="0" w:space="0" w:color="auto"/>
                            <w:right w:val="none" w:sz="0" w:space="0" w:color="auto"/>
                          </w:divBdr>
                          <w:divsChild>
                            <w:div w:id="909921040">
                              <w:marLeft w:val="0"/>
                              <w:marRight w:val="0"/>
                              <w:marTop w:val="0"/>
                              <w:marBottom w:val="360"/>
                              <w:divBdr>
                                <w:top w:val="none" w:sz="0" w:space="0" w:color="auto"/>
                                <w:left w:val="none" w:sz="0" w:space="0" w:color="auto"/>
                                <w:bottom w:val="none" w:sz="0" w:space="0" w:color="auto"/>
                                <w:right w:val="none" w:sz="0" w:space="0" w:color="auto"/>
                              </w:divBdr>
                              <w:divsChild>
                                <w:div w:id="903683626">
                                  <w:marLeft w:val="0"/>
                                  <w:marRight w:val="0"/>
                                  <w:marTop w:val="0"/>
                                  <w:marBottom w:val="0"/>
                                  <w:divBdr>
                                    <w:top w:val="none" w:sz="0" w:space="0" w:color="auto"/>
                                    <w:left w:val="none" w:sz="0" w:space="0" w:color="auto"/>
                                    <w:bottom w:val="none" w:sz="0" w:space="0" w:color="auto"/>
                                    <w:right w:val="none" w:sz="0" w:space="0" w:color="auto"/>
                                  </w:divBdr>
                                  <w:divsChild>
                                    <w:div w:id="461922125">
                                      <w:marLeft w:val="0"/>
                                      <w:marRight w:val="0"/>
                                      <w:marTop w:val="0"/>
                                      <w:marBottom w:val="0"/>
                                      <w:divBdr>
                                        <w:top w:val="none" w:sz="0" w:space="0" w:color="auto"/>
                                        <w:left w:val="none" w:sz="0" w:space="0" w:color="auto"/>
                                        <w:bottom w:val="none" w:sz="0" w:space="0" w:color="auto"/>
                                        <w:right w:val="none" w:sz="0" w:space="0" w:color="auto"/>
                                      </w:divBdr>
                                      <w:divsChild>
                                        <w:div w:id="1164584403">
                                          <w:marLeft w:val="0"/>
                                          <w:marRight w:val="0"/>
                                          <w:marTop w:val="0"/>
                                          <w:marBottom w:val="0"/>
                                          <w:divBdr>
                                            <w:top w:val="none" w:sz="0" w:space="0" w:color="auto"/>
                                            <w:left w:val="none" w:sz="0" w:space="0" w:color="auto"/>
                                            <w:bottom w:val="none" w:sz="0" w:space="0" w:color="auto"/>
                                            <w:right w:val="none" w:sz="0" w:space="0" w:color="auto"/>
                                          </w:divBdr>
                                          <w:divsChild>
                                            <w:div w:id="1663463957">
                                              <w:marLeft w:val="0"/>
                                              <w:marRight w:val="0"/>
                                              <w:marTop w:val="0"/>
                                              <w:marBottom w:val="0"/>
                                              <w:divBdr>
                                                <w:top w:val="none" w:sz="0" w:space="0" w:color="auto"/>
                                                <w:left w:val="none" w:sz="0" w:space="0" w:color="auto"/>
                                                <w:bottom w:val="none" w:sz="0" w:space="0" w:color="auto"/>
                                                <w:right w:val="none" w:sz="0" w:space="0" w:color="auto"/>
                                              </w:divBdr>
                                              <w:divsChild>
                                                <w:div w:id="7582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348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gal-content/RO/TXT/?uri=OJ%3AL%3A2010%3A180%3ATOC" TargetMode="External"/><Relationship Id="rId2" Type="http://schemas.openxmlformats.org/officeDocument/2006/relationships/hyperlink" Target="http://ec.europa.eu/energy/sites/ener/files/documents/1_en_autre_document_travail_service_part1_v4.pdf" TargetMode="External"/><Relationship Id="rId1" Type="http://schemas.openxmlformats.org/officeDocument/2006/relationships/hyperlink" Target="http://eur-lex.europa.eu/legal-content/RO/TXT/?uri=OJ%3AL%3A2010%3A180%3AT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F8D29-9CD0-43C2-903A-D45A2E7D1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7</Pages>
  <Words>1759</Words>
  <Characters>10785</Characters>
  <Application>Microsoft Office Word</Application>
  <DocSecurity>0</DocSecurity>
  <Lines>182</Lines>
  <Paragraphs>66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2017-10-05T12:15:00Z</cp:lastPrinted>
  <dcterms:created xsi:type="dcterms:W3CDTF">2017-12-04T11:29:00Z</dcterms:created>
  <dcterms:modified xsi:type="dcterms:W3CDTF">2017-12-18T15:18:00Z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5.8.86.0</vt:lpwstr>
  </property>
  <property fmtid="{D5CDD505-2E9C-101B-9397-08002B2CF9AE}" pid="4" name="Last edited using">
    <vt:lpwstr>LW 6.0, Build 20171009</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SJ-023</vt:lpwstr>
  </property>
  <property fmtid="{D5CDD505-2E9C-101B-9397-08002B2CF9AE}" pid="9" name="Level of sensitivity">
    <vt:lpwstr>Standard treatment</vt:lpwstr>
  </property>
  <property fmtid="{D5CDD505-2E9C-101B-9397-08002B2CF9AE}" pid="10" name="DQCStatus">
    <vt:lpwstr>Green (DQC version 03)</vt:lpwstr>
  </property>
</Properties>
</file>