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F6603CA9-40EF-42C2-83C6-0E0CD692D4C5" style="width:450.75pt;height:393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BEGRUNDELSE</w:t>
      </w:r>
    </w:p>
    <w:p>
      <w:pPr>
        <w:pStyle w:val="ManualHeading1"/>
        <w:rPr>
          <w:noProof/>
        </w:rPr>
      </w:pPr>
      <w:r>
        <w:rPr>
          <w:noProof/>
        </w:rPr>
        <w:t>1.</w:t>
      </w:r>
      <w:r>
        <w:rPr>
          <w:noProof/>
        </w:rPr>
        <w:tab/>
        <w:t>BAGGRUND FOR FORSLAGET</w:t>
      </w:r>
    </w:p>
    <w:p>
      <w:pPr>
        <w:ind w:left="850"/>
        <w:rPr>
          <w:rFonts w:eastAsia="Times New Roman"/>
          <w:noProof/>
        </w:rPr>
      </w:pPr>
      <w:r>
        <w:rPr>
          <w:noProof/>
        </w:rPr>
        <w:t>Følgende forslag om ophævelse af forordning (EU) nr. 256/2014 ("forordningen") er fremsat i forbindelse med Kommissionens program for målrettet og effektiv regulering (Refit) og tilsagn om bedre lovgivning. Formålet er at sikre en retlig ramme, der er formålstjenlig og af høj kvalitet, som det er anført i den interinstitutionelle aftale mellem Europa-Parlamentet, Rådet for Den Europæiske Union og Europa-Kommissionen om bedre lovgivning</w:t>
      </w:r>
      <w:r>
        <w:rPr>
          <w:rStyle w:val="FootnoteReference"/>
          <w:rFonts w:eastAsia="Times New Roman"/>
          <w:noProof/>
          <w:lang w:eastAsia="en-GB"/>
        </w:rPr>
        <w:footnoteReference w:id="2"/>
      </w:r>
      <w:r>
        <w:rPr>
          <w:noProof/>
        </w:rPr>
        <w:t>. Kommissionen har påpeget, at denne forordning ikke længere er egnet til formålet, og foreslår at ophæve den.</w:t>
      </w:r>
    </w:p>
    <w:p>
      <w:pPr>
        <w:ind w:left="850"/>
        <w:rPr>
          <w:rFonts w:eastAsia="Times New Roman"/>
          <w:noProof/>
          <w:szCs w:val="24"/>
        </w:rPr>
      </w:pPr>
      <w:r>
        <w:rPr>
          <w:noProof/>
        </w:rPr>
        <w:t>Den 26. februar 2014 blev forordning (EU) nr. 256/2014 om indberetning til Kommissionen om investeringsprojekter i energiinfrastruktur i Den Europæiske Union vedtaget for at sikre, at EU's energipolitik udvikler sig på en effektiv måde og opfylder EU's reelle behov. Forordningen blev understøttet af Kommissionens gennemførelsesforordning (EU) nr. 1113/2014</w:t>
      </w:r>
      <w:r>
        <w:rPr>
          <w:rStyle w:val="FootnoteReference"/>
          <w:noProof/>
        </w:rPr>
        <w:footnoteReference w:id="3"/>
      </w:r>
      <w:r>
        <w:rPr>
          <w:noProof/>
        </w:rPr>
        <w:t xml:space="preserve"> af 16. oktober 2014, hvori form og andre tekniske enkeltheder ved indberetning i henhold til artikel 3 og 5 i forordning (EU) nr. 256/2014 blev fastlagt.</w:t>
      </w:r>
    </w:p>
    <w:p>
      <w:pPr>
        <w:ind w:left="850"/>
        <w:rPr>
          <w:rFonts w:eastAsia="Times New Roman"/>
          <w:noProof/>
          <w:szCs w:val="24"/>
        </w:rPr>
      </w:pPr>
      <w:r>
        <w:rPr>
          <w:noProof/>
        </w:rPr>
        <w:t>På grundlag af artikel 194 i traktaten om Den Europæiske Unions funktionsmåde blev medlemsstaterne ved forordning (EU) nr. 256/2014 og Kommissionens gennemførelsesforordning (EU) nr. 1113/2014 pålagt at underrette Kommissionen om de investeringsprojekter, hvor anlægs- eller nedlæggelsesarbejdet var påbegyndt, eller hvor der var truffet en endelig beslutning om investering. Hensigten var på den måde at give Kommissionen adgang til data og oplysninger om den planlagte udvikling i produktions-, transmissions- og oplagringskapacitet og om projekter i de forskellige energisektorer af interesse for Unionen og af betydning for fremtidige energi- og investeringspolitikker.</w:t>
      </w:r>
    </w:p>
    <w:p>
      <w:pPr>
        <w:ind w:left="850"/>
        <w:rPr>
          <w:rFonts w:eastAsia="Times New Roman"/>
          <w:noProof/>
          <w:szCs w:val="24"/>
        </w:rPr>
      </w:pPr>
      <w:r>
        <w:rPr>
          <w:noProof/>
        </w:rPr>
        <w:t xml:space="preserve">Sigtet med forordningen var derfor at give Kommissionen et overblik over udviklingen inden for investeringer i energiinfrastruktur i Unionen, således at den bedre kunne varetage sine opgaver på energiområdet. </w:t>
      </w:r>
    </w:p>
    <w:p>
      <w:pPr>
        <w:ind w:left="850"/>
        <w:rPr>
          <w:rFonts w:ascii="Lucida Sans Unicode" w:hAnsi="Lucida Sans Unicode" w:cs="Lucida Sans Unicode"/>
          <w:noProof/>
          <w:color w:val="444444"/>
          <w:sz w:val="19"/>
          <w:szCs w:val="19"/>
        </w:rPr>
      </w:pPr>
      <w:r>
        <w:rPr>
          <w:noProof/>
        </w:rPr>
        <w:t>De fastsatte forpligtelser i denne forordning var allerede gældende i henhold til Rådets forordning (EU, Euratom) nr. 617/2010 af 24. juni 2010 om indberetning til Kommissionen om investeringsprojekter i energiinfrastruktur i Den Europæiske Union og om ophævelse af forordning (EF) nr. 736/96</w:t>
      </w:r>
      <w:r>
        <w:rPr>
          <w:rStyle w:val="FootnoteReference"/>
          <w:noProof/>
        </w:rPr>
        <w:footnoteReference w:id="4"/>
      </w:r>
      <w:r>
        <w:rPr>
          <w:noProof/>
        </w:rPr>
        <w:t>.</w:t>
      </w:r>
      <w:r>
        <w:rPr>
          <w:noProof/>
          <w:color w:val="444444"/>
          <w:sz w:val="22"/>
        </w:rPr>
        <w:t xml:space="preserve"> </w:t>
      </w:r>
      <w:r>
        <w:rPr>
          <w:noProof/>
        </w:rPr>
        <w:t xml:space="preserve"> Domstolen annullerede Rådets forordning nr. 617/2010</w:t>
      </w:r>
      <w:r>
        <w:rPr>
          <w:rStyle w:val="FootnoteReference"/>
          <w:noProof/>
        </w:rPr>
        <w:footnoteReference w:id="5"/>
      </w:r>
      <w:r>
        <w:rPr>
          <w:noProof/>
        </w:rPr>
        <w:t>, fordi dens retsgrundlag var forkert, men forordningen opretholdt sin virkning, indtil forordning (EU) nr. 256/2014 blev vedtaget.</w:t>
      </w:r>
      <w:r>
        <w:rPr>
          <w:rFonts w:ascii="Lucida Sans Unicode" w:hAnsi="Lucida Sans Unicode"/>
          <w:noProof/>
          <w:color w:val="444444"/>
          <w:sz w:val="19"/>
          <w:szCs w:val="19"/>
        </w:rPr>
        <w:t xml:space="preserve"> </w:t>
      </w:r>
    </w:p>
    <w:p>
      <w:pPr>
        <w:ind w:left="850"/>
        <w:rPr>
          <w:rFonts w:eastAsia="Times New Roman"/>
          <w:noProof/>
          <w:szCs w:val="24"/>
        </w:rPr>
      </w:pPr>
      <w:r>
        <w:rPr>
          <w:noProof/>
        </w:rPr>
        <w:t xml:space="preserve">Medlemsstaterne har været igennem tre indberetningsrunder (i 2011, 2013 og 2015), siden forpligtelserne i henhold til forordningen og dens forgænger, Rådets forordning nr. 617/2010, blev gældende. Der er derfor gået tilstrækkelig lang tid til, at Kommissionen kan foretage en evidensbaseret kritisk analyse af, hvorvidt forordningen har ført til de forventede resultater </w:t>
      </w:r>
    </w:p>
    <w:p>
      <w:pPr>
        <w:pStyle w:val="ManualHeading1"/>
        <w:rPr>
          <w:noProof/>
        </w:rPr>
      </w:pPr>
      <w:r>
        <w:rPr>
          <w:noProof/>
        </w:rPr>
        <w:lastRenderedPageBreak/>
        <w:t>2.</w:t>
      </w:r>
      <w:r>
        <w:rPr>
          <w:noProof/>
        </w:rPr>
        <w:tab/>
        <w:t>RESULTATER AF EFTERFØLGENDE EVALUERINGER, HØRINGER AF INTERESSEREDE PARTER OG KONSEKVENSANALYSER</w:t>
      </w:r>
    </w:p>
    <w:p>
      <w:pPr>
        <w:pStyle w:val="ManualHeading2"/>
        <w:rPr>
          <w:rFonts w:eastAsia="Arial Unicode MS"/>
          <w:noProof/>
          <w:u w:color="000000"/>
          <w:bdr w:val="nil"/>
        </w:rPr>
      </w:pPr>
      <w:r>
        <w:rPr>
          <w:noProof/>
          <w:u w:color="000000"/>
          <w:bdr w:val="nil"/>
        </w:rPr>
        <w:t>•</w:t>
      </w:r>
      <w:r>
        <w:rPr>
          <w:noProof/>
          <w:u w:color="000000"/>
          <w:bdr w:val="nil"/>
        </w:rPr>
        <w:tab/>
        <w:t>Efterfølgende evalueringer, målrettet regulering og forenkling</w:t>
      </w:r>
    </w:p>
    <w:p>
      <w:pPr>
        <w:ind w:left="788"/>
        <w:rPr>
          <w:rFonts w:eastAsia="Times New Roman"/>
          <w:noProof/>
        </w:rPr>
      </w:pPr>
      <w:r>
        <w:rPr>
          <w:noProof/>
        </w:rPr>
        <w:t>Kommissionen fik lavet tre eksterne undersøgelser, efter at medlemsstaternes tre indberetningsrunder i henhold til forordningen og dens forgænger fandt sted. I lyset af resultaterne heraf reviderede Kommissionen i 2016 forordning (EU) nr. 256/2014, jf. samme forordnings artikel 11. Denne indgik i en mere omfattende kvalitetskontrol, som omfattede planlægnings- og indberetningsforpligtelser i henhold til lovgivningen på energiområdet. Kommissionen offentliggjorde revisionen i november 2016</w:t>
      </w:r>
      <w:r>
        <w:rPr>
          <w:rStyle w:val="FootnoteReference"/>
          <w:noProof/>
        </w:rPr>
        <w:footnoteReference w:id="6"/>
      </w:r>
      <w:r>
        <w:rPr>
          <w:noProof/>
        </w:rPr>
        <w:t xml:space="preserve"> sammen med sit forslag til en forordning om forvaltning af energiunionen</w:t>
      </w:r>
      <w:r>
        <w:rPr>
          <w:rStyle w:val="FootnoteReference"/>
          <w:noProof/>
        </w:rPr>
        <w:footnoteReference w:id="7"/>
      </w:r>
      <w:r>
        <w:rPr>
          <w:noProof/>
        </w:rPr>
        <w:t xml:space="preserve">. </w:t>
      </w:r>
    </w:p>
    <w:p>
      <w:pPr>
        <w:ind w:left="788"/>
        <w:rPr>
          <w:rFonts w:eastAsia="Times New Roman"/>
          <w:noProof/>
        </w:rPr>
      </w:pPr>
      <w:r>
        <w:rPr>
          <w:noProof/>
        </w:rPr>
        <w:t>I forbindelse med dette arbejde blev følgende konstateret:</w:t>
      </w:r>
    </w:p>
    <w:p>
      <w:pPr>
        <w:pStyle w:val="ManualNumPar1"/>
        <w:rPr>
          <w:noProof/>
        </w:rPr>
      </w:pPr>
      <w:r>
        <w:t>1.</w:t>
      </w:r>
      <w:r>
        <w:tab/>
      </w:r>
      <w:r>
        <w:rPr>
          <w:noProof/>
        </w:rPr>
        <w:t>Der var en betydelig overlapning mellem indberetningsforpligtelser i henhold til forordningen og indberetningsforpligtelser til ENTSO-E</w:t>
      </w:r>
      <w:r>
        <w:rPr>
          <w:rStyle w:val="FootnoteReference"/>
          <w:rFonts w:eastAsia="Times New Roman"/>
          <w:noProof/>
          <w:lang w:eastAsia="en-GB"/>
        </w:rPr>
        <w:footnoteReference w:id="8"/>
      </w:r>
      <w:r>
        <w:rPr>
          <w:noProof/>
        </w:rPr>
        <w:t xml:space="preserve"> og ENTSO-G</w:t>
      </w:r>
      <w:r>
        <w:rPr>
          <w:rStyle w:val="FootnoteReference"/>
          <w:rFonts w:eastAsia="Times New Roman"/>
          <w:noProof/>
          <w:lang w:eastAsia="en-GB"/>
        </w:rPr>
        <w:footnoteReference w:id="9"/>
      </w:r>
      <w:r>
        <w:rPr>
          <w:noProof/>
        </w:rPr>
        <w:t xml:space="preserve">, og merværdien ved at tilføje forpligtelser i henhold til forordningen var begrænset eller ikke-eksisterende. </w:t>
      </w:r>
    </w:p>
    <w:p>
      <w:pPr>
        <w:pStyle w:val="ManualNumPar1"/>
        <w:rPr>
          <w:noProof/>
        </w:rPr>
      </w:pPr>
      <w:r>
        <w:t>2.</w:t>
      </w:r>
      <w:r>
        <w:tab/>
      </w:r>
      <w:r>
        <w:rPr>
          <w:noProof/>
        </w:rPr>
        <w:t>De fleste oplysninger, som medlemsstaterne forelægger i henhold til forordningen, kan let hentes fra andre kilder: ENTSO (de europæiske net af transmissionssystemoperatører), TYNDP'er (tiårige netudviklingsplaner), transmissionssystemoperatørers og forsyningsselskabers årsberetninger, nationale sektorudviklingsplaner (f.eks. handlingsplaner for vedvarende energi) m.fl. Endvidere indsamler Kommissionen regelmæssigt markedsoplysninger via sit energimarkedsobservationssystem (EMOS).</w:t>
      </w:r>
    </w:p>
    <w:p>
      <w:pPr>
        <w:pStyle w:val="ManualNumPar1"/>
        <w:rPr>
          <w:noProof/>
        </w:rPr>
      </w:pPr>
      <w:r>
        <w:t>3.</w:t>
      </w:r>
      <w:r>
        <w:tab/>
      </w:r>
      <w:r>
        <w:rPr>
          <w:noProof/>
        </w:rPr>
        <w:t>For alle tre afsluttede runder under ét dækkede de indsamlede data kun ca. halvdelen af EU's energisektor.</w:t>
      </w:r>
    </w:p>
    <w:p>
      <w:pPr>
        <w:pStyle w:val="ManualNumPar1"/>
        <w:rPr>
          <w:noProof/>
        </w:rPr>
      </w:pPr>
      <w:r>
        <w:t>4.</w:t>
      </w:r>
      <w:r>
        <w:tab/>
      </w:r>
      <w:r>
        <w:rPr>
          <w:noProof/>
        </w:rPr>
        <w:t>Vanskeligheder, som følger af gennemførelsen af visse af forordningens krav og især for så vidt angår de oplysninger, der skal gives om fremtidig kapacitet, undergraver nytten af de tre udførte rapporteringsrunder.</w:t>
      </w:r>
    </w:p>
    <w:p>
      <w:pPr>
        <w:ind w:left="851"/>
        <w:rPr>
          <w:noProof/>
        </w:rPr>
      </w:pPr>
      <w:r>
        <w:rPr>
          <w:noProof/>
        </w:rPr>
        <w:t>Kommissionen konkluderede derfor, at forordning (EU) nr. 256/2014 ikke førte til de forventede resultater. Der bør derfor fremsættes forslag om, at den ophæves.</w:t>
      </w:r>
    </w:p>
    <w:p>
      <w:pPr>
        <w:pStyle w:val="ManualHeading2"/>
        <w:rPr>
          <w:rFonts w:eastAsia="Arial Unicode MS"/>
          <w:noProof/>
          <w:u w:color="000000"/>
          <w:bdr w:val="nil"/>
        </w:rPr>
      </w:pPr>
      <w:r>
        <w:rPr>
          <w:noProof/>
          <w:u w:color="000000"/>
          <w:bdr w:val="nil"/>
        </w:rPr>
        <w:t>•</w:t>
      </w:r>
      <w:r>
        <w:rPr>
          <w:noProof/>
          <w:u w:color="000000"/>
          <w:bdr w:val="nil"/>
        </w:rPr>
        <w:tab/>
        <w:t>Høringer af interesserede parter</w:t>
      </w:r>
    </w:p>
    <w:p>
      <w:pPr>
        <w:autoSpaceDE w:val="0"/>
        <w:autoSpaceDN w:val="0"/>
        <w:adjustRightInd w:val="0"/>
        <w:ind w:left="851"/>
        <w:rPr>
          <w:noProof/>
        </w:rPr>
      </w:pPr>
      <w:r>
        <w:rPr>
          <w:noProof/>
        </w:rPr>
        <w:t>Som led i forberedelsen af Kommissionens forslag til et lovgivningsinitiativ om forvaltning af energiunionen</w:t>
      </w:r>
      <w:r>
        <w:rPr>
          <w:rStyle w:val="FootnoteReference"/>
          <w:noProof/>
        </w:rPr>
        <w:footnoteReference w:id="10"/>
      </w:r>
      <w:r>
        <w:rPr>
          <w:noProof/>
        </w:rPr>
        <w:t xml:space="preserve"> udførte den en omfattende høring for at indsamle </w:t>
      </w:r>
      <w:r>
        <w:rPr>
          <w:noProof/>
        </w:rPr>
        <w:lastRenderedPageBreak/>
        <w:t>synspunkter og bidrag fra de interesserede parter, borgere og medlemsstater. I høringen blev der spurgt om, hvordan de eksisterende planlægnings- og rapporteringsordninger på energiområdet kunne forbedres således, at energiunionens målsætninger opfyldes, og den administrative byrde mindskes.</w:t>
      </w:r>
    </w:p>
    <w:p>
      <w:pPr>
        <w:autoSpaceDE w:val="0"/>
        <w:autoSpaceDN w:val="0"/>
        <w:adjustRightInd w:val="0"/>
        <w:ind w:left="851"/>
        <w:rPr>
          <w:noProof/>
        </w:rPr>
      </w:pPr>
      <w:r>
        <w:rPr>
          <w:noProof/>
        </w:rPr>
        <w:t>Den offentlige høring blev lanceret den 11. januar 2016, varede mere end 12 uger og blev afsluttet den 22. april 2016. Besvarelserne indgik i Kommissionens evaluering og kvalitetstjek af de eksisterende planlægnings- og rapporteringsforpligtelser samt i konsekvensanalysen af dens lovgivningsforslag om forvaltningen af energiunionen.</w:t>
      </w:r>
    </w:p>
    <w:p>
      <w:pPr>
        <w:autoSpaceDE w:val="0"/>
        <w:autoSpaceDN w:val="0"/>
        <w:adjustRightInd w:val="0"/>
        <w:ind w:left="851"/>
        <w:rPr>
          <w:noProof/>
        </w:rPr>
      </w:pPr>
      <w:r>
        <w:rPr>
          <w:noProof/>
        </w:rPr>
        <w:t>Respondenterne i høringen pegede på, at forpligtelserne i henhold til forordning (EU) nr. 256/2014 kan ophæves</w:t>
      </w:r>
      <w:r>
        <w:rPr>
          <w:rStyle w:val="FootnoteReference"/>
          <w:noProof/>
        </w:rPr>
        <w:footnoteReference w:id="11"/>
      </w:r>
      <w:r>
        <w:rPr>
          <w:noProof/>
        </w:rPr>
        <w:t>.</w:t>
      </w:r>
    </w:p>
    <w:p>
      <w:pPr>
        <w:autoSpaceDE w:val="0"/>
        <w:autoSpaceDN w:val="0"/>
        <w:adjustRightInd w:val="0"/>
        <w:rPr>
          <w:noProof/>
        </w:rPr>
      </w:pPr>
    </w:p>
    <w:p>
      <w:pPr>
        <w:pStyle w:val="ManualHeading2"/>
        <w:rPr>
          <w:rFonts w:eastAsia="Arial Unicode MS"/>
          <w:noProof/>
          <w:u w:color="000000"/>
          <w:bdr w:val="nil"/>
        </w:rPr>
      </w:pPr>
      <w:r>
        <w:rPr>
          <w:noProof/>
          <w:u w:color="000000"/>
          <w:bdr w:val="nil"/>
        </w:rPr>
        <w:t>3.</w:t>
      </w:r>
      <w:r>
        <w:rPr>
          <w:noProof/>
          <w:u w:color="000000"/>
          <w:bdr w:val="nil"/>
        </w:rPr>
        <w:tab/>
        <w:t>JURIDISKE ASPEKTER AF FORSLAGET</w:t>
      </w:r>
    </w:p>
    <w:p>
      <w:pPr>
        <w:ind w:left="850"/>
        <w:rPr>
          <w:rFonts w:eastAsia="Times New Roman"/>
          <w:noProof/>
        </w:rPr>
      </w:pPr>
      <w:r>
        <w:rPr>
          <w:noProof/>
        </w:rPr>
        <w:t>Ved dette forslag ophæves Europa-Parlamentets og Rådets forordning (EU) nr. 256/2014 af 26. februar 2014 om indberetning til Kommissionen om investeringsprojekter i energiinfrastruktur i Den Europæiske Union om erstatning af Rådets forordning (EU, Euratom) nr. 617/2010 og om ophævelse af Rådets forordning (EF) nr. 736/96.</w:t>
      </w:r>
    </w:p>
    <w:p>
      <w:pPr>
        <w:ind w:left="850"/>
        <w:rPr>
          <w:rFonts w:eastAsia="Times New Roman"/>
          <w:noProof/>
        </w:rPr>
      </w:pPr>
      <w:r>
        <w:rPr>
          <w:noProof/>
        </w:rPr>
        <w:t>Retsgrundlaget for forordning (EU) nr. 256/2014, dvs. artikel 194 i traktaten om Den Europæiske Unions funktionsmåde, er underlagt den almindelige lovgivningsprocedure. Kommissionen fremsætter derfor et forslag om at ophæve denne forordning til Europa-Parlamentet og Rådet.</w:t>
      </w:r>
    </w:p>
    <w:p>
      <w:pPr>
        <w:pStyle w:val="ManualHeading1"/>
        <w:rPr>
          <w:noProof/>
        </w:rPr>
      </w:pPr>
      <w:r>
        <w:rPr>
          <w:noProof/>
        </w:rPr>
        <w:t>4.</w:t>
      </w:r>
      <w:r>
        <w:rPr>
          <w:noProof/>
        </w:rPr>
        <w:tab/>
        <w:t xml:space="preserve">VIRKNINGER FOR BUDGETTET </w:t>
      </w:r>
    </w:p>
    <w:p>
      <w:pPr>
        <w:autoSpaceDE w:val="0"/>
        <w:autoSpaceDN w:val="0"/>
        <w:adjustRightInd w:val="0"/>
        <w:rPr>
          <w:noProof/>
        </w:rPr>
      </w:pPr>
      <w:r>
        <w:rPr>
          <w:noProof/>
        </w:rPr>
        <w:t>Forordningens budgetmæssige virkninger var meget begrænsede og hidrørte fra udgifter til informationsteknologi, indkøb af data og godtgørelse af sagkyndig bistand. Der forventes heller ingen nævneværdig direkte virkning for medlemsstaternes budgetter.</w:t>
      </w:r>
    </w:p>
    <w:p>
      <w:pPr>
        <w:autoSpaceDE w:val="0"/>
        <w:autoSpaceDN w:val="0"/>
        <w:adjustRightInd w:val="0"/>
        <w:rPr>
          <w:noProof/>
        </w:rPr>
      </w:pPr>
      <w:r>
        <w:rPr>
          <w:noProof/>
        </w:rPr>
        <w:t>Ophævelsen af denne forordning vil sætte en stopper for de tilhørende begrænsede udgifter. Dette vil bidrage til at rationalisere udnyttelsen af Kommissionens og medlemsstaternes ressourcer ved at fjerne en dobbelt forpligtelse til rapportering og behandling af data, som i mellemtiden står til rådighed fra andre kilder af høj kvalitet.</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2017/0347 (COD)</w:t>
      </w:r>
    </w:p>
    <w:p>
      <w:pPr>
        <w:pStyle w:val="Statut"/>
        <w:rPr>
          <w:noProof/>
        </w:rPr>
      </w:pPr>
      <w:r>
        <w:rPr>
          <w:noProof/>
        </w:rPr>
        <w:t>Forslag til</w:t>
      </w:r>
    </w:p>
    <w:p>
      <w:pPr>
        <w:pStyle w:val="Typedudocument"/>
        <w:rPr>
          <w:noProof/>
        </w:rPr>
      </w:pPr>
      <w:r>
        <w:rPr>
          <w:noProof/>
        </w:rPr>
        <w:t>EUROPA-PARLAMENTETS OG RÅDETS FORORDNING</w:t>
      </w:r>
    </w:p>
    <w:p>
      <w:pPr>
        <w:pStyle w:val="Titreobjet"/>
        <w:rPr>
          <w:noProof/>
        </w:rPr>
      </w:pPr>
      <w:r>
        <w:rPr>
          <w:noProof/>
        </w:rPr>
        <w:t xml:space="preserve">om ophævelse af Europa-Parlamentets og Rådets forordning (EU) nr. 256/2014 om indberetning til Kommissionen om investeringsprojekter i energiinfrastruktur i Den Europæiske Union </w:t>
      </w:r>
      <w:r>
        <w:rPr>
          <w:noProof/>
        </w:rPr>
        <w:br/>
      </w:r>
      <w:r>
        <w:rPr>
          <w:noProof/>
        </w:rPr>
        <w:br/>
      </w:r>
    </w:p>
    <w:p>
      <w:pPr>
        <w:pStyle w:val="Institutionquiagit"/>
        <w:rPr>
          <w:noProof/>
        </w:rPr>
      </w:pPr>
      <w:r>
        <w:rPr>
          <w:noProof/>
        </w:rPr>
        <w:t>EUROPA-PARLAMENTET OG RÅDET FOR DEN EUROPÆISKE UNION HAR —</w:t>
      </w:r>
    </w:p>
    <w:p>
      <w:pPr>
        <w:rPr>
          <w:noProof/>
        </w:rPr>
      </w:pPr>
      <w:r>
        <w:rPr>
          <w:noProof/>
        </w:rPr>
        <w:t>under henvisning til traktaten om Den Europæiske Unions funktionsmåde, særlig artikel 194,</w:t>
      </w:r>
    </w:p>
    <w:p>
      <w:pPr>
        <w:rPr>
          <w:noProof/>
        </w:rPr>
      </w:pPr>
      <w:r>
        <w:rPr>
          <w:noProof/>
        </w:rPr>
        <w:t>under henvisning til forslag fra Europa-Kommissionen,</w:t>
      </w:r>
    </w:p>
    <w:p>
      <w:pPr>
        <w:rPr>
          <w:noProof/>
        </w:rPr>
      </w:pPr>
      <w:r>
        <w:rPr>
          <w:noProof/>
        </w:rPr>
        <w:t>efter fremsendelse af udkast til lovgivningsmæssig retsakt til de nationale parlamenter,</w:t>
      </w:r>
    </w:p>
    <w:p>
      <w:pPr>
        <w:rPr>
          <w:noProof/>
        </w:rPr>
      </w:pPr>
      <w:r>
        <w:rPr>
          <w:noProof/>
        </w:rPr>
        <w:t>under henvisning til udtalelse fra Det Europæiske Økonomiske og Sociale Udvalg</w:t>
      </w:r>
      <w:r>
        <w:rPr>
          <w:rStyle w:val="FootnoteReference"/>
          <w:noProof/>
        </w:rPr>
        <w:footnoteReference w:id="12"/>
      </w:r>
      <w:r>
        <w:rPr>
          <w:noProof/>
        </w:rPr>
        <w:t>,</w:t>
      </w:r>
    </w:p>
    <w:p>
      <w:pPr>
        <w:rPr>
          <w:noProof/>
        </w:rPr>
      </w:pPr>
      <w:r>
        <w:rPr>
          <w:noProof/>
        </w:rPr>
        <w:t>under henvisning til udtalelse fra Regionsudvalget</w:t>
      </w:r>
      <w:r>
        <w:rPr>
          <w:rStyle w:val="FootnoteReference"/>
          <w:noProof/>
        </w:rPr>
        <w:footnoteReference w:id="13"/>
      </w:r>
      <w:r>
        <w:rPr>
          <w:noProof/>
        </w:rPr>
        <w:t xml:space="preserve">, </w:t>
      </w:r>
    </w:p>
    <w:p>
      <w:pPr>
        <w:rPr>
          <w:noProof/>
        </w:rPr>
      </w:pPr>
      <w:r>
        <w:rPr>
          <w:noProof/>
        </w:rPr>
        <w:t>efter den almindelige lovgivningsprocedure, og</w:t>
      </w:r>
    </w:p>
    <w:p>
      <w:pPr>
        <w:rPr>
          <w:noProof/>
        </w:rPr>
      </w:pPr>
      <w:r>
        <w:rPr>
          <w:noProof/>
        </w:rPr>
        <w:t>ud fra følgende betragtninger:</w:t>
      </w:r>
    </w:p>
    <w:p>
      <w:pPr>
        <w:pStyle w:val="ManualConsidrant"/>
        <w:rPr>
          <w:noProof/>
        </w:rPr>
      </w:pPr>
      <w:r>
        <w:t>(1)</w:t>
      </w:r>
      <w:r>
        <w:tab/>
      </w:r>
      <w:r>
        <w:rPr>
          <w:noProof/>
        </w:rPr>
        <w:t>Europa-Parlamentet, Rådet for Den Europæiske Union og Europa-Kommissionen har i den interinstitutionelle aftale om bedre lovgivning af 13. april 2016 bekræftet deres fælles tilsagn om at ajourføre og forenkle lovgivning</w:t>
      </w:r>
      <w:r>
        <w:rPr>
          <w:rStyle w:val="FootnoteReference"/>
          <w:noProof/>
        </w:rPr>
        <w:footnoteReference w:id="14"/>
      </w:r>
      <w:r>
        <w:rPr>
          <w:noProof/>
        </w:rPr>
        <w:t>.</w:t>
      </w:r>
    </w:p>
    <w:p>
      <w:pPr>
        <w:pStyle w:val="ManualConsidrant"/>
        <w:rPr>
          <w:noProof/>
        </w:rPr>
      </w:pPr>
      <w:r>
        <w:t>(2)</w:t>
      </w:r>
      <w:r>
        <w:tab/>
      </w:r>
      <w:r>
        <w:rPr>
          <w:noProof/>
        </w:rPr>
        <w:t>Af hensyn til behovet for at sanere lovgivningen og reducere dens omfang er det nødvendigt at udpege lovgivning, som er utidssvarende eller ikke længere er egnet til formålet. Lovgivning af den art må ophæves for at sikre, at den retlige ramme er gennemsigtig, tydelig og let at anvende.</w:t>
      </w:r>
    </w:p>
    <w:p>
      <w:pPr>
        <w:pStyle w:val="ManualConsidrant"/>
        <w:rPr>
          <w:noProof/>
        </w:rPr>
      </w:pPr>
      <w:r>
        <w:t>(3)</w:t>
      </w:r>
      <w:r>
        <w:tab/>
      </w:r>
      <w:r>
        <w:rPr>
          <w:noProof/>
        </w:rPr>
        <w:t>Ved Europa-Parlamentets og Rådets forordning (EU) nr. 256/2014</w:t>
      </w:r>
      <w:r>
        <w:rPr>
          <w:rStyle w:val="FootnoteReference"/>
          <w:noProof/>
        </w:rPr>
        <w:footnoteReference w:id="15"/>
      </w:r>
      <w:r>
        <w:rPr>
          <w:noProof/>
        </w:rPr>
        <w:t xml:space="preserve"> blev medlemsstaterne pålagt at underrette Kommissionen om de investeringsprojekter, hvor anlægs- eller nedlæggelsesarbejdet var påbegyndt, eller hvor der var truffet en endelig beslutning om investering. </w:t>
      </w:r>
    </w:p>
    <w:p>
      <w:pPr>
        <w:pStyle w:val="ManualConsidrant"/>
        <w:rPr>
          <w:noProof/>
        </w:rPr>
      </w:pPr>
      <w:r>
        <w:t>(4)</w:t>
      </w:r>
      <w:r>
        <w:tab/>
      </w:r>
      <w:r>
        <w:rPr>
          <w:noProof/>
        </w:rPr>
        <w:t>De fastsatte forpligtelser i forordning (EU) nr. 256/2014 vedrørende indberetning om investeringsprojekter samt visse relaterede oplysninger og data var allerede gældende i henhold til Rådets forordning (EU, Euratom) nr. 617/2010</w:t>
      </w:r>
      <w:r>
        <w:rPr>
          <w:rStyle w:val="FootnoteReference"/>
          <w:noProof/>
          <w:lang w:eastAsia="en-GB"/>
        </w:rPr>
        <w:footnoteReference w:id="16"/>
      </w:r>
      <w:r>
        <w:rPr>
          <w:noProof/>
        </w:rPr>
        <w:t xml:space="preserve">. Domstolen annullerede </w:t>
      </w:r>
      <w:r>
        <w:rPr>
          <w:noProof/>
        </w:rPr>
        <w:lastRenderedPageBreak/>
        <w:t>forordning (EU, Euratom) nr. 617/2010</w:t>
      </w:r>
      <w:r>
        <w:rPr>
          <w:rStyle w:val="FootnoteReference"/>
          <w:noProof/>
          <w:lang w:eastAsia="en-GB"/>
        </w:rPr>
        <w:footnoteReference w:id="17"/>
      </w:r>
      <w:r>
        <w:rPr>
          <w:noProof/>
        </w:rPr>
        <w:t xml:space="preserve">, fordi den ikke havde det rette retsgrundlag, men dens virkning blev opretholdt, indtil forordning (EU) nr. 256/2014 blev vedtaget. </w:t>
      </w:r>
    </w:p>
    <w:p>
      <w:pPr>
        <w:pStyle w:val="ManualConsidrant"/>
        <w:rPr>
          <w:noProof/>
        </w:rPr>
      </w:pPr>
      <w:r>
        <w:t>(5)</w:t>
      </w:r>
      <w:r>
        <w:tab/>
      </w:r>
      <w:r>
        <w:rPr>
          <w:noProof/>
        </w:rPr>
        <w:t>Hensigten med den hidtidige retlige ramme var at forsyne Kommissionen med data og oplysninger om den planlagte udvikling i produktions-, transmissions- og oplagringskapacitet og om projekter i energisektorerne. Dette skulle give Kommissionen et samlet billede af udviklingen i investeringerne i energiinfrastrukturen i Unionen.</w:t>
      </w:r>
    </w:p>
    <w:p>
      <w:pPr>
        <w:pStyle w:val="ManualConsidrant"/>
        <w:rPr>
          <w:noProof/>
        </w:rPr>
      </w:pPr>
      <w:r>
        <w:t>(6)</w:t>
      </w:r>
      <w:r>
        <w:tab/>
      </w:r>
      <w:r>
        <w:rPr>
          <w:noProof/>
        </w:rPr>
        <w:t xml:space="preserve">Tre indberetningsrunder har fundet sted, siden forpligtelserne i medfør af forordning (EU) nr. 256/2014 og Rådets forordning (EU, Euratom) nr. 617/2010 blev indført (i 2011, 2013 og 2015). Kommissionen fik desuden lavet tre eksterne undersøgelser efter medlemsstaternes tre indberetningsrunder, som fandt sted i henhold til forordning (EU) nr. 256/2014. Der er derfor gået tilstrækkelig lang tid, og der er høstet tilstrækkelig med erfaringer til, at Kommissionen kan foretage en evidensbaseret kritisk analyse af, hvorvidt forordningen har ført til de forventede resultater. </w:t>
      </w:r>
    </w:p>
    <w:p>
      <w:pPr>
        <w:pStyle w:val="ManualConsidrant"/>
        <w:rPr>
          <w:noProof/>
        </w:rPr>
      </w:pPr>
      <w:r>
        <w:t>(7)</w:t>
      </w:r>
      <w:r>
        <w:tab/>
      </w:r>
      <w:r>
        <w:rPr>
          <w:noProof/>
        </w:rPr>
        <w:t>I 2016 gennemførte Kommissionen den revision, der er omhandlet i artikel 11 i forordning (EU) nr. 256/2014, herunder en høring af interessenter vedrørende alle planlægnings- og rapporteringsforpligtelser i energisektoren. Kommissionen konkluderede, at der var en betydelig overlapning mellem indberetningsforpligtelser i henhold til forordning (EU) nr. 256/2014 og indberetningsforpligtelser til de europæiske net af transmissionssystemoperatører ENTSO-E og ENTSO-G. Det stod ligeledes klart, at de modtagne data og oplysningers kvalitet og relevans ofte var lav, og at samme oplysninger og data i mellemtiden står til Kommissionens rådighed via andre kilder såsom ENTSO (europæiske net af transmissionssystemoperatører), TYNDP'er (tiårige netudviklingsplaner), transmissionssystemoperatørers og forsyningsselskabers årsberetninger og nationale udviklingsplaner m.fl. Det blev endvidere konstateret, at Kommissionen havde direkte adgang til markedsdata via sit energimarkedsobservationssystem (EMOS).</w:t>
      </w:r>
    </w:p>
    <w:p>
      <w:pPr>
        <w:pStyle w:val="ManualConsidrant"/>
        <w:rPr>
          <w:noProof/>
        </w:rPr>
      </w:pPr>
      <w:r>
        <w:t>(8)</w:t>
      </w:r>
      <w:r>
        <w:tab/>
      </w:r>
      <w:r>
        <w:rPr>
          <w:noProof/>
        </w:rPr>
        <w:t>Forordning (EU) nr. 256/2014 har derfor ikke ført til de forventede resultater målt på kvantitet, kvalitet og egnethed af de data og oplysninger, som Kommissionen har modtaget.</w:t>
      </w:r>
    </w:p>
    <w:p>
      <w:pPr>
        <w:pStyle w:val="ManualConsidrant"/>
        <w:rPr>
          <w:noProof/>
        </w:rPr>
      </w:pPr>
      <w:r>
        <w:t>(9)</w:t>
      </w:r>
      <w:r>
        <w:tab/>
      </w:r>
      <w:r>
        <w:rPr>
          <w:noProof/>
        </w:rPr>
        <w:t>Forordning (EU) nr. 256/2014 bør derfor ophæves —</w:t>
      </w:r>
    </w:p>
    <w:p>
      <w:pPr>
        <w:pStyle w:val="Formuledadoption"/>
        <w:rPr>
          <w:noProof/>
        </w:rPr>
      </w:pPr>
      <w:r>
        <w:rPr>
          <w:noProof/>
        </w:rPr>
        <w:t>VEDTAGET DENNE FORORDNING:</w:t>
      </w:r>
    </w:p>
    <w:p>
      <w:pPr>
        <w:pStyle w:val="Titrearticle"/>
        <w:rPr>
          <w:noProof/>
        </w:rPr>
      </w:pPr>
      <w:r>
        <w:rPr>
          <w:noProof/>
        </w:rPr>
        <w:t>Artikel 1</w:t>
      </w:r>
    </w:p>
    <w:p>
      <w:pPr>
        <w:rPr>
          <w:noProof/>
        </w:rPr>
      </w:pPr>
      <w:r>
        <w:rPr>
          <w:noProof/>
        </w:rPr>
        <w:t>Forordning (EU) nr. 256/2014 ophæves.</w:t>
      </w:r>
    </w:p>
    <w:p>
      <w:pPr>
        <w:rPr>
          <w:noProof/>
        </w:rPr>
      </w:pPr>
    </w:p>
    <w:p>
      <w:pPr>
        <w:pStyle w:val="Titrearticle"/>
        <w:rPr>
          <w:noProof/>
        </w:rPr>
      </w:pPr>
      <w:r>
        <w:rPr>
          <w:noProof/>
        </w:rPr>
        <w:t>Artikel 2</w:t>
      </w:r>
    </w:p>
    <w:p>
      <w:pPr>
        <w:rPr>
          <w:noProof/>
        </w:rPr>
      </w:pPr>
      <w:r>
        <w:rPr>
          <w:noProof/>
        </w:rPr>
        <w:t xml:space="preserve">Denne forordning træder i kraft på tyvendedagen efter offentliggørelsen i </w:t>
      </w:r>
      <w:r>
        <w:rPr>
          <w:i/>
          <w:noProof/>
        </w:rPr>
        <w:t>Den Europæiske Unions Tidende</w:t>
      </w:r>
      <w:r>
        <w:rPr>
          <w:noProof/>
        </w:rPr>
        <w:t xml:space="preserve">. </w:t>
      </w:r>
    </w:p>
    <w:p>
      <w:pPr>
        <w:pStyle w:val="Applicationdirecte"/>
        <w:rPr>
          <w:noProof/>
        </w:rPr>
      </w:pPr>
      <w:r>
        <w:rPr>
          <w:noProof/>
        </w:rPr>
        <w:lastRenderedPageBreak/>
        <w:t>Denne forordning er bindende i alle enkeltheder og gælder umiddelbart i hver medlemsstat.</w:t>
      </w:r>
    </w:p>
    <w:p>
      <w:pPr>
        <w:pStyle w:val="Fait"/>
        <w:rPr>
          <w:noProof/>
        </w:rPr>
      </w:pPr>
      <w:r>
        <w:t xml:space="preserve">Udfærdiget i Bruxelles, den </w:t>
      </w:r>
      <w:r>
        <w:rPr>
          <w:rStyle w:val="Marker"/>
        </w:rPr>
        <w:t>[…]</w:t>
      </w:r>
      <w:r>
        <w:t>.</w:t>
      </w:r>
    </w:p>
    <w:p>
      <w:pPr>
        <w:pStyle w:val="Institutionquisigne"/>
        <w:rPr>
          <w:noProof/>
        </w:rPr>
      </w:pPr>
      <w:r>
        <w:rPr>
          <w:noProof/>
        </w:rPr>
        <w:t>På Europa-Parlamentets vegne</w:t>
      </w:r>
      <w:r>
        <w:rPr>
          <w:noProof/>
        </w:rPr>
        <w:tab/>
        <w:t>På Rådets vegne</w:t>
      </w:r>
    </w:p>
    <w:p>
      <w:pPr>
        <w:pStyle w:val="Personnequisigne"/>
        <w:rPr>
          <w:noProof/>
        </w:rPr>
      </w:pPr>
      <w:r>
        <w:rPr>
          <w:noProof/>
        </w:rPr>
        <w:t>Formand</w:t>
      </w:r>
      <w:r>
        <w:rPr>
          <w:noProof/>
        </w:rPr>
        <w:tab/>
        <w:t>Formand</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r>
      <w:r>
        <w:rPr>
          <w:rStyle w:val="Strong"/>
          <w:b w:val="0"/>
        </w:rPr>
        <w:t>Interinstitutionel aftale mellem Europa-Parlamentet, Rådet for Den Europæiske Union og Europa-Kommissionen om bedre lovgivning.</w:t>
      </w:r>
      <w:r>
        <w:rPr>
          <w:rStyle w:val="Strong"/>
        </w:rPr>
        <w:t xml:space="preserve"> </w:t>
      </w:r>
      <w:r>
        <w:rPr>
          <w:rStyle w:val="Hyperlink"/>
          <w:color w:val="auto"/>
        </w:rPr>
        <w:t>EUT L 123 af 12.5.2016, s. 1.</w:t>
      </w:r>
    </w:p>
  </w:footnote>
  <w:footnote w:id="3">
    <w:p>
      <w:pPr>
        <w:pStyle w:val="FootnoteText"/>
      </w:pPr>
      <w:r>
        <w:rPr>
          <w:rStyle w:val="FootnoteReference"/>
        </w:rPr>
        <w:footnoteRef/>
      </w:r>
      <w:r>
        <w:tab/>
      </w:r>
      <w:r>
        <w:rPr>
          <w:rStyle w:val="Strong"/>
          <w:b w:val="0"/>
        </w:rPr>
        <w:t>EUT L 302 af 22.10.2014, s. 26.</w:t>
      </w:r>
      <w:r>
        <w:rPr>
          <w:rFonts w:ascii="Lucida Sans Unicode" w:hAnsi="Lucida Sans Unicode"/>
          <w:sz w:val="19"/>
          <w:szCs w:val="19"/>
        </w:rPr>
        <w:t xml:space="preserve"> </w:t>
      </w:r>
    </w:p>
  </w:footnote>
  <w:footnote w:id="4">
    <w:p>
      <w:pPr>
        <w:pStyle w:val="FootnoteText"/>
      </w:pPr>
      <w:r>
        <w:rPr>
          <w:rStyle w:val="FootnoteReference"/>
        </w:rPr>
        <w:footnoteRef/>
      </w:r>
      <w:r>
        <w:tab/>
      </w:r>
      <w:hyperlink r:id="rId1" w:history="1">
        <w:r>
          <w:rPr>
            <w:rStyle w:val="Hyperlink"/>
            <w:color w:val="auto"/>
            <w:u w:val="none"/>
          </w:rPr>
          <w:t>EUT L 180 af 15.7.2010, s. 7</w:t>
        </w:r>
      </w:hyperlink>
      <w:r>
        <w:t>.</w:t>
      </w:r>
    </w:p>
  </w:footnote>
  <w:footnote w:id="5">
    <w:p>
      <w:pPr>
        <w:pStyle w:val="FootnoteText"/>
      </w:pPr>
      <w:r>
        <w:rPr>
          <w:rStyle w:val="FootnoteReference"/>
        </w:rPr>
        <w:footnoteRef/>
      </w:r>
      <w:r>
        <w:tab/>
        <w:t>Domstolens dom af 6. september 2012 i sag C-490/10, Parlamentet mod Rådet (Sml. 2012, s. I-0000).</w:t>
      </w:r>
    </w:p>
  </w:footnote>
  <w:footnote w:id="6">
    <w:p>
      <w:pPr>
        <w:pStyle w:val="FootnoteText"/>
        <w:jc w:val="left"/>
        <w:rPr>
          <w:lang w:val="en-GB"/>
        </w:rPr>
      </w:pPr>
      <w:r>
        <w:rPr>
          <w:rStyle w:val="FootnoteReference"/>
        </w:rPr>
        <w:footnoteRef/>
      </w:r>
      <w:r>
        <w:rPr>
          <w:lang w:val="en-GB"/>
        </w:rPr>
        <w:tab/>
        <w:t xml:space="preserve">SWD(2016) 396 final </w:t>
      </w:r>
      <w:hyperlink r:id="rId2" w:history="1">
        <w:r>
          <w:rPr>
            <w:rStyle w:val="Hyperlink"/>
            <w:color w:val="auto"/>
            <w:lang w:val="en-GB"/>
          </w:rPr>
          <w:t>http://ec.europa.eu/energy/sites/ener/files/documents/1_en_autre_document_travail_service_part1_v4.pdf</w:t>
        </w:r>
      </w:hyperlink>
      <w:r>
        <w:rPr>
          <w:lang w:val="en-GB"/>
        </w:rPr>
        <w:t>.</w:t>
      </w:r>
    </w:p>
  </w:footnote>
  <w:footnote w:id="7">
    <w:p>
      <w:pPr>
        <w:pStyle w:val="FootnoteText"/>
      </w:pPr>
      <w:r>
        <w:rPr>
          <w:rStyle w:val="FootnoteReference"/>
        </w:rPr>
        <w:footnoteRef/>
      </w:r>
      <w:r>
        <w:tab/>
        <w:t>COM(2016) 0759 final/2 – 2016/0375 (COD).</w:t>
      </w:r>
      <w:r>
        <w:rPr>
          <w:rFonts w:ascii="Lucida Sans Unicode" w:hAnsi="Lucida Sans Unicode"/>
          <w:sz w:val="19"/>
          <w:szCs w:val="19"/>
        </w:rPr>
        <w:t xml:space="preserve"> </w:t>
      </w:r>
      <w:r>
        <w:t xml:space="preserve">Kommissionens forslag til Europa-Parlamentets og Rådets forordning om forvaltning af energiunionen, om ændring af direktiv 94/22/EF, direktiv 98/70/EF, direktiv 2009/31/EF, forordning (EF) nr. 663/2009, forordning (EF) nr. 715/2009, direktiv 2009/73/EF, Rådets direktiv 2009/119/EF, direktiv 2010/31/EU, direktiv 2012/27/EU, direktiv 2013/30/EU og Rådets direktiv (EU) 2015/652 og om ophævelse af forordning (EU) nr. 525/2013. </w:t>
      </w:r>
    </w:p>
  </w:footnote>
  <w:footnote w:id="8">
    <w:p>
      <w:pPr>
        <w:pStyle w:val="FootnoteText"/>
      </w:pPr>
      <w:r>
        <w:rPr>
          <w:rStyle w:val="FootnoteReference"/>
        </w:rPr>
        <w:footnoteRef/>
      </w:r>
      <w:r>
        <w:tab/>
        <w:t>Det europæiske net af elektricitetstransmissionssystemoperatører.</w:t>
      </w:r>
    </w:p>
  </w:footnote>
  <w:footnote w:id="9">
    <w:p>
      <w:pPr>
        <w:pStyle w:val="FootnoteText"/>
      </w:pPr>
      <w:r>
        <w:rPr>
          <w:rStyle w:val="FootnoteReference"/>
        </w:rPr>
        <w:footnoteRef/>
      </w:r>
      <w:r>
        <w:tab/>
        <w:t>Det europæiske net af gastransmissionssystemoperatører.</w:t>
      </w:r>
    </w:p>
  </w:footnote>
  <w:footnote w:id="10">
    <w:p>
      <w:pPr>
        <w:pStyle w:val="FootnoteText"/>
      </w:pPr>
      <w:r>
        <w:rPr>
          <w:rStyle w:val="FootnoteReference"/>
        </w:rPr>
        <w:footnoteRef/>
      </w:r>
      <w:r>
        <w:tab/>
        <w:t>COM(2016) 0759 final/2 – 2016/0375 (COD).</w:t>
      </w:r>
      <w:r>
        <w:rPr>
          <w:rFonts w:ascii="Lucida Sans Unicode" w:hAnsi="Lucida Sans Unicode"/>
          <w:sz w:val="19"/>
          <w:szCs w:val="19"/>
        </w:rPr>
        <w:t xml:space="preserve"> </w:t>
      </w:r>
      <w:r>
        <w:t xml:space="preserve">Kommissionens forslag til Europa-Parlamentets og Rådets forordning om forvaltning af energiunionen, om ændring af direktiv 94/22/EF, direktiv 98/70/EF, direktiv 2009/31/EF, forordning (EF) nr. 663/2009, forordning (EF) nr. 715/2009, direktiv 2009/73/EF, Rådets direktiv 2009/119/EF, direktiv 2010/31/EU, direktiv 2012/27/EU, direktiv 2013/30/EU og Rådets direktiv (EU) 2015/652 og om ophævelse af forordning (EU) nr. 525/2013. </w:t>
      </w:r>
    </w:p>
  </w:footnote>
  <w:footnote w:id="11">
    <w:p>
      <w:pPr>
        <w:pStyle w:val="FootnoteText"/>
      </w:pPr>
      <w:r>
        <w:rPr>
          <w:rStyle w:val="FootnoteReference"/>
        </w:rPr>
        <w:footnoteRef/>
      </w:r>
      <w:r>
        <w:tab/>
        <w:t>Ibid. SWD(2016) 396 final, s. 118.</w:t>
      </w:r>
    </w:p>
  </w:footnote>
  <w:footnote w:id="12">
    <w:p>
      <w:pPr>
        <w:pStyle w:val="FootnoteText"/>
      </w:pPr>
      <w:r>
        <w:rPr>
          <w:rStyle w:val="FootnoteReference"/>
        </w:rPr>
        <w:footnoteRef/>
      </w:r>
      <w:r>
        <w:tab/>
        <w:t>EUT C […] af […], s. […].</w:t>
      </w:r>
    </w:p>
  </w:footnote>
  <w:footnote w:id="13">
    <w:p>
      <w:pPr>
        <w:pStyle w:val="FootnoteText"/>
      </w:pPr>
      <w:r>
        <w:rPr>
          <w:rStyle w:val="FootnoteReference"/>
        </w:rPr>
        <w:footnoteRef/>
      </w:r>
      <w:r>
        <w:tab/>
        <w:t>EUT C […] af […], s. […].</w:t>
      </w:r>
    </w:p>
  </w:footnote>
  <w:footnote w:id="14">
    <w:p>
      <w:pPr>
        <w:pStyle w:val="FootnoteText"/>
      </w:pPr>
      <w:r>
        <w:rPr>
          <w:rStyle w:val="FootnoteReference"/>
        </w:rPr>
        <w:footnoteRef/>
      </w:r>
      <w:r>
        <w:tab/>
        <w:t>EUT L 123 af 12.5.2016, s. 1.</w:t>
      </w:r>
    </w:p>
  </w:footnote>
  <w:footnote w:id="15">
    <w:p>
      <w:pPr>
        <w:pStyle w:val="FootnoteText"/>
      </w:pPr>
      <w:r>
        <w:rPr>
          <w:rStyle w:val="FootnoteReference"/>
        </w:rPr>
        <w:footnoteRef/>
      </w:r>
      <w:r>
        <w:tab/>
        <w:t>Europa-Parlamentets og Rådets forordning (EU) nr. 256/2014 af 26. februar 2014 om indberetning til Kommissionen om investeringsprojekter i energiinfrastruktur i Den Europæiske Union, om erstatning af Rådets forordning (EU, Euratom) nr. 617/2010 og om ophævelse af Rådets forordning (EF) nr. 736/96 (EUT L 84 af 20.3.2014, s. 61).</w:t>
      </w:r>
    </w:p>
  </w:footnote>
  <w:footnote w:id="16">
    <w:p>
      <w:pPr>
        <w:pStyle w:val="FootnoteText"/>
      </w:pPr>
      <w:r>
        <w:rPr>
          <w:rStyle w:val="FootnoteReference"/>
        </w:rPr>
        <w:footnoteRef/>
      </w:r>
      <w:r>
        <w:tab/>
        <w:t>Rådets forordning (EU, Euratom) nr. 617/2010 af 24. juni 2010 om indberetning til Kommissionen om investeringsprojekter i energiinfrastruktur i Den Europæiske Union og om ophævelse af forordning (EF) nr. 736/96 (</w:t>
      </w:r>
      <w:hyperlink r:id="rId3" w:history="1">
        <w:r>
          <w:rPr>
            <w:rStyle w:val="Hyperlink"/>
            <w:color w:val="auto"/>
            <w:u w:val="none"/>
          </w:rPr>
          <w:t>EUT L 180 af 15.7.2010, s. 7</w:t>
        </w:r>
      </w:hyperlink>
      <w:r>
        <w:rPr>
          <w:rStyle w:val="Hyperlink"/>
          <w:color w:val="auto"/>
          <w:u w:val="none"/>
        </w:rPr>
        <w:t>).</w:t>
      </w:r>
    </w:p>
  </w:footnote>
  <w:footnote w:id="17">
    <w:p>
      <w:pPr>
        <w:pStyle w:val="FootnoteText"/>
      </w:pPr>
      <w:r>
        <w:rPr>
          <w:rStyle w:val="FootnoteReference"/>
        </w:rPr>
        <w:footnoteRef/>
      </w:r>
      <w:r>
        <w:tab/>
        <w:t>Domstolens dom af 6. september 2012, sag C-490/10, Europa-Parlamentet mod Rådet, ECLI:EU:C:2012:525.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950786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6681B5E"/>
    <w:lvl w:ilvl="0">
      <w:start w:val="1"/>
      <w:numFmt w:val="decimal"/>
      <w:pStyle w:val="ListNumber3"/>
      <w:lvlText w:val="%1."/>
      <w:lvlJc w:val="left"/>
      <w:pPr>
        <w:tabs>
          <w:tab w:val="num" w:pos="926"/>
        </w:tabs>
        <w:ind w:left="926" w:hanging="360"/>
      </w:pPr>
    </w:lvl>
  </w:abstractNum>
  <w:abstractNum w:abstractNumId="2">
    <w:nsid w:val="FFFFFF7F"/>
    <w:multiLevelType w:val="singleLevel"/>
    <w:tmpl w:val="D8BEA206"/>
    <w:lvl w:ilvl="0">
      <w:start w:val="1"/>
      <w:numFmt w:val="decimal"/>
      <w:pStyle w:val="ListNumber2"/>
      <w:lvlText w:val="%1."/>
      <w:lvlJc w:val="left"/>
      <w:pPr>
        <w:tabs>
          <w:tab w:val="num" w:pos="643"/>
        </w:tabs>
        <w:ind w:left="643" w:hanging="360"/>
      </w:pPr>
    </w:lvl>
  </w:abstractNum>
  <w:abstractNum w:abstractNumId="3">
    <w:nsid w:val="FFFFFF81"/>
    <w:multiLevelType w:val="singleLevel"/>
    <w:tmpl w:val="042AFA9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8AEAF6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F9030D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064E98E"/>
    <w:lvl w:ilvl="0">
      <w:start w:val="1"/>
      <w:numFmt w:val="decimal"/>
      <w:pStyle w:val="ListNumber"/>
      <w:lvlText w:val="%1."/>
      <w:lvlJc w:val="left"/>
      <w:pPr>
        <w:tabs>
          <w:tab w:val="num" w:pos="360"/>
        </w:tabs>
        <w:ind w:left="360" w:hanging="360"/>
      </w:pPr>
    </w:lvl>
  </w:abstractNum>
  <w:abstractNum w:abstractNumId="7">
    <w:nsid w:val="FFFFFF89"/>
    <w:multiLevelType w:val="singleLevel"/>
    <w:tmpl w:val="9332737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hideSpellingErrors/>
  <w:hideGrammaticalErrors/>
  <w:attachedTemplate r:id="rId1"/>
  <w:revisionView w:markup="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2-18 16:16:04"/>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4"/>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6603CA9-40EF-42C2-83C6-0E0CD692D4C5"/>
    <w:docVar w:name="LW_COVERPAGE_TYPE" w:val="1"/>
    <w:docVar w:name="LW_CROSSREFERENCE" w:val="&lt;UNUSED&gt;"/>
    <w:docVar w:name="LW_DocType" w:val="COM"/>
    <w:docVar w:name="LW_EMISSION" w:val="19.12.2017"/>
    <w:docVar w:name="LW_EMISSION_ISODATE" w:val="2017-12-19"/>
    <w:docVar w:name="LW_EMISSION_LOCATION" w:val="BRX"/>
    <w:docVar w:name="LW_EMISSION_PREFIX" w:val="Bruxelles, den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COD"/>
    <w:docVar w:name="LW_REF.II.NEW.CP_NUMBER" w:val="0347"/>
    <w:docVar w:name="LW_REF.II.NEW.CP_YEAR" w:val="2017"/>
    <w:docVar w:name="LW_REF.INST.NEW" w:val="COM"/>
    <w:docVar w:name="LW_REF.INST.NEW_ADOPTED" w:val="final"/>
    <w:docVar w:name="LW_REF.INST.NEW_TEXT" w:val="(2017) 76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Forslag til"/>
    <w:docVar w:name="LW_SUPERTITRE" w:val="&lt;UNUSED&gt;"/>
    <w:docVar w:name="LW_TITRE.OBJ.CP" w:val="om ophævelse af Europa-Parlamentets og Rådets forordning (EU) nr. 256/2014 om indberetning til Kommissionen om investeringsprojekter i energiinfrastruktur i Den Europæiske Union _x000b__x000b_"/>
    <w:docVar w:name="LW_TYPE.DOC.CP" w:val="EUROPA-PARLAMENTETS OG RÅDETS FORORDNING"/>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rPr>
      <w:sz w:val="17"/>
      <w:szCs w:val="17"/>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otnote">
    <w:name w:val="Footnote"/>
    <w:basedOn w:val="Default"/>
    <w:rPr>
      <w:color w:val="auto"/>
      <w:sz w:val="20"/>
      <w:szCs w:val="20"/>
    </w:rPr>
  </w:style>
  <w:style w:type="character" w:styleId="Strong">
    <w:name w:val="Strong"/>
    <w:basedOn w:val="DefaultParagraphFont"/>
    <w:uiPriority w:val="22"/>
    <w:qFormat/>
    <w:rPr>
      <w:b/>
      <w:bCs/>
    </w:rPr>
  </w:style>
  <w:style w:type="paragraph" w:customStyle="1" w:styleId="doc-ti2">
    <w:name w:val="doc-ti2"/>
    <w:basedOn w:val="Normal"/>
    <w:pPr>
      <w:spacing w:before="240" w:line="312" w:lineRule="atLeast"/>
      <w:jc w:val="center"/>
    </w:pPr>
    <w:rPr>
      <w:rFonts w:eastAsia="Times New Roman"/>
      <w:b/>
      <w:bCs/>
      <w:szCs w:val="24"/>
      <w:lang w:eastAsia="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rPr>
      <w:sz w:val="17"/>
      <w:szCs w:val="17"/>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otnote">
    <w:name w:val="Footnote"/>
    <w:basedOn w:val="Default"/>
    <w:rPr>
      <w:color w:val="auto"/>
      <w:sz w:val="20"/>
      <w:szCs w:val="20"/>
    </w:rPr>
  </w:style>
  <w:style w:type="character" w:styleId="Strong">
    <w:name w:val="Strong"/>
    <w:basedOn w:val="DefaultParagraphFont"/>
    <w:uiPriority w:val="22"/>
    <w:qFormat/>
    <w:rPr>
      <w:b/>
      <w:bCs/>
    </w:rPr>
  </w:style>
  <w:style w:type="paragraph" w:customStyle="1" w:styleId="doc-ti2">
    <w:name w:val="doc-ti2"/>
    <w:basedOn w:val="Normal"/>
    <w:pPr>
      <w:spacing w:before="240" w:line="312" w:lineRule="atLeast"/>
      <w:jc w:val="center"/>
    </w:pPr>
    <w:rPr>
      <w:rFonts w:eastAsia="Times New Roman"/>
      <w:b/>
      <w:bCs/>
      <w:szCs w:val="24"/>
      <w:lang w:eastAsia="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932031">
      <w:bodyDiv w:val="1"/>
      <w:marLeft w:val="0"/>
      <w:marRight w:val="0"/>
      <w:marTop w:val="0"/>
      <w:marBottom w:val="0"/>
      <w:divBdr>
        <w:top w:val="none" w:sz="0" w:space="0" w:color="auto"/>
        <w:left w:val="none" w:sz="0" w:space="0" w:color="auto"/>
        <w:bottom w:val="none" w:sz="0" w:space="0" w:color="auto"/>
        <w:right w:val="none" w:sz="0" w:space="0" w:color="auto"/>
      </w:divBdr>
      <w:divsChild>
        <w:div w:id="1797749863">
          <w:marLeft w:val="0"/>
          <w:marRight w:val="0"/>
          <w:marTop w:val="0"/>
          <w:marBottom w:val="0"/>
          <w:divBdr>
            <w:top w:val="none" w:sz="0" w:space="0" w:color="auto"/>
            <w:left w:val="none" w:sz="0" w:space="0" w:color="auto"/>
            <w:bottom w:val="none" w:sz="0" w:space="0" w:color="auto"/>
            <w:right w:val="none" w:sz="0" w:space="0" w:color="auto"/>
          </w:divBdr>
          <w:divsChild>
            <w:div w:id="284704445">
              <w:marLeft w:val="0"/>
              <w:marRight w:val="0"/>
              <w:marTop w:val="0"/>
              <w:marBottom w:val="0"/>
              <w:divBdr>
                <w:top w:val="none" w:sz="0" w:space="0" w:color="auto"/>
                <w:left w:val="none" w:sz="0" w:space="0" w:color="auto"/>
                <w:bottom w:val="none" w:sz="0" w:space="0" w:color="auto"/>
                <w:right w:val="none" w:sz="0" w:space="0" w:color="auto"/>
              </w:divBdr>
              <w:divsChild>
                <w:div w:id="36316893">
                  <w:marLeft w:val="0"/>
                  <w:marRight w:val="0"/>
                  <w:marTop w:val="0"/>
                  <w:marBottom w:val="0"/>
                  <w:divBdr>
                    <w:top w:val="none" w:sz="0" w:space="0" w:color="auto"/>
                    <w:left w:val="none" w:sz="0" w:space="0" w:color="auto"/>
                    <w:bottom w:val="none" w:sz="0" w:space="0" w:color="auto"/>
                    <w:right w:val="none" w:sz="0" w:space="0" w:color="auto"/>
                  </w:divBdr>
                  <w:divsChild>
                    <w:div w:id="2008820015">
                      <w:marLeft w:val="1"/>
                      <w:marRight w:val="1"/>
                      <w:marTop w:val="0"/>
                      <w:marBottom w:val="0"/>
                      <w:divBdr>
                        <w:top w:val="none" w:sz="0" w:space="0" w:color="auto"/>
                        <w:left w:val="none" w:sz="0" w:space="0" w:color="auto"/>
                        <w:bottom w:val="none" w:sz="0" w:space="0" w:color="auto"/>
                        <w:right w:val="none" w:sz="0" w:space="0" w:color="auto"/>
                      </w:divBdr>
                      <w:divsChild>
                        <w:div w:id="864171505">
                          <w:marLeft w:val="0"/>
                          <w:marRight w:val="0"/>
                          <w:marTop w:val="0"/>
                          <w:marBottom w:val="0"/>
                          <w:divBdr>
                            <w:top w:val="none" w:sz="0" w:space="0" w:color="auto"/>
                            <w:left w:val="none" w:sz="0" w:space="0" w:color="auto"/>
                            <w:bottom w:val="none" w:sz="0" w:space="0" w:color="auto"/>
                            <w:right w:val="none" w:sz="0" w:space="0" w:color="auto"/>
                          </w:divBdr>
                          <w:divsChild>
                            <w:div w:id="909921040">
                              <w:marLeft w:val="0"/>
                              <w:marRight w:val="0"/>
                              <w:marTop w:val="0"/>
                              <w:marBottom w:val="360"/>
                              <w:divBdr>
                                <w:top w:val="none" w:sz="0" w:space="0" w:color="auto"/>
                                <w:left w:val="none" w:sz="0" w:space="0" w:color="auto"/>
                                <w:bottom w:val="none" w:sz="0" w:space="0" w:color="auto"/>
                                <w:right w:val="none" w:sz="0" w:space="0" w:color="auto"/>
                              </w:divBdr>
                              <w:divsChild>
                                <w:div w:id="903683626">
                                  <w:marLeft w:val="0"/>
                                  <w:marRight w:val="0"/>
                                  <w:marTop w:val="0"/>
                                  <w:marBottom w:val="0"/>
                                  <w:divBdr>
                                    <w:top w:val="none" w:sz="0" w:space="0" w:color="auto"/>
                                    <w:left w:val="none" w:sz="0" w:space="0" w:color="auto"/>
                                    <w:bottom w:val="none" w:sz="0" w:space="0" w:color="auto"/>
                                    <w:right w:val="none" w:sz="0" w:space="0" w:color="auto"/>
                                  </w:divBdr>
                                  <w:divsChild>
                                    <w:div w:id="461922125">
                                      <w:marLeft w:val="0"/>
                                      <w:marRight w:val="0"/>
                                      <w:marTop w:val="0"/>
                                      <w:marBottom w:val="0"/>
                                      <w:divBdr>
                                        <w:top w:val="none" w:sz="0" w:space="0" w:color="auto"/>
                                        <w:left w:val="none" w:sz="0" w:space="0" w:color="auto"/>
                                        <w:bottom w:val="none" w:sz="0" w:space="0" w:color="auto"/>
                                        <w:right w:val="none" w:sz="0" w:space="0" w:color="auto"/>
                                      </w:divBdr>
                                      <w:divsChild>
                                        <w:div w:id="1164584403">
                                          <w:marLeft w:val="0"/>
                                          <w:marRight w:val="0"/>
                                          <w:marTop w:val="0"/>
                                          <w:marBottom w:val="0"/>
                                          <w:divBdr>
                                            <w:top w:val="none" w:sz="0" w:space="0" w:color="auto"/>
                                            <w:left w:val="none" w:sz="0" w:space="0" w:color="auto"/>
                                            <w:bottom w:val="none" w:sz="0" w:space="0" w:color="auto"/>
                                            <w:right w:val="none" w:sz="0" w:space="0" w:color="auto"/>
                                          </w:divBdr>
                                          <w:divsChild>
                                            <w:div w:id="1663463957">
                                              <w:marLeft w:val="0"/>
                                              <w:marRight w:val="0"/>
                                              <w:marTop w:val="0"/>
                                              <w:marBottom w:val="0"/>
                                              <w:divBdr>
                                                <w:top w:val="none" w:sz="0" w:space="0" w:color="auto"/>
                                                <w:left w:val="none" w:sz="0" w:space="0" w:color="auto"/>
                                                <w:bottom w:val="none" w:sz="0" w:space="0" w:color="auto"/>
                                                <w:right w:val="none" w:sz="0" w:space="0" w:color="auto"/>
                                              </w:divBdr>
                                              <w:divsChild>
                                                <w:div w:id="7582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348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DA/AUTO/?uri=OJ:L:2010:180:TOC" TargetMode="External"/><Relationship Id="rId2" Type="http://schemas.openxmlformats.org/officeDocument/2006/relationships/hyperlink" Target="http://ec.europa.eu/energy/sites/ener/files/documents/1_en_autre_document_travail_service_part1_v4.pdf" TargetMode="External"/><Relationship Id="rId1" Type="http://schemas.openxmlformats.org/officeDocument/2006/relationships/hyperlink" Target="http://eur-lex.europa.eu/legal-content/DA/AUTO/?uri=OJ:L:2010:180: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E63EE-302B-459A-BFFD-24BB22A89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7</Pages>
  <Words>1545</Words>
  <Characters>10029</Characters>
  <Application>Microsoft Office Word</Application>
  <DocSecurity>0</DocSecurity>
  <Lines>179</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2017-10-05T12:15:00Z</cp:lastPrinted>
  <dcterms:created xsi:type="dcterms:W3CDTF">2017-12-01T10:45:00Z</dcterms:created>
  <dcterms:modified xsi:type="dcterms:W3CDTF">2017-12-18T15:16:00Z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Level of sensitivity">
    <vt:lpwstr>Standard treatment</vt:lpwstr>
  </property>
  <property fmtid="{D5CDD505-2E9C-101B-9397-08002B2CF9AE}" pid="10" name="DQCStatus">
    <vt:lpwstr>Green (DQC version 03)</vt:lpwstr>
  </property>
</Properties>
</file>