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86F8A71-024A-4858-9C18-B2579A61ECD2" style="width:450.35pt;height:320.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UVOD</w:t>
      </w:r>
    </w:p>
    <w:p>
      <w:pPr>
        <w:rPr>
          <w:noProof/>
        </w:rPr>
      </w:pPr>
      <w:r>
        <w:rPr>
          <w:noProof/>
        </w:rPr>
        <w:t>Istraživanje i inovacije ključni su za održavanje europskoga socioekonomskog modela i vrijednosti te europske globalne konkurentnosti. To je posebno važno u svijetu koji se brzo mijenja i u kojem naša uspješnost sve više ovisi o stvaranju znanja koje se brzo pretvara u inovacije, a ne o iskorištavanju prirodnih resursa ili smanjivanju troškova rada. Održivi rast u budućnosti možemo postići samo ulagajući sada u istraživanje i inovacije.</w:t>
      </w:r>
    </w:p>
    <w:p>
      <w:pPr>
        <w:rPr>
          <w:noProof/>
        </w:rPr>
      </w:pPr>
      <w:r>
        <w:rPr>
          <w:noProof/>
        </w:rPr>
        <w:t xml:space="preserve">Ključni je resurs EU-a za ostvarivanje tog cilja okvirni program EU-a za istraživanje i inovacije (2014.–2020.) Obzor 2020. Njime se nastoji potaknuti gospodarski rast i stvoriti radna mjesta povezivanjem istraživanja i inovacija, promicanjem izvrsnosti u znanosti i industrijskom vodstvu te odgovaranjem na društvene izazove. </w:t>
      </w:r>
    </w:p>
    <w:p>
      <w:pPr>
        <w:rPr>
          <w:noProof/>
        </w:rPr>
      </w:pPr>
      <w:r>
        <w:rPr>
          <w:noProof/>
        </w:rPr>
        <w:t>U skladu sa smjernicama za bolju regulativu</w:t>
      </w:r>
      <w:r>
        <w:rPr>
          <w:rStyle w:val="FootnoteReference"/>
          <w:noProof/>
        </w:rPr>
        <w:footnoteReference w:id="1"/>
      </w:r>
      <w:r>
        <w:rPr>
          <w:noProof/>
        </w:rPr>
        <w:t xml:space="preserve"> službe Komisije provele su sveobuhvatnu privremenu evaluaciju napretka programa u prve tri godine provedbe</w:t>
      </w:r>
      <w:r>
        <w:rPr>
          <w:rStyle w:val="FootnoteReference"/>
          <w:noProof/>
        </w:rPr>
        <w:footnoteReference w:id="2"/>
      </w:r>
      <w:r>
        <w:rPr>
          <w:noProof/>
        </w:rPr>
        <w:t xml:space="preserve">. </w:t>
      </w:r>
      <w:r>
        <w:rPr>
          <w:rStyle w:val="Emphasis"/>
          <w:i w:val="0"/>
          <w:noProof/>
        </w:rPr>
        <w:t xml:space="preserve">Dionici su se u velikom broju uključili u javno savjetovanje o privremenoj evaluaciji kojim je obuhvaćeno više od 3500 sudionika i 300 razrađenih dokumenata o stajalištu. </w:t>
      </w:r>
    </w:p>
    <w:p>
      <w:pPr>
        <w:rPr>
          <w:rStyle w:val="Emphasis"/>
          <w:i w:val="0"/>
          <w:noProof/>
        </w:rPr>
      </w:pPr>
      <w:r>
        <w:rPr>
          <w:noProof/>
        </w:rPr>
        <w:t>S tri dodatne nezavisne privremene evaluacije obuhvaćen je Europski institut za inovacije i tehnologiju (EIT)</w:t>
      </w:r>
      <w:r>
        <w:rPr>
          <w:rStyle w:val="FootnoteReference"/>
          <w:noProof/>
        </w:rPr>
        <w:footnoteReference w:id="3"/>
      </w:r>
      <w:r>
        <w:rPr>
          <w:noProof/>
        </w:rPr>
        <w:t>; javno-javna partnerstva (P2P-ovi) osnovana u skladu s člankom 185.</w:t>
      </w:r>
      <w:r>
        <w:rPr>
          <w:rStyle w:val="FootnoteReference"/>
          <w:noProof/>
        </w:rPr>
        <w:footnoteReference w:id="4"/>
      </w:r>
      <w:r>
        <w:rPr>
          <w:rStyle w:val="st"/>
          <w:noProof/>
        </w:rPr>
        <w:t xml:space="preserve"> Ugovora o funkcioniranju Europske unije (</w:t>
      </w:r>
      <w:r>
        <w:rPr>
          <w:rStyle w:val="Emphasis"/>
          <w:i w:val="0"/>
          <w:noProof/>
        </w:rPr>
        <w:t>UFEU)</w:t>
      </w:r>
      <w:r>
        <w:rPr>
          <w:noProof/>
        </w:rPr>
        <w:t>;</w:t>
      </w:r>
      <w:r>
        <w:rPr>
          <w:rStyle w:val="st"/>
          <w:noProof/>
        </w:rPr>
        <w:t xml:space="preserve"> javno-privatna partnerstva (JPP-ovi, u okviru zajedničkih poduzeća) osnovana na temelju članka</w:t>
      </w:r>
      <w:r>
        <w:rPr>
          <w:noProof/>
        </w:rPr>
        <w:t xml:space="preserve"> 187.</w:t>
      </w:r>
      <w:r>
        <w:rPr>
          <w:rStyle w:val="FootnoteReference"/>
          <w:noProof/>
        </w:rPr>
        <w:footnoteReference w:id="5"/>
      </w:r>
      <w:r>
        <w:rPr>
          <w:noProof/>
        </w:rPr>
        <w:t xml:space="preserve"> </w:t>
      </w:r>
      <w:r>
        <w:rPr>
          <w:rStyle w:val="Emphasis"/>
          <w:i w:val="0"/>
          <w:noProof/>
        </w:rPr>
        <w:t xml:space="preserve">UFEU-a. Zasebne </w:t>
      </w:r>
      <w:r>
        <w:rPr>
          <w:noProof/>
        </w:rPr>
        <w:t>nezavisne skupine stručnjaka provele su i preispitivanje na sredini razdoblja devet ugovornih javno-privatnih partnerstava</w:t>
      </w:r>
      <w:r>
        <w:rPr>
          <w:rStyle w:val="FootnoteReference"/>
          <w:noProof/>
        </w:rPr>
        <w:footnoteReference w:id="6"/>
      </w:r>
      <w:r>
        <w:rPr>
          <w:noProof/>
        </w:rPr>
        <w:t xml:space="preserve"> i jednog </w:t>
      </w:r>
      <w:r>
        <w:rPr>
          <w:rStyle w:val="Emphasis"/>
          <w:i w:val="0"/>
          <w:noProof/>
        </w:rPr>
        <w:t>izravnog djelovanja Zajedničkog istraživačkog centra</w:t>
      </w:r>
      <w:r>
        <w:rPr>
          <w:rStyle w:val="FootnoteReference"/>
          <w:noProof/>
        </w:rPr>
        <w:footnoteReference w:id="7"/>
      </w:r>
      <w:r>
        <w:rPr>
          <w:rStyle w:val="Emphasis"/>
          <w:i w:val="0"/>
          <w:noProof/>
        </w:rPr>
        <w:t>.</w:t>
      </w:r>
    </w:p>
    <w:p>
      <w:pPr>
        <w:rPr>
          <w:noProof/>
        </w:rPr>
      </w:pPr>
      <w:r>
        <w:rPr>
          <w:noProof/>
        </w:rPr>
        <w:t>Privremena evaluacija poslužila je kao temelj za izvješće i preporuke za budućnost</w:t>
      </w:r>
      <w:r>
        <w:rPr>
          <w:rStyle w:val="FootnoteReference"/>
          <w:noProof/>
        </w:rPr>
        <w:footnoteReference w:id="8"/>
      </w:r>
      <w:r>
        <w:rPr>
          <w:noProof/>
        </w:rPr>
        <w:t xml:space="preserve"> koje je izradila nezavisna skupina na visokoj razini za postizanje najvećeg učinka programa EU-a za istraživanje i inovacije pod predsjedanjem Pascala Lamyja (Lamyjeva skupina na visokoj razini).</w:t>
      </w:r>
    </w:p>
    <w:p>
      <w:pPr>
        <w:rPr>
          <w:b/>
          <w:bCs/>
          <w:i/>
          <w:iCs/>
          <w:noProof/>
        </w:rPr>
      </w:pPr>
      <w:r>
        <w:rPr>
          <w:noProof/>
        </w:rPr>
        <w:t>U skladu sa zahtjevima članka 32. Uredbe o osnivanju programa Obzor 2020.,</w:t>
      </w:r>
      <w:r>
        <w:rPr>
          <w:rStyle w:val="FootnoteReference"/>
          <w:noProof/>
        </w:rPr>
        <w:footnoteReference w:id="9"/>
      </w:r>
      <w:r>
        <w:rPr>
          <w:noProof/>
        </w:rPr>
        <w:t xml:space="preserve"> svrha je ove Komunikacije priopćiti institucijama EU-a ključne nalaze (odjeljak 2.) i stečena iskustva iz cjelokupne evaluacije (odjeljak 3.) To uključuje moguća poboljšanja i smjernice za budućnost, uključujući prve odgovore na preporuke Lamyjeve skupine na visokoj razini za najveće povećanje učinka.</w:t>
      </w:r>
    </w:p>
    <w:p>
      <w:pPr>
        <w:pStyle w:val="Heading1"/>
        <w:rPr>
          <w:noProof/>
        </w:rPr>
      </w:pPr>
      <w:r>
        <w:rPr>
          <w:noProof/>
        </w:rPr>
        <w:t>Ključni nalazi privremene evaluacije programa Obzor 2020.</w:t>
      </w:r>
    </w:p>
    <w:p>
      <w:pPr>
        <w:rPr>
          <w:noProof/>
        </w:rPr>
      </w:pPr>
      <w:r>
        <w:rPr>
          <w:noProof/>
        </w:rPr>
        <w:t>Druge institucije EU-a podržale su rezultate privremene evaluacije: Europski parlament (EP)</w:t>
      </w:r>
      <w:r>
        <w:rPr>
          <w:rStyle w:val="FootnoteReference"/>
          <w:noProof/>
        </w:rPr>
        <w:footnoteReference w:id="10"/>
      </w:r>
      <w:r>
        <w:rPr>
          <w:noProof/>
        </w:rPr>
        <w:t>, Europski gospodarski i socijalni odbor (EGSO)</w:t>
      </w:r>
      <w:r>
        <w:rPr>
          <w:rStyle w:val="FootnoteReference"/>
          <w:noProof/>
        </w:rPr>
        <w:footnoteReference w:id="11"/>
      </w:r>
      <w:r>
        <w:rPr>
          <w:noProof/>
        </w:rPr>
        <w:t>, Odbor regija (OR)</w:t>
      </w:r>
      <w:r>
        <w:rPr>
          <w:rStyle w:val="FootnoteReference"/>
          <w:noProof/>
        </w:rPr>
        <w:footnoteReference w:id="12"/>
      </w:r>
      <w:r>
        <w:rPr>
          <w:noProof/>
        </w:rPr>
        <w:t xml:space="preserve"> te nedavno Vijeće za konkurentnost putem zaključaka Vijeća</w:t>
      </w:r>
      <w:r>
        <w:rPr>
          <w:rStyle w:val="FootnoteReference"/>
          <w:noProof/>
        </w:rPr>
        <w:footnoteReference w:id="13"/>
      </w:r>
      <w:r>
        <w:rPr>
          <w:noProof/>
        </w:rPr>
        <w:t xml:space="preserve"> od 1. prosinca 2017. Države članice također su donijele mišljenje u okviru Odbora za europski istraživački prostor i inovacije (ERAC)</w:t>
      </w:r>
      <w:r>
        <w:rPr>
          <w:rStyle w:val="FootnoteReference"/>
          <w:noProof/>
        </w:rPr>
        <w:footnoteReference w:id="14"/>
      </w:r>
      <w:r>
        <w:rPr>
          <w:noProof/>
        </w:rPr>
        <w:t>. Zajedničko je stajalište da je provedba programa Obzor 2020. u velikoj mjeri uspješna.</w:t>
      </w:r>
    </w:p>
    <w:p>
      <w:pPr>
        <w:rPr>
          <w:noProof/>
        </w:rPr>
      </w:pPr>
      <w:r>
        <w:rPr>
          <w:b/>
          <w:noProof/>
        </w:rPr>
        <w:t>Obzor 2020. atraktivan je i relevantan.</w:t>
      </w:r>
      <w:r>
        <w:rPr>
          <w:noProof/>
        </w:rPr>
        <w:t xml:space="preserve"> Sudionici programa dolaze iz najboljih institucija i poduzeća u Europi i izvan nje te raznovrsnih sektora. Dionici izražavaju veliko zadovoljstvo programom što je očito i iz velikog interesa za vrlo konkurentne pozive u okviru njega. </w:t>
      </w:r>
      <w:r>
        <w:rPr>
          <w:b/>
          <w:noProof/>
        </w:rPr>
        <w:t>Više od polovine sudionika programa Obzor 2020. nije sudjelovalo u prethodnom Sedmom okvirnom programu (FP7).</w:t>
      </w:r>
      <w:r>
        <w:rPr>
          <w:noProof/>
        </w:rPr>
        <w:t xml:space="preserve"> Porasla je uključenost industrije, a 23,9 % proračuna za industrijsku tehnologiju i tehnologiju razvoja te rješavanje društvenih izazova odlazi MSP-ovima, što je znatno više od cilja od 20 %. Program Obzor 2020. pokazao se fleksibilnim u reagiranju na promjenjive političke prioritete poput migracija i hitne situacije kao što su epidemije ebole i zike.</w:t>
      </w:r>
    </w:p>
    <w:p>
      <w:pPr>
        <w:rPr>
          <w:noProof/>
        </w:rPr>
      </w:pPr>
      <w:r>
        <w:rPr>
          <w:b/>
          <w:noProof/>
        </w:rPr>
        <w:t>Program nudi jedinstvene prilike za suradnju i umrežavanje.</w:t>
      </w:r>
      <w:r>
        <w:rPr>
          <w:noProof/>
        </w:rPr>
        <w:t xml:space="preserve"> Jedna od pet znanstvenih publikacija objavljenih u okviru programa Obzor 2020. proizašla je iz suradnje akademske zajednice i privatnog sektora. Program Obzor 2020. rezultirao je većim brojem interdisciplinarnih publikacija u odnosu na 7. okvirni program. Ugovorna javno-privatna partnerstva koja objedinjuju privatni sektor i Komisiju u zajedničkom definiranju planova istraživanja i inovacija imaju dodatnu vrijednost zahvaljujući jačanju međusektorske suradnje i poticanju inovacija.</w:t>
      </w:r>
    </w:p>
    <w:p>
      <w:pPr>
        <w:rPr>
          <w:noProof/>
        </w:rPr>
      </w:pPr>
      <w:r>
        <w:rPr>
          <w:b/>
          <w:noProof/>
        </w:rPr>
        <w:t xml:space="preserve">Program Obzor 2020. znatno će pridonijeti stvaranju radnih mjesta i rastu. </w:t>
      </w:r>
      <w:r>
        <w:rPr>
          <w:noProof/>
        </w:rPr>
        <w:t>Iako se na program Obzor 2020. odnosi manje od 10 % ukupnog javnog trošenja na istraživanje i razvoj u EU-u, u okviru makroekonomskih modela procjenjuje se da će do 2030. njegov socioekonomski učinak biti vrijedan 600 milijardi EUR i stvoriti 179 000 radnih mjesta</w:t>
      </w:r>
      <w:r>
        <w:rPr>
          <w:rStyle w:val="FootnoteReference"/>
          <w:noProof/>
        </w:rPr>
        <w:footnoteReference w:id="15"/>
      </w:r>
      <w:r>
        <w:rPr>
          <w:noProof/>
        </w:rPr>
        <w:t>. Osim toga, program pridonosi ostvarivanju ciljeva politika EU-a zahvaljujući naglasku na vrhunsku znanost, industrijsko vodstvo i društvene izazove</w:t>
      </w:r>
      <w:r>
        <w:rPr>
          <w:rStyle w:val="FootnoteReference"/>
          <w:noProof/>
        </w:rPr>
        <w:footnoteReference w:id="16"/>
      </w:r>
      <w:r>
        <w:rPr>
          <w:noProof/>
        </w:rPr>
        <w:t>.</w:t>
      </w:r>
    </w:p>
    <w:p>
      <w:pPr>
        <w:rPr>
          <w:noProof/>
        </w:rPr>
      </w:pPr>
      <w:r>
        <w:rPr>
          <w:b/>
          <w:noProof/>
        </w:rPr>
        <w:t xml:space="preserve">Izvrsnost kao temeljno načelo osigurava kvalitetu. </w:t>
      </w:r>
      <w:r>
        <w:rPr>
          <w:noProof/>
        </w:rPr>
        <w:t>Zahvaljujući izvrsnosti kao glavnom kriteriju za dodjelu sredstava, prve su znanstvene publikacije iz programa Obzor 2020. već citirane dvostruko više od svjetskog prosjeka. Patenti proizvedeni u okviru programa bolje su kvalitete i vjerojatno veće tržišne vrijednosti od sličnih patenata proizvedenih drugdje. Potporu u okviru programa Obzor 2020. primilo je već oko 17 dobitnika Nobelove nagrade.</w:t>
      </w:r>
    </w:p>
    <w:p>
      <w:pPr>
        <w:rPr>
          <w:noProof/>
        </w:rPr>
      </w:pPr>
      <w:r>
        <w:rPr>
          <w:b/>
          <w:noProof/>
        </w:rPr>
        <w:t>Veliko se pojednostavnjenje isplatilo.</w:t>
      </w:r>
      <w:r>
        <w:rPr>
          <w:noProof/>
        </w:rPr>
        <w:t xml:space="preserve"> Opsežne mjere koje su provedene u cilju pojednostavnjenja (primjerice jedinstveni skup pravila, elektronički potpis sporazuma o bespovratnim sredstvima, portal za sudionike kao jedinstvena kontaktna točka za interakciju sa sudionicima, jedinstvena stopa povrata, fiksna stopa za neizravne troškove) uvelike su smanjile administrativno opterećenje i troškove te vrijeme potrebno za dodjelu bespovratnih sredstava (110 dana manje nego u 7. okvirnom programu). Dionici cijene pojednostavnjeni model financiranja kojim se nije smanjila razina sufinanciranja od strane korisnika. </w:t>
      </w:r>
    </w:p>
    <w:p>
      <w:pPr>
        <w:pStyle w:val="ListBullet"/>
        <w:numPr>
          <w:ilvl w:val="0"/>
          <w:numId w:val="0"/>
        </w:numPr>
        <w:rPr>
          <w:noProof/>
        </w:rPr>
      </w:pPr>
      <w:r>
        <w:rPr>
          <w:b/>
          <w:noProof/>
        </w:rPr>
        <w:t xml:space="preserve">Obzor 2020. ima jasnu dodanu vrijednost EU-a. </w:t>
      </w:r>
      <w:r>
        <w:rPr>
          <w:noProof/>
        </w:rPr>
        <w:t>Zahvaljujući njemu ostvaruju se znatne ekonomske koristi u pogledu ekonomije razmjera, opsega i brzine u odnosu na nacionalnu i regionalnu potporu istraživanju i inovacijama te se na taj način povećava privlačnost EU-a kao mjesta za istraživanje i inovacije. Dodatnost programa (tj. u kolikoj mjeri ne zamjenjuje nacionalna sredstva</w:t>
      </w:r>
      <w:r>
        <w:rPr>
          <w:rStyle w:val="FootnoteReference"/>
          <w:noProof/>
        </w:rPr>
        <w:footnoteReference w:id="17"/>
      </w:r>
      <w:r>
        <w:rPr>
          <w:noProof/>
        </w:rPr>
        <w:t>) vrlo je velika. Programski dijelovi za pojedinačne korisnike kao što su instrument za MSP-ove i mjere u okviru Europskog istraživačkog vijeća i programa Marie Skłodowska Curie imaju dodanu vrijednost EU-a zahvaljujući konkurentnosti na razini Europe te strukturnim učincima koje imaju na nacionalne sustave istraživanja i inovacija.</w:t>
      </w:r>
    </w:p>
    <w:p>
      <w:pPr>
        <w:rPr>
          <w:noProof/>
        </w:rPr>
      </w:pPr>
      <w:r>
        <w:rPr>
          <w:b/>
          <w:noProof/>
        </w:rPr>
        <w:t>Obzor 2020. vraća uloženi novac.</w:t>
      </w:r>
      <w:r>
        <w:rPr>
          <w:noProof/>
        </w:rPr>
        <w:t xml:space="preserve"> Administrativni troškovi upravljanja programom Obzor 2020. niži su od troškova 7. okvirnog programa zahvaljujući opsežnom delegiranju provedbe programa specijaliziranim izvršnim agencijama i usklađenom provedbom putem Zajedničkog centra za podršku programa Obzor 2020. Administrativni troškovi niži su od ciljane razine od 5 %. Posebno su niski u izvršnim agencijama i Europskom institutu za inovacije i tehnologiju.</w:t>
      </w:r>
    </w:p>
    <w:p>
      <w:pPr>
        <w:rPr>
          <w:noProof/>
        </w:rPr>
      </w:pPr>
      <w:r>
        <w:rPr>
          <w:b/>
          <w:noProof/>
        </w:rPr>
        <w:t>Evaluacije partnerskih inicijativa koje podržava Obzor 2020. pokazale su da su te inicijative učinkovite u mobilizaciji znatnih dodatnih privatnih i javnih sredstava te u usklađivanju prioriteta istraživanja i inovacija diljem Europe.</w:t>
      </w:r>
      <w:r>
        <w:rPr>
          <w:noProof/>
        </w:rPr>
        <w:t xml:space="preserve"> </w:t>
      </w:r>
    </w:p>
    <w:p>
      <w:pPr>
        <w:rPr>
          <w:noProof/>
        </w:rPr>
      </w:pPr>
      <w:r>
        <w:rPr>
          <w:noProof/>
        </w:rPr>
        <w:t xml:space="preserve">Privremenom evaluacijom </w:t>
      </w:r>
      <w:r>
        <w:rPr>
          <w:b/>
          <w:noProof/>
        </w:rPr>
        <w:t>Europskog instituta za inovacije i tehnologiju (EIT)</w:t>
      </w:r>
      <w:r>
        <w:rPr>
          <w:noProof/>
        </w:rPr>
        <w:t xml:space="preserve"> utvrđeno je da EIT pridonosi rješavanju strukturnih slabosti inovacijskog kapaciteta EU-a. Njegove zajednice znanja i inovacija (ZZI) imaju dodanu vrijednost EU-a zahvaljujući poticanju bliskih i učinkovitih veza između obrazovanja, istraživanja i inovacija u području raznih globalnih izazova. EIT je platforma za pokretanje i rast ZZI-ova u čijim se obrazovnim programima spajaju tehnička znanja s poduzetničkim i inovatorskim obrazovanjem, izravnim pristupom poduzećima i međunarodnom mobilnošću. </w:t>
      </w:r>
    </w:p>
    <w:p>
      <w:pPr>
        <w:rPr>
          <w:noProof/>
        </w:rPr>
      </w:pPr>
      <w:r>
        <w:rPr>
          <w:b/>
          <w:noProof/>
        </w:rPr>
        <w:t>Javno-javna partnerstva na temelju članka 185.,</w:t>
      </w:r>
      <w:r>
        <w:rPr>
          <w:noProof/>
        </w:rPr>
        <w:t xml:space="preserve"> primjerice Eurostars2 i zajednički program istraživanja Baltičkog mora (BONUS) stvorila su dugoročna partnerstva u području istraživanja i inovacija te mreže ulagača u istraživanja i vlada, te tako pridonijela Europskom istraživačkom prostoru (ERA). Ta partnerstva mobiliziraju znatna ulaganja u transnacionalne istraživačke projekte u važnim područjima politika sa sve većim globalnim djelovanjem. Ključna je prednost svih </w:t>
      </w:r>
      <w:r>
        <w:rPr>
          <w:b/>
          <w:noProof/>
        </w:rPr>
        <w:t xml:space="preserve">javno-privatnih partnerstava na temelju članka 187., </w:t>
      </w:r>
      <w:r>
        <w:rPr>
          <w:noProof/>
        </w:rPr>
        <w:t xml:space="preserve">kao što su CleanSky2 i Bio-Based Industries (BBI) njihova sposobnost da uključe i mobiliziraju strateške industrijske partnere u prioritetnim područjima za djelovanje Unije preko granica država i poslovnih sektora te njihov izravan doprinos konkurentnosti i ciljevima politika EU-a. Njima se povezuju aktivnosti diljem inovacijskog ciklusa i pomaže riješiti fragmentiranost pojedinačnih sektora stvaranjem dugotrajnih, pretkonkurentskih suradničkih mreža koje povezuju prethodno nepovezane dionike. </w:t>
      </w:r>
      <w:r>
        <w:rPr>
          <w:b/>
          <w:noProof/>
        </w:rPr>
        <w:t>Ugovorna javno-privatna partnerstva,</w:t>
      </w:r>
      <w:r>
        <w:rPr>
          <w:noProof/>
        </w:rPr>
        <w:t xml:space="preserve"> primjerice tvornice budućnosti (FoF) i energetski učinkovite građevine (EeB), općenito su ostvarila svoje ciljeve te su uz fleksibilno i učinkovito upravljanje povezala glavne industrijske partnere u strategijama na razini EU-a, uz zajedničko razumijevanje rezultata za pojedine sektore i visoku razinu transparentnosti i otvorenosti u sudjelovanju, uključujući i mala i srednja poduzeća.</w:t>
      </w:r>
    </w:p>
    <w:p>
      <w:pPr>
        <w:pStyle w:val="Heading1"/>
        <w:rPr>
          <w:noProof/>
        </w:rPr>
      </w:pPr>
      <w:r>
        <w:rPr>
          <w:noProof/>
        </w:rPr>
        <w:t>Stečena iskustva za povećanje učinkovitosti budućih okvirnih programa</w:t>
      </w:r>
    </w:p>
    <w:p>
      <w:pPr>
        <w:rPr>
          <w:noProof/>
        </w:rPr>
      </w:pPr>
      <w:r>
        <w:rPr>
          <w:noProof/>
        </w:rPr>
        <w:t>Glavna svrha sveobuhvatne privremene evaluacije bila je primjena stečenog iskustva u budućnosti na temelju analize prednosti i nedostataka. Time će se unaprijediti provedbe programa Obzor 2020. tijekom posljednje tri godine (2018. – 2020.), kao i provedba Europskog instituta za tehnologiju te inicijativa na temelju članaka 185. i 187.</w:t>
      </w:r>
    </w:p>
    <w:p>
      <w:pPr>
        <w:rPr>
          <w:noProof/>
        </w:rPr>
      </w:pPr>
      <w:r>
        <w:rPr>
          <w:noProof/>
        </w:rPr>
        <w:t>Zajedničkom evaluacijskom vježbom utvrđuju se i dugoročna stečena iskustva</w:t>
      </w:r>
      <w:r>
        <w:rPr>
          <w:rStyle w:val="FootnoteReference"/>
          <w:noProof/>
        </w:rPr>
        <w:footnoteReference w:id="18"/>
      </w:r>
      <w:r>
        <w:rPr>
          <w:noProof/>
        </w:rPr>
        <w:t xml:space="preserve"> na temelju kojih će se izraditi budući okvirni program za razdoblje nakon 2020. U posljednjem programu rada u okviru programa Obzor 2020. za razdoblje od 2018. do 2020. već se testiraju neka od rješenja za dugoročno integriranje stečenih iskustava, uključujući pilot fazu budućeg Europskog vijeća za inovacije i upotrebu paušalnih svota umjesto povrata troškova u nekim područjima. </w:t>
      </w:r>
    </w:p>
    <w:p>
      <w:pPr>
        <w:rPr>
          <w:noProof/>
        </w:rPr>
      </w:pPr>
      <w:r>
        <w:rPr>
          <w:noProof/>
        </w:rPr>
        <w:t>U nastavku slijedi sažetak glavnih stečenih iskustava i područja u kojima su potrebna poboljšanja.</w:t>
      </w:r>
    </w:p>
    <w:p>
      <w:pPr>
        <w:pStyle w:val="Heading2"/>
        <w:rPr>
          <w:noProof/>
        </w:rPr>
      </w:pPr>
      <w:r>
        <w:rPr>
          <w:noProof/>
        </w:rPr>
        <w:t>Ambicioznije investicije</w:t>
      </w:r>
    </w:p>
    <w:p>
      <w:pPr>
        <w:rPr>
          <w:noProof/>
        </w:rPr>
      </w:pPr>
      <w:r>
        <w:rPr>
          <w:noProof/>
        </w:rPr>
        <w:t>Pokazalo se da je financiranje programa Obzor 2020. nedostatno te da su njegova povećana privlačnost i daljnja relevantnost dovele do prevelikog broja prijedloga (stopa uspješnosti od samo 11,6 % u odnosu na 18,5 % za 7. okvirni program). Za financiranje svih prijedloga koji su nezavisnom evaluacijom ocijenjeni kao iznad strogog praga kvalitete bile bi potrebne dodatne 62,4 milijarde EUR. Nedostatak financijskih sredstava oportunitetni je trošak za obećavajući europski potencijal u području istraživanja i inovacija, a traćenje resursa za podnositelje zahtjeva (za koje se procjenjuje da su potrošili oko 636 milijuna EUR godišnje na pripreme prijedloga</w:t>
      </w:r>
      <w:r>
        <w:rPr>
          <w:rStyle w:val="FootnoteReference"/>
          <w:noProof/>
        </w:rPr>
        <w:footnoteReference w:id="19"/>
      </w:r>
      <w:r>
        <w:rPr>
          <w:noProof/>
        </w:rPr>
        <w:t xml:space="preserve">). </w:t>
      </w:r>
    </w:p>
    <w:p>
      <w:pPr>
        <w:rPr>
          <w:noProof/>
        </w:rPr>
      </w:pPr>
      <w:r>
        <w:rPr>
          <w:noProof/>
        </w:rPr>
        <w:t>U odgovoru na privremenu evaluaciju programa Obzor 2020. Europski parlament uz podršku Odbora regija među ostalim poziva na izbjegavanje smanjenja proračuna za Obzor 2020. te dodjeljivanje najmanje 120 milijardi EUR programu nasljedniku. ERAC poziva na razmjernost između proračuna i ambicija. U istom se tonu u zaključcima Vijeća naglašava potreba za davanjem prednosti istraživanju i inovacijama u svim relevantnim politikama EU-a te pružanjem znatnih financijskih sredstava budućem programu.</w:t>
      </w:r>
    </w:p>
    <w:p>
      <w:pPr>
        <w:rPr>
          <w:noProof/>
        </w:rPr>
      </w:pPr>
      <w:r>
        <w:rPr>
          <w:noProof/>
        </w:rPr>
        <w:t>Lamyjeva skupina na visokoj razini preporučuje davanje prednosti istraživanju i inovacijama te dodjeljivanje više sredstava iz proračuna EU-a i država članica tim aktivnostima. Skupina predlaže da bi udvostručenje proračuna programa za razdoblje nakon 2020. bilo najbolje ulaganje EU-a u cilju usklađivanja ulaganja s onima glavnih konkurenata te iskoristio neiskorišteni potencijal visokokvalitetnih prijedloga kojima se ne odobravaju sredstva (tj. cilj financiranja najmanje 30 % kvalitetnih prijedloga).</w:t>
      </w:r>
    </w:p>
    <w:p>
      <w:pPr>
        <w:rPr>
          <w:noProof/>
          <w:szCs w:val="24"/>
        </w:rPr>
      </w:pPr>
      <w:r>
        <w:rPr>
          <w:noProof/>
        </w:rPr>
        <w:t xml:space="preserve">Komisija prima na znanje poziv skupine na visokoj razini i drugih institucija EU-a na više ulaganja u istraživanje i inovacije u okviru budućeg okvirnog programa s obzirom na prednosti i dodanu vrijednost EU-a trenutačnog programa. Sredstva EU-a za istraživanja i inovacije trebalo bi pratiti ambiciozno nacionalno i regionalno financiranje kako bi se postigao </w:t>
      </w:r>
      <w:r>
        <w:rPr>
          <w:noProof/>
          <w:sz w:val="23"/>
        </w:rPr>
        <w:t>cilj ulaganja u istraživanje i razvoj</w:t>
      </w:r>
      <w:r>
        <w:rPr>
          <w:noProof/>
        </w:rPr>
        <w:t xml:space="preserve"> od</w:t>
      </w:r>
      <w:r>
        <w:rPr>
          <w:noProof/>
          <w:sz w:val="23"/>
        </w:rPr>
        <w:t xml:space="preserve"> 3 % BDP-a EU-a.</w:t>
      </w:r>
    </w:p>
    <w:p>
      <w:pPr>
        <w:pStyle w:val="Heading2"/>
        <w:rPr>
          <w:noProof/>
        </w:rPr>
      </w:pPr>
      <w:r>
        <w:rPr>
          <w:noProof/>
        </w:rPr>
        <w:t xml:space="preserve">Daljnje pojednostavnjenje </w:t>
      </w:r>
    </w:p>
    <w:p>
      <w:pPr>
        <w:rPr>
          <w:noProof/>
        </w:rPr>
      </w:pPr>
      <w:r>
        <w:rPr>
          <w:noProof/>
        </w:rPr>
        <w:t xml:space="preserve">Obzor 2020. ostvario je velik napredak u pogledu pojednostavnjenja u usporedbi sa 7. okvirnim programom no pojednostavnjenje je kontinuirani proces koji treba neprestano poboljšavati. </w:t>
      </w:r>
    </w:p>
    <w:p>
      <w:pPr>
        <w:rPr>
          <w:noProof/>
        </w:rPr>
      </w:pPr>
      <w:r>
        <w:rPr>
          <w:noProof/>
        </w:rPr>
        <w:t xml:space="preserve">Institucije EU-a primaju na znanje i cijene znatan napredak koji je ostvaren u pojednostavnjenju te jednako naglašavaju potrebu da se ono nastavi. EGSO smatra da je to način za dopiranje do većeg broja podnositelja zahtjeva, dok ERAC smatra da se kontinuiranim pojednostavnjenjem mogu izraditi alati i pravila dodatno prilagođeni korisnicima. </w:t>
      </w:r>
    </w:p>
    <w:p>
      <w:pPr>
        <w:rPr>
          <w:noProof/>
        </w:rPr>
      </w:pPr>
      <w:r>
        <w:rPr>
          <w:noProof/>
        </w:rPr>
        <w:t>Cilj je Lamyjeve skupine na visokoj razini učiniti EU najatraktivnijim ulagačem u istraživanje i inovacije na svijetu (# 7 Dodatno pojednostavnjenje). To podrazumijeva radikalno davanje prednosti učinku pred postupkom, primjerice smanjenjem dokumentacije na najmanju moguću mjeru, fleksibilnijim pozivima (uključujući o izboru instrumenta i izračunu troškova) te prilagodbom promjenjivim trendovima i novim prilikama unutar konzorcija za istraživanje i inovacije. Skupina predlaže da se razmotri smanjenje obveza izvješćivanja u odnosu na dobivanje kontinuiranih podataka o učincima projekata u stvarnom vremenu.</w:t>
      </w:r>
    </w:p>
    <w:p>
      <w:pPr>
        <w:rPr>
          <w:noProof/>
        </w:rPr>
      </w:pPr>
      <w:r>
        <w:rPr>
          <w:noProof/>
        </w:rPr>
        <w:t>Komisija nastavlja rad na pojednostavnjenju, uključujući putem pilot-aktivnosti u posljednjem programu rada u okviru programa Obzor 2020. Na temelju iskustva s tim pilot-aktivnostima, Komisija će raditi na daljnjem pojednostavnjenju kako bi se potaknuli brži inovacijski ciklusi i manje administrativno opterećenje. U tom će cilju Komisija razmotriti mogućnosti za: pojednostavnjenje postojećeg sustava povrata troškova; povećanje prihvaćanja uobičajene računovodstvene prakse; povećanje upotrebe paušalnog financiranja projekata u zamjenu za izvršenje aktivnosti i drugih pojednostavnjenih oblika financiranja; smanjenje opterećenja za pripremu i podnošenje prijedloga; smanjenje vremena potrebnog za dodjelu bespovratnih sredstava i poboljšanje povratnih informacija podnositeljima zahtjeva.</w:t>
      </w:r>
    </w:p>
    <w:p>
      <w:pPr>
        <w:pStyle w:val="Heading2"/>
        <w:rPr>
          <w:noProof/>
        </w:rPr>
      </w:pPr>
      <w:r>
        <w:rPr>
          <w:noProof/>
        </w:rPr>
        <w:t>Podrška revolucionarnim inovacijama</w:t>
      </w:r>
    </w:p>
    <w:p>
      <w:pPr>
        <w:rPr>
          <w:noProof/>
        </w:rPr>
      </w:pPr>
      <w:r>
        <w:rPr>
          <w:noProof/>
        </w:rPr>
        <w:t>Europa je postala globalna znanstvena sila dijelom zahvaljujući okvirnim programima EU-a. Međutim, u području inovacija Europa ne postiže jednako dobre rezultate. Privremenom evaluacijom programa Obzor 2020. utvrđene su neke mogućnosti za pružanje potpore revolucionarnim inovacijama koje stvaraju nova tržišta no zaključuje se i da se takva potpora mora znatno pojačati; primjerice, samo razmjerno mali broj poduzeća koja primaju nepovratna sredstva ostvaruje koristi od financijskih instrumenata u okviru programa Obzor 2020.</w:t>
      </w:r>
      <w:r>
        <w:rPr>
          <w:rStyle w:val="FootnoteReference"/>
          <w:noProof/>
        </w:rPr>
        <w:footnoteReference w:id="20"/>
      </w:r>
      <w:r>
        <w:rPr>
          <w:noProof/>
        </w:rPr>
        <w:t xml:space="preserve"> To može otežati širenje malih inovativnih poduzeća na europsku i međunarodnu razinu.</w:t>
      </w:r>
    </w:p>
    <w:p>
      <w:pPr>
        <w:rPr>
          <w:noProof/>
        </w:rPr>
      </w:pPr>
      <w:r>
        <w:rPr>
          <w:noProof/>
        </w:rPr>
        <w:t>Europski parlament jednako tako naglašava važnost općenite potpore inovacijama, posebno disruptivnim inovacijama i širenju poslovanja, dok se u zaključcima Vijeća ističe važnost podupiranja cijelog vrijednosnog lanca inovacija,</w:t>
      </w:r>
      <w:r>
        <w:rPr>
          <w:noProof/>
          <w:spacing w:val="-1"/>
          <w:u w:val="single"/>
        </w:rPr>
        <w:t xml:space="preserve"> uključujući</w:t>
      </w:r>
      <w:r>
        <w:rPr>
          <w:noProof/>
        </w:rPr>
        <w:t xml:space="preserve"> visokorizične disruptivne tehnologije, dok bi potencijalno buduće Europsko vijeće za inovacije trebalo poticati revolucionarne inovacije i širenje inovativnih poduzeća. Odbor regija i ERAC dijele to mišljenje. </w:t>
      </w:r>
    </w:p>
    <w:p>
      <w:pPr>
        <w:rPr>
          <w:noProof/>
        </w:rPr>
      </w:pPr>
      <w:r>
        <w:rPr>
          <w:noProof/>
        </w:rPr>
        <w:t>Lamyjeva skupina na visokoj razini preporučuje pružanje podrške inovacijama (npr. s pomoću tehnološkog, socijalnog ili poslovnog modela) u svim područjima politika EU-a. Time će se prvenstveno stvoriti zajednički regulatorni okvir kojim se potiču poduzetništvo, europska industrijska konkurentnost na globalnom tržištu te njezino vodstvo u aktualnoj industrijskoj revoluciji (#2 Izgradnja istinske europske politike inovacija kojom se stvaraju buduća tržišta). Lamyjeva skupina predlaže promicanje i ulaganje u inovativne ideje s potencijalom za brzi rast putem Europskog vijeća za inovacije (EIC) koje je ovlašteno ulagati u poduzetnike i poduzeća bez obzira na veličinu, sektor ili starost koji imaju rizične inovacije s potencijalom za brzi rast na sjecištu različitih tehnologija i disciplina. Predlaže i da Europsko vijeće za inovacije razvije nove postupke za evaluaciju i odabir prijedloga kako bi se bolje prepoznali visokorizični projekti s potencijalom za veliki povrat, uvela veća fleksibilnost u upravljanje bespovratnim sredstvima (jednostavnije donošenje odluka) te uvažio neuspjeh (#4 Oblikovanje programa istraživanja i inovacija EU-a za veći učinak).</w:t>
      </w:r>
    </w:p>
    <w:p>
      <w:pPr>
        <w:rPr>
          <w:noProof/>
        </w:rPr>
      </w:pPr>
      <w:r>
        <w:rPr>
          <w:noProof/>
        </w:rPr>
        <w:t>Komisija prepoznaje rastuću važnost inovacija kojima se stvaraju nova tržišta</w:t>
      </w:r>
      <w:r>
        <w:rPr>
          <w:rStyle w:val="FootnoteReference"/>
          <w:noProof/>
        </w:rPr>
        <w:footnoteReference w:id="21"/>
      </w:r>
      <w:r>
        <w:rPr>
          <w:noProof/>
        </w:rPr>
        <w:t xml:space="preserve"> i razmotrit će načine kako bi im bolje pružala podršku u budućnosti na temelju trenutačnih mjera u području jedinstvenog digitalnog tržišta, energetske unije i unije tržišta kapitala. Poduzetnički kapital u Europi iznosi tek petinu iznosa tog kapitala u SAD-u. Nova generacija poduzeća u području digitalnog gospodarstva i ekonomije suradnje uglavnom dolazi iz SAD-a i Azije. Komisija već poduzima mjere za izgradnju industrijske politike EU-a, digitalizaciju industrije EU-a i razvoj ekonomije suradnje</w:t>
      </w:r>
      <w:r>
        <w:rPr>
          <w:rStyle w:val="FootnoteReference"/>
          <w:noProof/>
        </w:rPr>
        <w:footnoteReference w:id="22"/>
      </w:r>
      <w:r>
        <w:rPr>
          <w:noProof/>
        </w:rPr>
        <w:t>.</w:t>
      </w:r>
    </w:p>
    <w:p>
      <w:pPr>
        <w:rPr>
          <w:noProof/>
        </w:rPr>
      </w:pPr>
      <w:r>
        <w:rPr>
          <w:noProof/>
        </w:rPr>
        <w:t>Na temelju postojećih postignuća u pružanju podrške inovacijama s pomoću instrumenta za MSP-ove, kolaborativnih projekata i javno-privatnih partnerstava, budući okvirni program trebao bi pružati podršku brže i fleksibilnije. Trebao bi iskoristiti komplementarnost bespovratnih sredstava i financijskih instrumenata kako bi privukao mlada i brzo rastuća inovativna poduzeća i omogućio im širenje na međunarodnoj i europskoj razini, povećao tržišnu iskoristivost rezultata istraživanja i inovacija i ubrzao širenje inovacija. Cilj bi trebao biti vodeći položaj Europe u području inovacija kojima se stvaraju nova tržišta. U tom je cilju u posljednjem programu rada u okviru programa Obzor 2020. pokrenuta pilot-faza budućeg Europskog vijeća za inovacije. Iskustvo iz te prve faze zajedno sa strateškom podrškom nedavno osnovane skupine inovatora na visokoj razini</w:t>
      </w:r>
      <w:r>
        <w:rPr>
          <w:rStyle w:val="FootnoteReference"/>
          <w:noProof/>
        </w:rPr>
        <w:footnoteReference w:id="23"/>
      </w:r>
      <w:r>
        <w:rPr>
          <w:noProof/>
        </w:rPr>
        <w:t xml:space="preserve"> bit će temelj za daljnje donošenje odluka o konačnom Europskom vijeću za inovacije. </w:t>
      </w:r>
    </w:p>
    <w:p>
      <w:pPr>
        <w:pStyle w:val="Heading2"/>
        <w:rPr>
          <w:noProof/>
        </w:rPr>
      </w:pPr>
      <w:r>
        <w:rPr>
          <w:noProof/>
        </w:rPr>
        <w:t>Stvaranje većeg učinka usmjeravanjem na zadaće i uključivanjem građana</w:t>
      </w:r>
    </w:p>
    <w:p>
      <w:pPr>
        <w:rPr>
          <w:noProof/>
        </w:rPr>
      </w:pPr>
      <w:r>
        <w:rPr>
          <w:noProof/>
        </w:rPr>
        <w:t>Privremena evaluacija ukazuje na potrebu za postizanjem većeg učinka i većim dopiranjem do građana</w:t>
      </w:r>
      <w:r>
        <w:rPr>
          <w:rStyle w:val="FootnoteReference"/>
          <w:noProof/>
        </w:rPr>
        <w:footnoteReference w:id="24"/>
      </w:r>
      <w:r>
        <w:rPr>
          <w:noProof/>
        </w:rPr>
        <w:t xml:space="preserve">. To nije važno samo za poboljšanje komuniciranja doprinosa istraživanja i inovacija odgovoru na društvene i tehnološke izazove, već se uključivanjem građana, klijenata i krajnjih korisnika u osmišljavanje i provedbu programa postiže više inovacija, zahvaljujući poticanju inovacija koje predvode korisnici i potražnjom za inovativnim rješenjima. Time će se istodobno odgovoriti na mogućnost donošenja </w:t>
      </w:r>
      <w:r>
        <w:rPr>
          <w:noProof/>
          <w:sz w:val="23"/>
        </w:rPr>
        <w:t>budućeg pristupa koji će biti više usmjeren na zadaće i s naglaskom na učinak</w:t>
      </w:r>
      <w:r>
        <w:rPr>
          <w:rStyle w:val="FootnoteReference"/>
          <w:noProof/>
          <w:sz w:val="23"/>
        </w:rPr>
        <w:footnoteReference w:id="25"/>
      </w:r>
      <w:r>
        <w:rPr>
          <w:noProof/>
          <w:sz w:val="23"/>
        </w:rPr>
        <w:t xml:space="preserve">. </w:t>
      </w:r>
      <w:r>
        <w:rPr>
          <w:noProof/>
        </w:rPr>
        <w:t>Programi rada u okviru programa Obzor 2020. već otvaraju put prema usmjeravanju na zadaće koristeći se ključnim područjima kao odskočnom daskom.</w:t>
      </w:r>
    </w:p>
    <w:p>
      <w:pPr>
        <w:pStyle w:val="ListNumber"/>
        <w:numPr>
          <w:ilvl w:val="0"/>
          <w:numId w:val="0"/>
        </w:numPr>
        <w:rPr>
          <w:noProof/>
        </w:rPr>
      </w:pPr>
      <w:r>
        <w:rPr>
          <w:noProof/>
        </w:rPr>
        <w:t xml:space="preserve">Sve institucije EU-a naglašavaju važnost većeg uključivanja građana i maksimalnog povećanja učinka okvirnog programa. Odbor regija vrlo izričito potiče donošenje novog komplementarnog pristupa koji se temelji na zadaćama. ERAC i zaključci Vijeća ukazuju na potrebu za boljom i kontinuiranom komunikacijom s javnošću te pozivaju na razmatranje pristupa usmjerenog na zadaće. </w:t>
      </w:r>
    </w:p>
    <w:p>
      <w:pPr>
        <w:rPr>
          <w:noProof/>
        </w:rPr>
      </w:pPr>
      <w:r>
        <w:rPr>
          <w:noProof/>
        </w:rPr>
        <w:t>Lamyjeva skupina na visokoj razini dotiče se tog pitanja u nekoliko preporuka. Predlaže definiranje zadaća istraživanja i inovacija koje imaju transformativni potencijal i koje za svoju realizaciju mobiliziraju veći broj aktera i ulagača, uključujući putem javne nabave inovacija (# 5 Usvojiti pristup rješavanju globalnih izazova usmjeren na zadaće i s naglaskom na učinak). Lamyjeva skupina ističe UN-ove ciljeve održivog razvoja kao globalni referentni okvir za utvrđivanje tih zadaća. Poziva na uključivanje javnosti u određivanje zadaća i za više građanskih inicijativa u području znanosti (#8  Mobilizacija i uključivanje građana). Zalaže se za djelotvornije brendiranje istraživanja i inovacija u EU-u primjerice putem šire diseminacije njihovih rezultata i učinaka (# 11 Prepoznavanje učinaka i bolje komuniciranje o njima). Kako bi se potaknule inovacije, u Lamyjevom izvješću preporučuje se da se sektorske politike u potpunosti uključe u donošenje politika inovacija. Velika se važnost pridaje tome da se program temelji na svrsi i učinku, a ne na instrumentima, uz usavršeni sustav ocjenjivanja prijedloga i veću fleksibilnost (# 4 Dizajn programa istraživanja i inovacija EU-a za veći učinak).</w:t>
      </w:r>
    </w:p>
    <w:p>
      <w:pPr>
        <w:rPr>
          <w:noProof/>
        </w:rPr>
      </w:pPr>
      <w:r>
        <w:rPr>
          <w:noProof/>
        </w:rPr>
        <w:t>Komisija u posljednjem programu rada u okviru programa Obzor 2020. već upotrebljava neka od stečenih iskustava u pogledu učinka i dopiranja do građana (primjerice jasnijim izjavama o učinku i pojačanom diseminacijom i upotrebom rezultata istraživanja). Budući program trebao bi od samog početka biti izgrađen na temelju jasnih intervencija i diferencirane evaluacije prijedloga. Počet će od jasnih i u okviru mogućnosti kvantificiranih očekivanih dugoročnih učinaka, te srednjoročnih i kratkoročnih ciljeva u kontekstu podrške prioritetima politike EU-a, UN-ovih ciljeva održivog razvoja i provedbe Pariškog sporazuma.</w:t>
      </w:r>
    </w:p>
    <w:p>
      <w:pPr>
        <w:rPr>
          <w:noProof/>
        </w:rPr>
      </w:pPr>
      <w:r>
        <w:rPr>
          <w:noProof/>
        </w:rPr>
        <w:t xml:space="preserve">Na temelju rezultata privremene evaluacije i uzimajući u obzir opseg i ideje programa rada u okviru programa Obzor 2020. za razdoblje od 2018. do 2020., zadaće istraživanja i inovacija (znanstvene, tehnološke, društvene itd.) u sljedećem programu trebale bi stvoriti veći učinak, doprijeti do više građana i potaknuti sustavni pristup. Trebale bi odgovoriti na ciljeve politike EU-a, zainteresirati javnost (uključiti građane u promišljanje vrijednosti, uključiti ih u postupak i omogućiti im da budu ponosni što su građani Europe), njegovati veze među disciplinama i sektorima te krenuti korak dalje od onog što je trenutačno moguće. </w:t>
      </w:r>
    </w:p>
    <w:p>
      <w:pPr>
        <w:pStyle w:val="Heading2"/>
        <w:rPr>
          <w:noProof/>
        </w:rPr>
      </w:pPr>
      <w:r>
        <w:rPr>
          <w:noProof/>
        </w:rPr>
        <w:t>Povećanje sinergije s drugim programima financiranja EU-a i politikama EU-a</w:t>
      </w:r>
    </w:p>
    <w:p>
      <w:pPr>
        <w:rPr>
          <w:noProof/>
        </w:rPr>
      </w:pPr>
      <w:r>
        <w:rPr>
          <w:noProof/>
        </w:rPr>
        <w:t>Već postoje sinergije između programa Obzor 2020. i drugih programa EU-a, kao što su europski strukturni i investicijski fondovi (ESIF), Europski fond za strateška ulaganja (EFSU), instrumenti za vanjske odnose, instrument za povezivanje Europe i zajednička poljoprivredna politika.</w:t>
      </w:r>
      <w:r>
        <w:rPr>
          <w:noProof/>
          <w:color w:val="000000" w:themeColor="text1"/>
        </w:rPr>
        <w:t xml:space="preserve"> Međutim, treba ih dodatno ojačati i učiniti učinkovitijima i djelotvornijima </w:t>
      </w:r>
      <w:r>
        <w:rPr>
          <w:rStyle w:val="FootnoteReference"/>
          <w:noProof/>
          <w:color w:val="000000" w:themeColor="text1"/>
        </w:rPr>
        <w:footnoteReference w:id="26"/>
      </w:r>
      <w:r>
        <w:rPr>
          <w:noProof/>
          <w:color w:val="000000" w:themeColor="text1"/>
        </w:rPr>
        <w:t xml:space="preserve">. </w:t>
      </w:r>
      <w:r>
        <w:rPr>
          <w:noProof/>
        </w:rPr>
        <w:t>Posebno se za projekte koji primaju potporu iz okvirnog programa mogu iskoristiti sinergije s europskim strukturnim i investicijskim fondovima i strategijama pametne specijalizacije</w:t>
      </w:r>
      <w:r>
        <w:rPr>
          <w:rStyle w:val="FootnoteReference"/>
          <w:noProof/>
        </w:rPr>
        <w:footnoteReference w:id="27"/>
      </w:r>
      <w:r>
        <w:rPr>
          <w:noProof/>
        </w:rPr>
        <w:t xml:space="preserve"> s pomoću kapaciteta za istraživanje i inovacije stvorenih tijekom posljednjeg desetljeća u manje uspješnim regijama te ujedno povećati sudjelovanje u transnacionalnim mrežama i aktivnostima u području istraživanja i inovacija.</w:t>
      </w:r>
    </w:p>
    <w:p>
      <w:pPr>
        <w:rPr>
          <w:noProof/>
        </w:rPr>
      </w:pPr>
      <w:r>
        <w:rPr>
          <w:noProof/>
        </w:rPr>
        <w:t>U mišljenju Europskog parlamenta velika se važnost pridaje sinergijama među programima financiranja EU-a, koje se smatraju ključnima za veću učinkovitost ulaganja, što se posebno može postići iskorištavanjem strategija pametne specijalizacije. Parlament poziva na jačanje sinergija između budućeg okvirnog programa i drugih namjenskih sredstava EU-a za podršku istraživanju i inovacijama. Mišljenje ERAC-a ukazuje na to da bi sinergije između europskih strukturnih i investicijskih fondova i okvirnog programa trebalo sustavno razvijati već u fazi izrade programa. U zaključcima Vijeća isto se tako poziva na sinergije, koherentnost, kompatibilnost i komplementarnost.</w:t>
      </w:r>
    </w:p>
    <w:p>
      <w:pPr>
        <w:rPr>
          <w:noProof/>
        </w:rPr>
      </w:pPr>
      <w:r>
        <w:rPr>
          <w:noProof/>
        </w:rPr>
        <w:t>Lamyjeva skupina na visokoj razini preporučuje osmišljavanje budućih programa financiranja s pomoću komplementarnih, povezanih i interoperabilnih intervencija kako bi se podržala izgradnja kapaciteta u regijama koje zaostaju u pogledu inovacija (#6 Racionalizacija mogućnosti financiranja EU-a i ostvarenje sinergije sa strukturnim fondovima).</w:t>
      </w:r>
    </w:p>
    <w:p>
      <w:pPr>
        <w:rPr>
          <w:noProof/>
        </w:rPr>
      </w:pPr>
      <w:r>
        <w:rPr>
          <w:noProof/>
        </w:rPr>
        <w:t>Komisija će iskoristiti iskustvo stečeno u zajedničkoj provedbi trenutačne generacije programa financiranja (npr. uvođenje pečata izvrsnosti</w:t>
      </w:r>
      <w:r>
        <w:rPr>
          <w:rStyle w:val="FootnoteReference"/>
          <w:noProof/>
        </w:rPr>
        <w:footnoteReference w:id="28"/>
      </w:r>
      <w:r>
        <w:rPr>
          <w:noProof/>
        </w:rPr>
        <w:t>) te će se usredotočiti na povećanje sinergija u fazi izrade programa kako bi se osiguralo da se rasponom instrumenata i programa obuhvaća cijeli inovacijski lanac. To će se postići boljim usklađivanjem prioriteta, programi sufinanciranja učinit će se fleksibilnijima kako bi se udružila sredstva na razini EU-a, a povećat će se usklađenosti pravila (na primjer, bit će moguće automatski se prijaviti za pečat izvrsnosti). Budući program i dalje će pružati potporu oblikovanju politika.</w:t>
      </w:r>
    </w:p>
    <w:p>
      <w:pPr>
        <w:pStyle w:val="Heading2"/>
        <w:rPr>
          <w:noProof/>
        </w:rPr>
      </w:pPr>
      <w:r>
        <w:rPr>
          <w:noProof/>
        </w:rPr>
        <w:t>Jačanje međunarodne suradnje</w:t>
      </w:r>
    </w:p>
    <w:p>
      <w:pPr>
        <w:rPr>
          <w:noProof/>
        </w:rPr>
      </w:pPr>
      <w:r>
        <w:rPr>
          <w:noProof/>
        </w:rPr>
        <w:t xml:space="preserve">Međunarodna suradnja u području istraživanja i inovacija ključna je za osiguravanje pristupa talentima, znanju, prostorima i tržištima diljem svijeta, kao i za učinkovito rješavanje globalnih izazova te provedbu globalnih ciljeva. Iako program Obzor 2020. ima širok međunarodni doseg i otvorenost prema svijetu, sudjelovanje trećih zemalja smanjilo se u usporedbi sa 7. okvirnim programom te je potrebno dodatno pojačati međunarodnu suradnju kako bi se kontinuirano jačala izvrsnost i konkurentnost Europe u području istraživanja i inovacija te odgovorilo na globalne društvene izazove. </w:t>
      </w:r>
    </w:p>
    <w:p>
      <w:pPr>
        <w:rPr>
          <w:noProof/>
        </w:rPr>
      </w:pPr>
      <w:r>
        <w:rPr>
          <w:noProof/>
        </w:rPr>
        <w:t>Europski parlament poziva na jačanje međunarodne suradnje u području istraživanja i inovacija što je prije moguće putem konkretnih mjera, uključujući s pridruženim partnerima i zemljama u razvoju. Osim toga Parlament naglašava važnost znanstvene diplomacije. U zaključcima Vijeća ponovno se potvrđuje važnost uzajamnosti.</w:t>
      </w:r>
    </w:p>
    <w:p>
      <w:pPr>
        <w:rPr>
          <w:noProof/>
        </w:rPr>
      </w:pPr>
      <w:r>
        <w:rPr>
          <w:noProof/>
        </w:rPr>
        <w:t xml:space="preserve">Lamyjeva skupina na visokoj razini dijeli iste prioritete (#10 Učiniti međunarodnu suradnju u području istraživanja i inovacija zaštitnim znakom istraživanja i inovacija EU-a). Skupina preporučuje daljnje poticanje aktivnosti međunarodne suradnje i otvaranje programa pridruživanju najboljih te pružanjem potpore sudjelovanju svih, na temelju uzajamnog sufinanciranja u partnerskim zemljama. </w:t>
      </w:r>
    </w:p>
    <w:p>
      <w:pPr>
        <w:rPr>
          <w:noProof/>
        </w:rPr>
      </w:pPr>
      <w:r>
        <w:rPr>
          <w:noProof/>
        </w:rPr>
        <w:t>Komisija podržava važnost jačanja međunarodne suradnje u području istraživanja i inovacija te nastoji postići taj cilj u posljednjem programu rada u okviru programa Obzor 2020. Trebalo bi razmotriti kriterije i pravila za uključivanje trećih zemalja na temelju izvrsnosti u području istraživanja i inovacija. U okviru ocjene učinka za budući program može se razmotriti niz načina za poticanje međunarodne suradnje kako bi se osiguralo da istraživači iz EU-a rade s najboljim i najprikladnijim partnerima u području istraživanja i inovacija diljem svijeta.</w:t>
      </w:r>
    </w:p>
    <w:p>
      <w:pPr>
        <w:pStyle w:val="Heading2"/>
        <w:rPr>
          <w:noProof/>
        </w:rPr>
      </w:pPr>
      <w:r>
        <w:rPr>
          <w:noProof/>
        </w:rPr>
        <w:t>Povećanje otvorenosti</w:t>
      </w:r>
    </w:p>
    <w:p>
      <w:pPr>
        <w:rPr>
          <w:noProof/>
        </w:rPr>
      </w:pPr>
      <w:r>
        <w:rPr>
          <w:noProof/>
        </w:rPr>
        <w:t>Treba iskoristi veliki napredak u pogledu dostupnosti znanstvenih publikacija i podataka stvorenih u okviru programa Obzor 2020. široj znanstvenoj zajednici i javnosti. Međutim, zasad je manje od 70 % publikacija objavljenih u okviru programa Obzor 2020. dostupno preko otvorenog pristupa i ne nazire se poboljšanje.</w:t>
      </w:r>
    </w:p>
    <w:p>
      <w:pPr>
        <w:rPr>
          <w:noProof/>
        </w:rPr>
      </w:pPr>
      <w:r>
        <w:rPr>
          <w:noProof/>
        </w:rPr>
        <w:t>Mišljenje Europskog parlamenta pozitivno je prema općem načelu otvorenog pristupa, a ERAC smatra da je politika stopostotnog otvorenog pristupa u okviru programa Obzor 2020. jasna mjera u korist protoka znanja. Važno je spomenuti da zaključci Vijeća o prijelazu na sustav otvorene znanosti</w:t>
      </w:r>
      <w:r>
        <w:rPr>
          <w:rStyle w:val="FootnoteReference"/>
          <w:noProof/>
        </w:rPr>
        <w:footnoteReference w:id="29"/>
      </w:r>
      <w:r>
        <w:rPr>
          <w:noProof/>
        </w:rPr>
        <w:t xml:space="preserve"> daju važne smjernice za budućnost, a zaključci Vijeća o privremenoj evaluaciji programa Obzor 2020. naglašavaju ulogu otvorene znanosti u povećanju učinka i transparentnosti.</w:t>
      </w:r>
    </w:p>
    <w:p>
      <w:pPr>
        <w:rPr>
          <w:noProof/>
        </w:rPr>
      </w:pPr>
      <w:r>
        <w:rPr>
          <w:noProof/>
        </w:rPr>
        <w:t>Promicanje otvorene znanosti (i posebno otvorenog pristupa) navodi se na više mjesta u izvješću Lamyjeve skupine na visokoj razini kao ključno vodeće načelo koje treba nagraditi (#3 Obrazovanje za budućnost i ulaganje u ljude koji mogu donijeti promjene).</w:t>
      </w:r>
    </w:p>
    <w:p>
      <w:pPr>
        <w:rPr>
          <w:noProof/>
        </w:rPr>
      </w:pPr>
      <w:r>
        <w:rPr>
          <w:noProof/>
        </w:rPr>
        <w:t>Komisija će dodatno razviti svoje politike kojima se podupire program za otvorenu znanost</w:t>
      </w:r>
      <w:r>
        <w:rPr>
          <w:rStyle w:val="FootnoteReference"/>
          <w:noProof/>
        </w:rPr>
        <w:footnoteReference w:id="30"/>
      </w:r>
      <w:r>
        <w:rPr>
          <w:noProof/>
        </w:rPr>
        <w:t>. Na temelju iskustva iz provedbe Obzora 2020. sve bi publikacije trebale biti javno dostupne i svi podaci trebaju zadovoljavati načela lakog pronalaženja, dostupnosti, interoperabilnost i ponovne upotrebljivosti (načela FAIR). Komisija će istražiti načine na koje bi sljedeći okvirni program u potpunosti mogao preuzeti načela otvorene znanosti kako bi se ojačala znanstvena izvrsnost, iskoristila uključenost građana, postigla bolja ponovljivost rezultata i povećala ponovna uporaba istraživačkih podataka.</w:t>
      </w:r>
    </w:p>
    <w:p>
      <w:pPr>
        <w:pStyle w:val="Heading2"/>
        <w:rPr>
          <w:noProof/>
        </w:rPr>
      </w:pPr>
      <w:r>
        <w:rPr>
          <w:noProof/>
        </w:rPr>
        <w:t>Racionalizacija mogućnosti financiranja</w:t>
      </w:r>
    </w:p>
    <w:p>
      <w:pPr>
        <w:rPr>
          <w:noProof/>
        </w:rPr>
      </w:pPr>
      <w:r>
        <w:rPr>
          <w:noProof/>
        </w:rPr>
        <w:t>Ključno područje koje treba poboljšati racionalizacija je mogućnosti financiranja u okviru programa Obzor 2020. To se posebno odnosi na instrumente partnerstva i inicijative</w:t>
      </w:r>
      <w:r>
        <w:rPr>
          <w:rStyle w:val="FootnoteReference"/>
          <w:noProof/>
        </w:rPr>
        <w:footnoteReference w:id="31"/>
      </w:r>
      <w:r>
        <w:rPr>
          <w:noProof/>
        </w:rPr>
        <w:t>. Dionici naglašavaju da se zbog mnoštva instrumenata i inicijativa te složenosti koja proizlazi iz toga otežava razumijevanje i može doći do preklapanja. Reformom postojećih mogućnosti partnerstva moglo bi se u potpunosti iskoristiti njihov potencijal za postizanje ambicioznih ciljeva politike.</w:t>
      </w:r>
    </w:p>
    <w:p>
      <w:pPr>
        <w:rPr>
          <w:noProof/>
        </w:rPr>
      </w:pPr>
      <w:r>
        <w:rPr>
          <w:noProof/>
        </w:rPr>
        <w:t>U evaluaciji EIT-a utvrđene su potrebe za razvojem daljnjih sinergija s drugim inicijativama EU-a u fazi izrade programa. Relevantni ciljevi EIT-a i ZZI-ova mogu se pojednostavniti povećanjem njihove jasnoće i mjerljivosti, te treba bolje definirati ulogu ZZI-ova u području istraživanja i inovacija EU-a. Evaluacijom inicijativa iz članka 185. utvrđeno je da postoji previše sličnih inicijativa u području javno-javnih partnerstava EU-a koje nisu koherentne međusobno niti u odnosu na Obzor 2020. U evaluaciji inicijativa na temelju članka 187. ukazuje se na potrebu za usklađivanjem aktivnosti javno-privatnih partnerstava s politikama EU-a te nacionalnim i regionalnim politikama. Traži se i revizija ključnih pokazatelja uspješnosti. Preispitivanjem ugovornih javno-privatnih partnerstava utvrđeni su izazovi u pogledu koherentnosti među njima i potreba za razvojem sinergija s inicijativama poput ZZI-ova.</w:t>
      </w:r>
    </w:p>
    <w:p>
      <w:pPr>
        <w:rPr>
          <w:noProof/>
          <w:sz w:val="23"/>
          <w:szCs w:val="23"/>
        </w:rPr>
      </w:pPr>
      <w:r>
        <w:rPr>
          <w:noProof/>
          <w:sz w:val="23"/>
        </w:rPr>
        <w:t>ERAC smatra</w:t>
      </w:r>
      <w:r>
        <w:rPr>
          <w:noProof/>
        </w:rPr>
        <w:t xml:space="preserve"> da je posebno hitno racionalizirati programe financiranja te smatra javno-javna partnerstva ključnima za bolju koordinaciju provedbe nacionalnih strategija istraživanja i inovacija s onima na razini EU-a. U zaključcima Vijeća za konkurentnost na sličan se način naglašava da je postojeći kontekst istraživanja i inovacija postao previše složen i naglašava da bi sve partnerske inicijative trebale imati strategiju napuštanja financiranja iz okvirnog programa. Europski parlament zalaže se smanjivanje složenosti mogućnosti financiranja EU-a.</w:t>
      </w:r>
    </w:p>
    <w:p>
      <w:pPr>
        <w:rPr>
          <w:noProof/>
        </w:rPr>
      </w:pPr>
      <w:r>
        <w:rPr>
          <w:noProof/>
        </w:rPr>
        <w:t>I Lamyjeva skupina na visokoj razini prednost daje racionalizaciji u kontekstu okvirnog programa i šire (#6 Racionalizacija mogućnosti financiranja EU-a). Smatra da širok raspon programa financiranja za istraživanje i inovacije može dovesti do razrjeđivanja izvrsnosti zbog poticanja „natjecanja među najboljima“. Predlaže ukidanje jedne trećine programa financiranja, instrumenata i akronima u području istraživanja i inovacija. Posebno u pogledu partnerstava, skupina preporučuje ograničavanje sufinanciranja EU-a na partnerstva kojima se jasno odgovara na zadaće EU-a, s pomoću pojednostavnjenog i fleksibilnog mehanizma sufinanciranja (#9 Bolje usklađivanje ulaganja EU-a s nacionalnim ulaganjima u istraživanje i inovacije). Naposljetku, skupina preporučuje dosljedniju upotrebu ZZI-ova za odgovaranje na globalne izazove tako što će ih se izravno uključiti u program EU-a za istraživanje i inovacije za razdoblje nakon 2020. (#3 Obrazovanje za budućnost i ulaganje u ljude koji mogu donijeti promjene).</w:t>
      </w:r>
      <w:r>
        <w:rPr>
          <w:rStyle w:val="FootnoteReference"/>
          <w:noProof/>
        </w:rPr>
        <w:footnoteReference w:id="32"/>
      </w:r>
    </w:p>
    <w:p>
      <w:pPr>
        <w:rPr>
          <w:noProof/>
        </w:rPr>
      </w:pPr>
      <w:r>
        <w:rPr>
          <w:noProof/>
        </w:rPr>
        <w:t>Komisija je zadovoljna tim ocjenama. Komisija će u kratkom roku nastojati poboljšati rezultate u okviru sadašnjeg ciklusa godišnjih planova rada i programa rada u skladu s odgovarajućim evaluacijama. Dugoročno će istražiti načine za racionalizaciju različitih instrumenata i programa financiranja EU-a za istraživanje i inovacije u korist korisnika ne dovodeći u pitanje postizanje njihovih ciljeva politike. Buduće Europsko vijeće za inovacije moglo bi biti prilika za racionalizaciju programa za potporu inovacijama. Moguće zadaće istraživanja i inovacija mogle bi se upotrijebiti za strukturiranje ZZI-ova i omogućiti im jasnije ciljeve, bolju komunikaciju i veći učinak.</w:t>
      </w:r>
    </w:p>
    <w:p>
      <w:pPr>
        <w:rPr>
          <w:noProof/>
        </w:rPr>
      </w:pPr>
      <w:r>
        <w:rPr>
          <w:noProof/>
        </w:rPr>
        <w:t>Komisija također namjerava u okviru ocjene učinka budućeg programa istražiti mogućnosti racionalizacije partnerstava (uključujući zajednice znanja i inovacija te vodeće buduće tehnologije i tehnologije u nastajanju), povećanja njihove otvorenosti i transparentnosti te njihova povezivanja s budućim zadaćama i strateškim prioritetima EU-a u području istraživanja i inovacija. U okviru strateškog postupka razmotrit će primjerice dodatnost sposobnosti, relevantnost za političke prioritete dogovorene između EU-a, država članica i drugih dionika, fleksibilnost, izlazne strategije integrirane od samog početka te postizanje učinka koji se ne može postići samo putem okvirnog programa.</w:t>
      </w:r>
    </w:p>
    <w:p>
      <w:pPr>
        <w:pStyle w:val="Heading1"/>
        <w:rPr>
          <w:noProof/>
        </w:rPr>
      </w:pPr>
      <w:r>
        <w:rPr>
          <w:noProof/>
        </w:rPr>
        <w:t>Pogled u budućnost</w:t>
      </w:r>
    </w:p>
    <w:p>
      <w:pPr>
        <w:rPr>
          <w:noProof/>
        </w:rPr>
      </w:pPr>
      <w:r>
        <w:rPr>
          <w:noProof/>
        </w:rPr>
        <w:t xml:space="preserve">Program Obzor 2020. do danas je primjer uspjeha EU-a kojem se ne može osporiti dodana vrijednost EU-a. Na temelju pozitivnih rezultata privremene evaluacije, povratnih informacija dionika i poziva Lammyjeve skupine na visokoj razini na „evoluciju, a ne revoluciju“, potrebni su dodatno usavršavanje i optimizacija, a ne temeljita reforma okvirnog programa. </w:t>
      </w:r>
    </w:p>
    <w:p>
      <w:pPr>
        <w:rPr>
          <w:noProof/>
        </w:rPr>
      </w:pPr>
      <w:r>
        <w:rPr>
          <w:noProof/>
        </w:rPr>
        <w:t xml:space="preserve">Komisija je zadovoljna preporukama Lamyjeve skupine na visokoj razini te će ih prema potrebi razmotriti pri izradi sljedećeg okvirnog programa kako bi se odredila nova razina ambicije za globalno vodstvo u području znanosti i inovacija. </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4132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0" w:firstLine="0"/>
      </w:pPr>
      <w:r>
        <w:rPr>
          <w:rStyle w:val="FootnoteReference"/>
        </w:rPr>
        <w:footnoteRef/>
      </w:r>
      <w:r>
        <w:t xml:space="preserve"> https://ec.europa.eu/info/files/better-regulation-guidelines_en</w:t>
      </w:r>
    </w:p>
  </w:footnote>
  <w:footnote w:id="2">
    <w:p>
      <w:pPr>
        <w:pStyle w:val="FootnoteText"/>
        <w:spacing w:after="0"/>
        <w:ind w:left="0" w:firstLine="0"/>
      </w:pPr>
      <w:r>
        <w:rPr>
          <w:rStyle w:val="FootnoteReference"/>
        </w:rPr>
        <w:footnoteRef/>
      </w:r>
      <w:r>
        <w:t xml:space="preserve"> SWD (2017) 220 Detaljna privremena evaluacija programa Obzor 2020.</w:t>
      </w:r>
    </w:p>
  </w:footnote>
  <w:footnote w:id="3">
    <w:p>
      <w:pPr>
        <w:pStyle w:val="FootnoteText"/>
        <w:spacing w:after="0"/>
        <w:ind w:left="0" w:firstLine="0"/>
      </w:pPr>
      <w:r>
        <w:rPr>
          <w:rStyle w:val="FootnoteReference"/>
        </w:rPr>
        <w:footnoteRef/>
      </w:r>
      <w:r>
        <w:t xml:space="preserve"> SWD(2017)352 final</w:t>
      </w:r>
    </w:p>
  </w:footnote>
  <w:footnote w:id="4">
    <w:p>
      <w:pPr>
        <w:pStyle w:val="FootnoteText"/>
        <w:spacing w:after="0"/>
        <w:ind w:left="0" w:firstLine="0"/>
      </w:pPr>
      <w:r>
        <w:rPr>
          <w:rStyle w:val="FootnoteReference"/>
        </w:rPr>
        <w:footnoteRef/>
      </w:r>
      <w:r>
        <w:t xml:space="preserve"> SWD(2017)340 final</w:t>
      </w:r>
    </w:p>
  </w:footnote>
  <w:footnote w:id="5">
    <w:p>
      <w:pPr>
        <w:pStyle w:val="FootnoteText"/>
        <w:spacing w:after="0"/>
        <w:ind w:left="0" w:firstLine="0"/>
      </w:pPr>
      <w:r>
        <w:rPr>
          <w:rStyle w:val="FootnoteReference"/>
        </w:rPr>
        <w:footnoteRef/>
      </w:r>
      <w:r>
        <w:t xml:space="preserve"> SWD(2017)339 final</w:t>
      </w:r>
    </w:p>
  </w:footnote>
  <w:footnote w:id="6">
    <w:p>
      <w:pPr>
        <w:pStyle w:val="FootnoteText"/>
        <w:spacing w:after="0"/>
        <w:ind w:left="0" w:firstLine="0"/>
      </w:pPr>
      <w:r>
        <w:rPr>
          <w:rStyle w:val="FootnoteReference"/>
        </w:rPr>
        <w:footnoteRef/>
      </w:r>
      <w:hyperlink r:id="rId1">
        <w:r>
          <w:rPr>
            <w:rStyle w:val="Hyperlink"/>
          </w:rPr>
          <w:t>https://publications.europa.eu/en/publication-detail/-/publication/6de81abe-a71c-11e7-837e-01aa75ed71a1</w:t>
        </w:r>
      </w:hyperlink>
      <w:r>
        <w:t xml:space="preserve"> </w:t>
      </w:r>
    </w:p>
  </w:footnote>
  <w:footnote w:id="7">
    <w:p>
      <w:pPr>
        <w:pStyle w:val="FootnoteText"/>
        <w:spacing w:after="0"/>
        <w:ind w:left="0" w:firstLine="0"/>
      </w:pPr>
      <w:r>
        <w:rPr>
          <w:rStyle w:val="FootnoteReference"/>
        </w:rPr>
        <w:footnoteRef/>
      </w:r>
      <w:r>
        <w:t>http://publications.jrc.ec.europa.eu/repository/bitstream/JRC107957/jrc_implementation_review_web-_final.pdf</w:t>
      </w:r>
    </w:p>
  </w:footnote>
  <w:footnote w:id="8">
    <w:p>
      <w:pPr>
        <w:pStyle w:val="FootnoteText"/>
        <w:spacing w:after="0"/>
        <w:ind w:left="0" w:firstLine="0"/>
      </w:pPr>
      <w:r>
        <w:rPr>
          <w:rStyle w:val="FootnoteReference"/>
        </w:rPr>
        <w:footnoteRef/>
      </w:r>
      <w:r>
        <w:t xml:space="preserve">  „LAB – FAB – APP Ulaganje u europsku budućnost kakvu želimo”, Izvješće neovisne skupine na visokoj razini za postizanje najvećeg učinka programa EU-a za istraživanje i inovacije, 3. srpnja 2017.</w:t>
      </w:r>
    </w:p>
  </w:footnote>
  <w:footnote w:id="9">
    <w:p>
      <w:pPr>
        <w:pStyle w:val="FootnoteText"/>
        <w:spacing w:after="0"/>
        <w:ind w:left="0" w:firstLine="0"/>
      </w:pPr>
      <w:r>
        <w:rPr>
          <w:rStyle w:val="FootnoteReference"/>
        </w:rPr>
        <w:footnoteRef/>
      </w:r>
      <w:r>
        <w:t xml:space="preserve"> Uredba 1291/2013 Europskog parlamenta i Vijeća od 11. prosinca 2013.</w:t>
      </w:r>
    </w:p>
  </w:footnote>
  <w:footnote w:id="10">
    <w:p>
      <w:pPr>
        <w:pStyle w:val="FootnoteText"/>
        <w:spacing w:after="0"/>
        <w:ind w:left="0" w:firstLine="0"/>
      </w:pPr>
      <w:r>
        <w:rPr>
          <w:rStyle w:val="FootnoteReference"/>
        </w:rPr>
        <w:footnoteRef/>
      </w:r>
      <w:r>
        <w:t xml:space="preserve"> EP T8-0253/2017, Izvješće o ocjeni provedbe programa Obzor 2020. u svjetlu njegove privremene evaluacije i o prijedlogu Devetog okvirnog programa </w:t>
      </w:r>
    </w:p>
  </w:footnote>
  <w:footnote w:id="11">
    <w:p>
      <w:pPr>
        <w:pStyle w:val="FootnoteText"/>
        <w:spacing w:after="0"/>
        <w:ind w:left="0" w:firstLine="0"/>
      </w:pPr>
      <w:r>
        <w:rPr>
          <w:rStyle w:val="FootnoteReference"/>
        </w:rPr>
        <w:footnoteRef/>
      </w:r>
      <w:r>
        <w:t xml:space="preserve"> Informativno izvješće EGSO-a INT/807, Obzor 2020. (evaluacija)</w:t>
      </w:r>
    </w:p>
  </w:footnote>
  <w:footnote w:id="12">
    <w:p>
      <w:pPr>
        <w:pStyle w:val="FootnoteText"/>
        <w:spacing w:after="0"/>
        <w:ind w:left="0" w:firstLine="0"/>
      </w:pPr>
      <w:r>
        <w:rPr>
          <w:rStyle w:val="FootnoteReference"/>
        </w:rPr>
        <w:footnoteRef/>
      </w:r>
      <w:r>
        <w:t xml:space="preserve"> Mišljenje OR-a SEDEC-VI/026, Lokalna i regionalna dimenzija Obzora 2020. i novi okvirni program za istraživanje i inovacije</w:t>
      </w:r>
    </w:p>
  </w:footnote>
  <w:footnote w:id="13">
    <w:p>
      <w:pPr>
        <w:pStyle w:val="FootnoteText"/>
        <w:spacing w:after="0"/>
        <w:ind w:left="0" w:firstLine="0"/>
      </w:pPr>
      <w:r>
        <w:rPr>
          <w:rStyle w:val="FootnoteReference"/>
        </w:rPr>
        <w:footnoteRef/>
      </w:r>
      <w:r>
        <w:t xml:space="preserve"> Od privremene evaluacije programa Obzor 2020. prema devetom okvirnom programu – zaključci Vijeća (doneseni 1.12.2017.) http://www.consilium.europa.eu/media/31888/st15320en17.pdf</w:t>
      </w:r>
    </w:p>
  </w:footnote>
  <w:footnote w:id="14">
    <w:p>
      <w:pPr>
        <w:pStyle w:val="FootnoteText"/>
        <w:spacing w:after="0"/>
        <w:ind w:left="0" w:firstLine="0"/>
      </w:pPr>
      <w:r>
        <w:rPr>
          <w:rStyle w:val="FootnoteReference"/>
        </w:rPr>
        <w:footnoteRef/>
      </w:r>
      <w:r>
        <w:t xml:space="preserve"> ERAC 1207/17, Mišljenje ERAC-a o privremenoj evaluaciji programa Obzor 2020. i pripremama za sljedeći okvirni program</w:t>
      </w:r>
    </w:p>
  </w:footnote>
  <w:footnote w:id="15">
    <w:p>
      <w:pPr>
        <w:pStyle w:val="FootnoteText"/>
        <w:spacing w:after="0"/>
        <w:ind w:left="0" w:firstLine="0"/>
      </w:pPr>
      <w:r>
        <w:rPr>
          <w:rStyle w:val="FootnoteReference"/>
        </w:rPr>
        <w:footnoteRef/>
      </w:r>
      <w:r>
        <w:t xml:space="preserve"> SWD (2017) 220 Detaljna privremena evaluacija programa Obzor 2020., odjeljak 8.4, str. 141. i 144.</w:t>
      </w:r>
    </w:p>
  </w:footnote>
  <w:footnote w:id="16">
    <w:p>
      <w:pPr>
        <w:pStyle w:val="Default"/>
      </w:pPr>
      <w:r>
        <w:rPr>
          <w:rStyle w:val="FootnoteReference"/>
        </w:rPr>
        <w:footnoteRef/>
      </w:r>
      <w:r>
        <w:t xml:space="preserve"> </w:t>
      </w:r>
      <w:r>
        <w:rPr>
          <w:color w:val="auto"/>
          <w:sz w:val="20"/>
        </w:rPr>
        <w:t>Međutim ciljevi rashoda za održivi razvoj i klimatske promjene još uvijek nisu ostvareni te treba pojačati nastojanja u tom pogledu u posljednjem programu rada.</w:t>
      </w:r>
    </w:p>
  </w:footnote>
  <w:footnote w:id="17">
    <w:p>
      <w:pPr>
        <w:pStyle w:val="FootnoteText"/>
        <w:spacing w:after="0"/>
        <w:ind w:left="0" w:firstLine="0"/>
      </w:pPr>
      <w:r>
        <w:rPr>
          <w:rStyle w:val="FootnoteReference"/>
        </w:rPr>
        <w:footnoteRef/>
      </w:r>
      <w:r>
        <w:t xml:space="preserve"> SWD (2017) 220 Detaljna privremena evaluacija programa Obzor 2020., odjeljak 8.2.2.3, str. 114.</w:t>
      </w:r>
    </w:p>
  </w:footnote>
  <w:footnote w:id="18">
    <w:p>
      <w:pPr>
        <w:pStyle w:val="FootnoteText"/>
        <w:spacing w:after="0"/>
        <w:ind w:left="0" w:firstLine="0"/>
      </w:pPr>
      <w:r>
        <w:rPr>
          <w:rStyle w:val="FootnoteReference"/>
        </w:rPr>
        <w:footnoteRef/>
      </w:r>
      <w:r>
        <w:t xml:space="preserve"> SWD (2017) 220 Detaljna privremena evaluacija programa Obzor 2020., odjeljak 12, str. 186.</w:t>
      </w:r>
    </w:p>
  </w:footnote>
  <w:footnote w:id="19">
    <w:p>
      <w:pPr>
        <w:pStyle w:val="FootnoteText"/>
        <w:spacing w:after="0"/>
        <w:ind w:left="0" w:firstLine="0"/>
      </w:pPr>
      <w:r>
        <w:rPr>
          <w:rStyle w:val="FootnoteReference"/>
        </w:rPr>
        <w:footnoteRef/>
      </w:r>
      <w:r>
        <w:t xml:space="preserve"> SWD (2017) 220 Detaljna privremena evaluacija programa Obzor 2020., odjeljak 7.3.2, str. 60.</w:t>
      </w:r>
    </w:p>
  </w:footnote>
  <w:footnote w:id="20">
    <w:p>
      <w:pPr>
        <w:pStyle w:val="FootnoteText"/>
        <w:spacing w:after="0"/>
        <w:ind w:left="0" w:firstLine="0"/>
      </w:pPr>
      <w:r>
        <w:rPr>
          <w:rStyle w:val="FootnoteReference"/>
        </w:rPr>
        <w:footnoteRef/>
      </w:r>
      <w:r>
        <w:t xml:space="preserve"> SWD (2017) 220 Detaljna privremena evaluacija programa Obzor 2020. odjeljak 8.2.2.3 str. 111. i 8.2.3.3 str. 123.</w:t>
      </w:r>
    </w:p>
  </w:footnote>
  <w:footnote w:id="21">
    <w:p>
      <w:pPr>
        <w:pStyle w:val="FootnoteText"/>
        <w:spacing w:after="0"/>
        <w:ind w:left="0" w:firstLine="0"/>
      </w:pPr>
      <w:r>
        <w:rPr>
          <w:rStyle w:val="FootnoteReference"/>
        </w:rPr>
        <w:footnoteRef/>
      </w:r>
      <w:r>
        <w:t xml:space="preserve"> SWD (2017) 220 Detaljna privremena evaluacija programa Obzor 2020., odjeljak 8.2.2.3</w:t>
      </w:r>
    </w:p>
  </w:footnote>
  <w:footnote w:id="22">
    <w:p>
      <w:pPr>
        <w:pStyle w:val="FootnoteText"/>
        <w:spacing w:after="0"/>
        <w:ind w:left="0" w:firstLine="0"/>
      </w:pPr>
      <w:r>
        <w:t xml:space="preserve"> str. 111. i 8.2.2.3 str. 123.</w:t>
      </w:r>
    </w:p>
    <w:p>
      <w:pPr>
        <w:pStyle w:val="FootnoteText"/>
        <w:spacing w:after="0"/>
        <w:ind w:left="0" w:firstLine="0"/>
      </w:pPr>
      <w:r>
        <w:t>Strategija industrijske politike EU-a, vidjeti COM(2017) 479</w:t>
      </w:r>
    </w:p>
  </w:footnote>
  <w:footnote w:id="23">
    <w:p>
      <w:pPr>
        <w:pStyle w:val="FootnoteText"/>
        <w:spacing w:after="0"/>
        <w:ind w:left="0" w:firstLine="0"/>
      </w:pPr>
      <w:r>
        <w:rPr>
          <w:rStyle w:val="FootnoteReference"/>
        </w:rPr>
        <w:footnoteRef/>
      </w:r>
      <w:r>
        <w:t xml:space="preserve"> </w:t>
      </w:r>
      <w:hyperlink r:id="rId2">
        <w:r>
          <w:rPr>
            <w:rStyle w:val="Hyperlink"/>
          </w:rPr>
          <w:t>https://ec.europa.eu/research/eic/index.cfm?pg=hlg</w:t>
        </w:r>
      </w:hyperlink>
      <w:r>
        <w:t xml:space="preserve"> </w:t>
      </w:r>
    </w:p>
  </w:footnote>
  <w:footnote w:id="24">
    <w:p>
      <w:pPr>
        <w:pStyle w:val="FootnoteText"/>
        <w:spacing w:after="0"/>
        <w:ind w:left="0" w:firstLine="0"/>
      </w:pPr>
      <w:r>
        <w:rPr>
          <w:rStyle w:val="FootnoteReference"/>
        </w:rPr>
        <w:footnoteRef/>
      </w:r>
      <w:r>
        <w:t xml:space="preserve"> To podržava i preporuka stručne skupine na visokoj razini koja je provela </w:t>
      </w:r>
      <w:r>
        <w:rPr>
          <w:i/>
        </w:rPr>
        <w:t>ex-post</w:t>
      </w:r>
      <w:r>
        <w:t xml:space="preserve"> evaluaciju 7. okvirnog programa: „približiti znanost građanima“ COM(2016) 5 final</w:t>
      </w:r>
    </w:p>
  </w:footnote>
  <w:footnote w:id="25">
    <w:p>
      <w:pPr>
        <w:pStyle w:val="FootnoteText"/>
        <w:spacing w:after="0"/>
        <w:ind w:left="0" w:firstLine="0"/>
      </w:pPr>
      <w:r>
        <w:rPr>
          <w:rStyle w:val="FootnoteReference"/>
        </w:rPr>
        <w:footnoteRef/>
      </w:r>
      <w:r>
        <w:t xml:space="preserve"> </w:t>
      </w:r>
      <w:r>
        <w:rPr>
          <w:i/>
        </w:rPr>
        <w:t>Idem</w:t>
      </w:r>
      <w:r>
        <w:t xml:space="preserve"> „naglasak na ključnim izazovima i mogućnostima u globalnom kontekstu“ COM(2016) 5 final</w:t>
      </w:r>
    </w:p>
  </w:footnote>
  <w:footnote w:id="26">
    <w:p>
      <w:pPr>
        <w:pStyle w:val="FootnoteText"/>
        <w:spacing w:after="0"/>
        <w:ind w:left="0" w:firstLine="0"/>
      </w:pPr>
      <w:r>
        <w:rPr>
          <w:rStyle w:val="FootnoteReference"/>
        </w:rPr>
        <w:footnoteRef/>
      </w:r>
      <w:r>
        <w:t xml:space="preserve"> To podržava i preporuka stručne skupine na visokoj razini koja je provela </w:t>
      </w:r>
      <w:r>
        <w:rPr>
          <w:i/>
        </w:rPr>
        <w:t>ex-post</w:t>
      </w:r>
      <w:r>
        <w:t xml:space="preserve"> evaluaciju 7. okvirnog programa: „uskladiti instrumente istraživanja i inovacija“ COM(2016) 5 final</w:t>
      </w:r>
    </w:p>
  </w:footnote>
  <w:footnote w:id="27">
    <w:p>
      <w:pPr>
        <w:pStyle w:val="FootnoteText"/>
        <w:spacing w:after="0"/>
        <w:ind w:left="0" w:firstLine="0"/>
      </w:pPr>
      <w:r>
        <w:rPr>
          <w:rStyle w:val="FootnoteReference"/>
        </w:rPr>
        <w:footnoteRef/>
      </w:r>
      <w:r>
        <w:t xml:space="preserve"> COM(2017)376 Jačanje inovacija u europskim regijama: strategije za otporni, uključivi i održivi rast</w:t>
      </w:r>
    </w:p>
  </w:footnote>
  <w:footnote w:id="28">
    <w:p>
      <w:pPr>
        <w:pStyle w:val="FootnoteText"/>
        <w:spacing w:after="0"/>
        <w:ind w:left="0" w:firstLine="0"/>
      </w:pPr>
      <w:r>
        <w:rPr>
          <w:rStyle w:val="FootnoteReference"/>
        </w:rPr>
        <w:footnoteRef/>
      </w:r>
      <w:r>
        <w:t xml:space="preserve"> </w:t>
      </w:r>
      <w:hyperlink r:id="rId3">
        <w:r>
          <w:rPr>
            <w:rStyle w:val="Hyperlink"/>
          </w:rPr>
          <w:t>https://ec.europa.eu/research/soe</w:t>
        </w:r>
      </w:hyperlink>
    </w:p>
  </w:footnote>
  <w:footnote w:id="29">
    <w:p>
      <w:pPr>
        <w:pStyle w:val="FootnoteText"/>
        <w:spacing w:after="0"/>
        <w:ind w:left="0" w:firstLine="0"/>
      </w:pPr>
      <w:r>
        <w:rPr>
          <w:rStyle w:val="FootnoteReference"/>
        </w:rPr>
        <w:footnoteRef/>
      </w:r>
      <w:r>
        <w:t xml:space="preserve"> http://data.consilium.europa.eu/doc/document/ST-9526-2016-INIT/hr/pdf</w:t>
      </w:r>
    </w:p>
  </w:footnote>
  <w:footnote w:id="30">
    <w:p>
      <w:pPr>
        <w:pStyle w:val="FootnoteText"/>
        <w:spacing w:after="0"/>
        <w:ind w:left="0" w:firstLine="0"/>
      </w:pPr>
      <w:r>
        <w:rPr>
          <w:rStyle w:val="FootnoteReference"/>
        </w:rPr>
        <w:footnoteRef/>
      </w:r>
      <w:r>
        <w:t xml:space="preserve"> </w:t>
      </w:r>
      <w:hyperlink r:id="rId4">
        <w:r>
          <w:rPr>
            <w:rStyle w:val="Hyperlink"/>
          </w:rPr>
          <w:t>https://ec.europa.eu/research/openscience/</w:t>
        </w:r>
      </w:hyperlink>
      <w:r>
        <w:t xml:space="preserve"> </w:t>
      </w:r>
    </w:p>
  </w:footnote>
  <w:footnote w:id="31">
    <w:p>
      <w:pPr>
        <w:pStyle w:val="FootnoteText"/>
        <w:spacing w:after="0"/>
        <w:ind w:left="0" w:firstLine="0"/>
      </w:pPr>
      <w:r>
        <w:rPr>
          <w:rStyle w:val="FootnoteReference"/>
        </w:rPr>
        <w:footnoteRef/>
      </w:r>
      <w:r>
        <w:t xml:space="preserve"> U okviru programa Obzor 2020. pruža se potpora dvjema širokim kategorijama partnerstava, povrh vodećih budućih tehnologija i tehnologija u nastajanju te zajednica znanja i inovacija: one koje uglavnom uključuju industriju, tj. inicijative iz članka 187. ili javno-privatna partnerstva (JPP-ovi) ili ugovorna javno-privatna partnerstva (uJPP-ovi); te one koje uključuju uglavnom države članice, tj. inicijative iz članka 185. ili javno-javna partnerstva (P2P-ovi), zajednički fond ERA-NET, zajednički fond EJP te inicijative za zajedničku izradu programa.</w:t>
      </w:r>
    </w:p>
  </w:footnote>
  <w:footnote w:id="32">
    <w:p>
      <w:pPr>
        <w:pStyle w:val="FootnoteText"/>
        <w:spacing w:after="0"/>
        <w:ind w:left="0" w:firstLine="0"/>
      </w:pPr>
      <w:r>
        <w:rPr>
          <w:rStyle w:val="FootnoteReference"/>
        </w:rPr>
        <w:footnoteRef/>
      </w:r>
      <w:r>
        <w:t xml:space="preserve"> U izvješću skupine na visokoj razini za EIT prepoznaje se da postoji jasna potreba za jačanjem uloge sjedišta EIT-a kao pružatelja zajedničkih usluga i stručnog znanja ZZI-ovima. (</w:t>
      </w:r>
      <w:hyperlink r:id="rId5">
        <w:r>
          <w:rPr>
            <w:rStyle w:val="Hyperlink"/>
          </w:rPr>
          <w:t>https://ec.europa.eu/education/sites/education/files/eit-hlg-final-report_en.pdf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D44D04"/>
    <w:multiLevelType w:val="multilevel"/>
    <w:tmpl w:val="B302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961BC"/>
    <w:multiLevelType w:val="hybridMultilevel"/>
    <w:tmpl w:val="6E063F60"/>
    <w:lvl w:ilvl="0" w:tplc="9DAA0844">
      <w:start w:val="1"/>
      <w:numFmt w:val="bullet"/>
      <w:lvlText w:val=""/>
      <w:lvlJc w:val="left"/>
      <w:pPr>
        <w:tabs>
          <w:tab w:val="num" w:pos="720"/>
        </w:tabs>
        <w:ind w:left="720" w:hanging="360"/>
      </w:pPr>
      <w:rPr>
        <w:rFonts w:ascii="Wingdings" w:hAnsi="Wingdings" w:hint="default"/>
      </w:rPr>
    </w:lvl>
    <w:lvl w:ilvl="1" w:tplc="554E06BE" w:tentative="1">
      <w:start w:val="1"/>
      <w:numFmt w:val="bullet"/>
      <w:lvlText w:val=""/>
      <w:lvlJc w:val="left"/>
      <w:pPr>
        <w:tabs>
          <w:tab w:val="num" w:pos="1440"/>
        </w:tabs>
        <w:ind w:left="1440" w:hanging="360"/>
      </w:pPr>
      <w:rPr>
        <w:rFonts w:ascii="Wingdings" w:hAnsi="Wingdings" w:hint="default"/>
      </w:rPr>
    </w:lvl>
    <w:lvl w:ilvl="2" w:tplc="0FCEC9BC" w:tentative="1">
      <w:start w:val="1"/>
      <w:numFmt w:val="bullet"/>
      <w:lvlText w:val=""/>
      <w:lvlJc w:val="left"/>
      <w:pPr>
        <w:tabs>
          <w:tab w:val="num" w:pos="2160"/>
        </w:tabs>
        <w:ind w:left="2160" w:hanging="360"/>
      </w:pPr>
      <w:rPr>
        <w:rFonts w:ascii="Wingdings" w:hAnsi="Wingdings" w:hint="default"/>
      </w:rPr>
    </w:lvl>
    <w:lvl w:ilvl="3" w:tplc="A8B0D2B4" w:tentative="1">
      <w:start w:val="1"/>
      <w:numFmt w:val="bullet"/>
      <w:lvlText w:val=""/>
      <w:lvlJc w:val="left"/>
      <w:pPr>
        <w:tabs>
          <w:tab w:val="num" w:pos="2880"/>
        </w:tabs>
        <w:ind w:left="2880" w:hanging="360"/>
      </w:pPr>
      <w:rPr>
        <w:rFonts w:ascii="Wingdings" w:hAnsi="Wingdings" w:hint="default"/>
      </w:rPr>
    </w:lvl>
    <w:lvl w:ilvl="4" w:tplc="DC16C15C" w:tentative="1">
      <w:start w:val="1"/>
      <w:numFmt w:val="bullet"/>
      <w:lvlText w:val=""/>
      <w:lvlJc w:val="left"/>
      <w:pPr>
        <w:tabs>
          <w:tab w:val="num" w:pos="3600"/>
        </w:tabs>
        <w:ind w:left="3600" w:hanging="360"/>
      </w:pPr>
      <w:rPr>
        <w:rFonts w:ascii="Wingdings" w:hAnsi="Wingdings" w:hint="default"/>
      </w:rPr>
    </w:lvl>
    <w:lvl w:ilvl="5" w:tplc="8A22B2BC" w:tentative="1">
      <w:start w:val="1"/>
      <w:numFmt w:val="bullet"/>
      <w:lvlText w:val=""/>
      <w:lvlJc w:val="left"/>
      <w:pPr>
        <w:tabs>
          <w:tab w:val="num" w:pos="4320"/>
        </w:tabs>
        <w:ind w:left="4320" w:hanging="360"/>
      </w:pPr>
      <w:rPr>
        <w:rFonts w:ascii="Wingdings" w:hAnsi="Wingdings" w:hint="default"/>
      </w:rPr>
    </w:lvl>
    <w:lvl w:ilvl="6" w:tplc="5204D908" w:tentative="1">
      <w:start w:val="1"/>
      <w:numFmt w:val="bullet"/>
      <w:lvlText w:val=""/>
      <w:lvlJc w:val="left"/>
      <w:pPr>
        <w:tabs>
          <w:tab w:val="num" w:pos="5040"/>
        </w:tabs>
        <w:ind w:left="5040" w:hanging="360"/>
      </w:pPr>
      <w:rPr>
        <w:rFonts w:ascii="Wingdings" w:hAnsi="Wingdings" w:hint="default"/>
      </w:rPr>
    </w:lvl>
    <w:lvl w:ilvl="7" w:tplc="91ACEE26" w:tentative="1">
      <w:start w:val="1"/>
      <w:numFmt w:val="bullet"/>
      <w:lvlText w:val=""/>
      <w:lvlJc w:val="left"/>
      <w:pPr>
        <w:tabs>
          <w:tab w:val="num" w:pos="5760"/>
        </w:tabs>
        <w:ind w:left="5760" w:hanging="360"/>
      </w:pPr>
      <w:rPr>
        <w:rFonts w:ascii="Wingdings" w:hAnsi="Wingdings" w:hint="default"/>
      </w:rPr>
    </w:lvl>
    <w:lvl w:ilvl="8" w:tplc="C84CABEE" w:tentative="1">
      <w:start w:val="1"/>
      <w:numFmt w:val="bullet"/>
      <w:lvlText w:val=""/>
      <w:lvlJc w:val="left"/>
      <w:pPr>
        <w:tabs>
          <w:tab w:val="num" w:pos="6480"/>
        </w:tabs>
        <w:ind w:left="6480" w:hanging="360"/>
      </w:pPr>
      <w:rPr>
        <w:rFonts w:ascii="Wingdings" w:hAnsi="Wingdings" w:hint="default"/>
      </w:r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A765519"/>
    <w:multiLevelType w:val="multilevel"/>
    <w:tmpl w:val="CD6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412EEA"/>
    <w:multiLevelType w:val="hybridMultilevel"/>
    <w:tmpl w:val="E2C075DC"/>
    <w:lvl w:ilvl="0" w:tplc="1E4A87A6">
      <w:start w:val="1"/>
      <w:numFmt w:val="bullet"/>
      <w:lvlText w:val=""/>
      <w:lvlJc w:val="left"/>
      <w:pPr>
        <w:tabs>
          <w:tab w:val="num" w:pos="720"/>
        </w:tabs>
        <w:ind w:left="720" w:hanging="360"/>
      </w:pPr>
      <w:rPr>
        <w:rFonts w:ascii="Wingdings" w:hAnsi="Wingdings" w:hint="default"/>
      </w:rPr>
    </w:lvl>
    <w:lvl w:ilvl="1" w:tplc="87AAE710" w:tentative="1">
      <w:start w:val="1"/>
      <w:numFmt w:val="bullet"/>
      <w:lvlText w:val=""/>
      <w:lvlJc w:val="left"/>
      <w:pPr>
        <w:tabs>
          <w:tab w:val="num" w:pos="1440"/>
        </w:tabs>
        <w:ind w:left="1440" w:hanging="360"/>
      </w:pPr>
      <w:rPr>
        <w:rFonts w:ascii="Wingdings" w:hAnsi="Wingdings" w:hint="default"/>
      </w:rPr>
    </w:lvl>
    <w:lvl w:ilvl="2" w:tplc="D8AAAB98" w:tentative="1">
      <w:start w:val="1"/>
      <w:numFmt w:val="bullet"/>
      <w:lvlText w:val=""/>
      <w:lvlJc w:val="left"/>
      <w:pPr>
        <w:tabs>
          <w:tab w:val="num" w:pos="2160"/>
        </w:tabs>
        <w:ind w:left="2160" w:hanging="360"/>
      </w:pPr>
      <w:rPr>
        <w:rFonts w:ascii="Wingdings" w:hAnsi="Wingdings" w:hint="default"/>
      </w:rPr>
    </w:lvl>
    <w:lvl w:ilvl="3" w:tplc="95E2A040" w:tentative="1">
      <w:start w:val="1"/>
      <w:numFmt w:val="bullet"/>
      <w:lvlText w:val=""/>
      <w:lvlJc w:val="left"/>
      <w:pPr>
        <w:tabs>
          <w:tab w:val="num" w:pos="2880"/>
        </w:tabs>
        <w:ind w:left="2880" w:hanging="360"/>
      </w:pPr>
      <w:rPr>
        <w:rFonts w:ascii="Wingdings" w:hAnsi="Wingdings" w:hint="default"/>
      </w:rPr>
    </w:lvl>
    <w:lvl w:ilvl="4" w:tplc="5DF038D4" w:tentative="1">
      <w:start w:val="1"/>
      <w:numFmt w:val="bullet"/>
      <w:lvlText w:val=""/>
      <w:lvlJc w:val="left"/>
      <w:pPr>
        <w:tabs>
          <w:tab w:val="num" w:pos="3600"/>
        </w:tabs>
        <w:ind w:left="3600" w:hanging="360"/>
      </w:pPr>
      <w:rPr>
        <w:rFonts w:ascii="Wingdings" w:hAnsi="Wingdings" w:hint="default"/>
      </w:rPr>
    </w:lvl>
    <w:lvl w:ilvl="5" w:tplc="69F0990C" w:tentative="1">
      <w:start w:val="1"/>
      <w:numFmt w:val="bullet"/>
      <w:lvlText w:val=""/>
      <w:lvlJc w:val="left"/>
      <w:pPr>
        <w:tabs>
          <w:tab w:val="num" w:pos="4320"/>
        </w:tabs>
        <w:ind w:left="4320" w:hanging="360"/>
      </w:pPr>
      <w:rPr>
        <w:rFonts w:ascii="Wingdings" w:hAnsi="Wingdings" w:hint="default"/>
      </w:rPr>
    </w:lvl>
    <w:lvl w:ilvl="6" w:tplc="C876DD34" w:tentative="1">
      <w:start w:val="1"/>
      <w:numFmt w:val="bullet"/>
      <w:lvlText w:val=""/>
      <w:lvlJc w:val="left"/>
      <w:pPr>
        <w:tabs>
          <w:tab w:val="num" w:pos="5040"/>
        </w:tabs>
        <w:ind w:left="5040" w:hanging="360"/>
      </w:pPr>
      <w:rPr>
        <w:rFonts w:ascii="Wingdings" w:hAnsi="Wingdings" w:hint="default"/>
      </w:rPr>
    </w:lvl>
    <w:lvl w:ilvl="7" w:tplc="B2BA057A" w:tentative="1">
      <w:start w:val="1"/>
      <w:numFmt w:val="bullet"/>
      <w:lvlText w:val=""/>
      <w:lvlJc w:val="left"/>
      <w:pPr>
        <w:tabs>
          <w:tab w:val="num" w:pos="5760"/>
        </w:tabs>
        <w:ind w:left="5760" w:hanging="360"/>
      </w:pPr>
      <w:rPr>
        <w:rFonts w:ascii="Wingdings" w:hAnsi="Wingdings" w:hint="default"/>
      </w:rPr>
    </w:lvl>
    <w:lvl w:ilvl="8" w:tplc="57107DB4" w:tentative="1">
      <w:start w:val="1"/>
      <w:numFmt w:val="bullet"/>
      <w:lvlText w:val=""/>
      <w:lvlJc w:val="left"/>
      <w:pPr>
        <w:tabs>
          <w:tab w:val="num" w:pos="6480"/>
        </w:tabs>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4A5229"/>
    <w:multiLevelType w:val="hybridMultilevel"/>
    <w:tmpl w:val="71065CAE"/>
    <w:lvl w:ilvl="0" w:tplc="0809000F">
      <w:start w:val="1"/>
      <w:numFmt w:val="decimal"/>
      <w:lvlText w:val="%1."/>
      <w:lvlJc w:val="left"/>
      <w:pPr>
        <w:ind w:left="775" w:hanging="360"/>
      </w:pPr>
    </w:lvl>
    <w:lvl w:ilvl="1" w:tplc="08090019">
      <w:start w:val="1"/>
      <w:numFmt w:val="lowerLetter"/>
      <w:lvlText w:val="%2."/>
      <w:lvlJc w:val="left"/>
      <w:pPr>
        <w:ind w:left="1495" w:hanging="360"/>
      </w:pPr>
    </w:lvl>
    <w:lvl w:ilvl="2" w:tplc="0809001B">
      <w:start w:val="1"/>
      <w:numFmt w:val="lowerRoman"/>
      <w:lvlText w:val="%3."/>
      <w:lvlJc w:val="right"/>
      <w:pPr>
        <w:ind w:left="2215" w:hanging="180"/>
      </w:pPr>
    </w:lvl>
    <w:lvl w:ilvl="3" w:tplc="0809000F">
      <w:start w:val="1"/>
      <w:numFmt w:val="decimal"/>
      <w:lvlText w:val="%4."/>
      <w:lvlJc w:val="left"/>
      <w:pPr>
        <w:ind w:left="2935" w:hanging="360"/>
      </w:pPr>
    </w:lvl>
    <w:lvl w:ilvl="4" w:tplc="08090019">
      <w:start w:val="1"/>
      <w:numFmt w:val="lowerLetter"/>
      <w:lvlText w:val="%5."/>
      <w:lvlJc w:val="left"/>
      <w:pPr>
        <w:ind w:left="3655" w:hanging="360"/>
      </w:pPr>
    </w:lvl>
    <w:lvl w:ilvl="5" w:tplc="0809001B">
      <w:start w:val="1"/>
      <w:numFmt w:val="lowerRoman"/>
      <w:lvlText w:val="%6."/>
      <w:lvlJc w:val="right"/>
      <w:pPr>
        <w:ind w:left="4375" w:hanging="180"/>
      </w:pPr>
    </w:lvl>
    <w:lvl w:ilvl="6" w:tplc="0809000F">
      <w:start w:val="1"/>
      <w:numFmt w:val="decimal"/>
      <w:lvlText w:val="%7."/>
      <w:lvlJc w:val="left"/>
      <w:pPr>
        <w:ind w:left="5095" w:hanging="360"/>
      </w:pPr>
    </w:lvl>
    <w:lvl w:ilvl="7" w:tplc="08090019">
      <w:start w:val="1"/>
      <w:numFmt w:val="lowerLetter"/>
      <w:lvlText w:val="%8."/>
      <w:lvlJc w:val="left"/>
      <w:pPr>
        <w:ind w:left="5815" w:hanging="360"/>
      </w:pPr>
    </w:lvl>
    <w:lvl w:ilvl="8" w:tplc="0809001B">
      <w:start w:val="1"/>
      <w:numFmt w:val="lowerRoman"/>
      <w:lvlText w:val="%9."/>
      <w:lvlJc w:val="right"/>
      <w:pPr>
        <w:ind w:left="6535" w:hanging="18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lvl w:ilvl="0">
      <w:start w:val="1"/>
      <w:numFmt w:val="decimal"/>
      <w:lvlText w:val="%1."/>
      <w:lvlJc w:val="left"/>
      <w:pPr>
        <w:tabs>
          <w:tab w:val="num" w:pos="476"/>
        </w:tabs>
        <w:ind w:left="476" w:hanging="476"/>
      </w:pPr>
    </w:lvl>
  </w:abstractNum>
  <w:abstractNum w:abstractNumId="20">
    <w:nsid w:val="4A432656"/>
    <w:multiLevelType w:val="multilevel"/>
    <w:tmpl w:val="AC885D7A"/>
    <w:name w:val="LegalNumParListTemplat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D8257B6"/>
    <w:multiLevelType w:val="hybridMultilevel"/>
    <w:tmpl w:val="615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DF1245"/>
    <w:multiLevelType w:val="hybridMultilevel"/>
    <w:tmpl w:val="5C4E8A00"/>
    <w:lvl w:ilvl="0" w:tplc="DA987EA4">
      <w:start w:val="1"/>
      <w:numFmt w:val="bullet"/>
      <w:lvlText w:val=""/>
      <w:lvlJc w:val="left"/>
      <w:pPr>
        <w:ind w:left="720" w:hanging="360"/>
      </w:pPr>
      <w:rPr>
        <w:rFonts w:ascii="Symbol" w:hAnsi="Symbol" w:hint="default"/>
      </w:rPr>
    </w:lvl>
    <w:lvl w:ilvl="1" w:tplc="CA22151E" w:tentative="1">
      <w:start w:val="1"/>
      <w:numFmt w:val="bullet"/>
      <w:lvlText w:val="o"/>
      <w:lvlJc w:val="left"/>
      <w:pPr>
        <w:ind w:left="1440" w:hanging="360"/>
      </w:pPr>
      <w:rPr>
        <w:rFonts w:ascii="Courier New" w:hAnsi="Courier New" w:cs="Courier New" w:hint="default"/>
      </w:rPr>
    </w:lvl>
    <w:lvl w:ilvl="2" w:tplc="9EFC913A" w:tentative="1">
      <w:start w:val="1"/>
      <w:numFmt w:val="bullet"/>
      <w:lvlText w:val=""/>
      <w:lvlJc w:val="left"/>
      <w:pPr>
        <w:ind w:left="2160" w:hanging="360"/>
      </w:pPr>
      <w:rPr>
        <w:rFonts w:ascii="Wingdings" w:hAnsi="Wingdings" w:hint="default"/>
      </w:rPr>
    </w:lvl>
    <w:lvl w:ilvl="3" w:tplc="07302ADE" w:tentative="1">
      <w:start w:val="1"/>
      <w:numFmt w:val="bullet"/>
      <w:lvlText w:val=""/>
      <w:lvlJc w:val="left"/>
      <w:pPr>
        <w:ind w:left="2880" w:hanging="360"/>
      </w:pPr>
      <w:rPr>
        <w:rFonts w:ascii="Symbol" w:hAnsi="Symbol" w:hint="default"/>
      </w:rPr>
    </w:lvl>
    <w:lvl w:ilvl="4" w:tplc="CF5C9D62" w:tentative="1">
      <w:start w:val="1"/>
      <w:numFmt w:val="bullet"/>
      <w:lvlText w:val="o"/>
      <w:lvlJc w:val="left"/>
      <w:pPr>
        <w:ind w:left="3600" w:hanging="360"/>
      </w:pPr>
      <w:rPr>
        <w:rFonts w:ascii="Courier New" w:hAnsi="Courier New" w:cs="Courier New" w:hint="default"/>
      </w:rPr>
    </w:lvl>
    <w:lvl w:ilvl="5" w:tplc="1FA8DD90" w:tentative="1">
      <w:start w:val="1"/>
      <w:numFmt w:val="bullet"/>
      <w:lvlText w:val=""/>
      <w:lvlJc w:val="left"/>
      <w:pPr>
        <w:ind w:left="4320" w:hanging="360"/>
      </w:pPr>
      <w:rPr>
        <w:rFonts w:ascii="Wingdings" w:hAnsi="Wingdings" w:hint="default"/>
      </w:rPr>
    </w:lvl>
    <w:lvl w:ilvl="6" w:tplc="9BE8816E" w:tentative="1">
      <w:start w:val="1"/>
      <w:numFmt w:val="bullet"/>
      <w:lvlText w:val=""/>
      <w:lvlJc w:val="left"/>
      <w:pPr>
        <w:ind w:left="5040" w:hanging="360"/>
      </w:pPr>
      <w:rPr>
        <w:rFonts w:ascii="Symbol" w:hAnsi="Symbol" w:hint="default"/>
      </w:rPr>
    </w:lvl>
    <w:lvl w:ilvl="7" w:tplc="C7B01E4E" w:tentative="1">
      <w:start w:val="1"/>
      <w:numFmt w:val="bullet"/>
      <w:lvlText w:val="o"/>
      <w:lvlJc w:val="left"/>
      <w:pPr>
        <w:ind w:left="5760" w:hanging="360"/>
      </w:pPr>
      <w:rPr>
        <w:rFonts w:ascii="Courier New" w:hAnsi="Courier New" w:cs="Courier New" w:hint="default"/>
      </w:rPr>
    </w:lvl>
    <w:lvl w:ilvl="8" w:tplc="FA1E136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1"/>
  </w:num>
  <w:num w:numId="5">
    <w:abstractNumId w:val="13"/>
  </w:num>
  <w:num w:numId="6">
    <w:abstractNumId w:val="9"/>
  </w:num>
  <w:num w:numId="7">
    <w:abstractNumId w:val="6"/>
  </w:num>
  <w:num w:numId="8">
    <w:abstractNumId w:val="5"/>
  </w:num>
  <w:num w:numId="9">
    <w:abstractNumId w:val="22"/>
  </w:num>
  <w:num w:numId="10">
    <w:abstractNumId w:val="24"/>
  </w:num>
  <w:num w:numId="11">
    <w:abstractNumId w:val="23"/>
  </w:num>
  <w:num w:numId="12">
    <w:abstractNumId w:val="26"/>
  </w:num>
  <w:num w:numId="13">
    <w:abstractNumId w:val="8"/>
  </w:num>
  <w:num w:numId="14">
    <w:abstractNumId w:val="14"/>
  </w:num>
  <w:num w:numId="15">
    <w:abstractNumId w:val="17"/>
  </w:num>
  <w:num w:numId="16">
    <w:abstractNumId w:val="15"/>
  </w:num>
  <w:num w:numId="17">
    <w:abstractNumId w:val="2"/>
  </w:num>
  <w:num w:numId="18">
    <w:abstractNumId w:val="18"/>
  </w:num>
  <w:num w:numId="19">
    <w:abstractNumId w:val="10"/>
  </w:num>
  <w:num w:numId="20">
    <w:abstractNumId w:val="19"/>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2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86F8A71-024A-4858-9C18-B2579A61ECD2"/>
    <w:docVar w:name="LW_COVERPAGE_TYPE" w:val="1"/>
    <w:docVar w:name="LW_CROSSREFERENCE" w:val="&lt;UNUSED&gt;"/>
    <w:docVar w:name="LW_DocType" w:val="NOT"/>
    <w:docVar w:name="LW_EMISSION" w:val="11.1.2018."/>
    <w:docVar w:name="LW_EMISSION_ISODATE" w:val="2018-01-11"/>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Lessons learnt from the Horizon 2020 Interim Evaluation and response to the recommendations of the High Level Group on maximising the impact of EU Research and Innovation programmes"/>
    <w:docVar w:name="LW_SOUS.TITRE.OBJ.CP" w:val="Lessons learnt from the Horizon 2020 Interim Evaluation and response to the recommendations of the High Level Group on maximising the impact of EU Research and Innovation programmes"/>
    <w:docVar w:name="LW_SUPERTITRE" w:val="&lt;UNUSED&gt;"/>
    <w:docVar w:name="LW_TITRE.OBJ.CP" w:val="Privremena evaluacija programa Obzor 2020.: najve\u263?i mogu\u263?i u\u269?inak istra\u382?ivanja i inovacija u EU-u "/>
    <w:docVar w:name="LW_TYPE.DOC.CP" w:val="KOMUNIKACIJA KOMISIJE EUROPSKOM PARLAMENTU, VIJE\u262?U, EUROPSKOM GOSPODARSKOM I SOCIJALNOM ODBORU I ODBORU REGIJA"/>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Schriftart: 9 pt,Schriftart: 10 pt,Schriftart: 8 pt,o,WB-Fußnotentext,fn,Footnotes,Footnote ak,ﬂnotentext,WB-Fuﬂnotentext,footnote text,single space,Footnote Text English,FOOTNOTES,Footnote text,Podrozdział,Reference,Car,Fußnote,FoodNote,f"/>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link w:val="NoteHeadChar"/>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hr-HR"/>
    </w:rPr>
  </w:style>
  <w:style w:type="character" w:customStyle="1" w:styleId="DateChar">
    <w:name w:val="Date Char"/>
    <w:basedOn w:val="DefaultParagraphFont"/>
    <w:link w:val="Date"/>
    <w:uiPriority w:val="99"/>
    <w:locked/>
    <w:rPr>
      <w:sz w:val="24"/>
      <w:lang w:eastAsia="hr-HR"/>
    </w:rPr>
  </w:style>
  <w:style w:type="character" w:customStyle="1" w:styleId="SignatureChar">
    <w:name w:val="Signature Char"/>
    <w:basedOn w:val="DefaultParagraphFont"/>
    <w:link w:val="Signature"/>
    <w:uiPriority w:val="99"/>
    <w:locked/>
    <w:rPr>
      <w:sz w:val="24"/>
      <w:lang w:eastAsia="hr-HR"/>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hr-HR"/>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Schriftart: 9 pt Char,Schriftart: 10 pt Char,Schriftart: 8 pt Char,o Char,WB-Fußnotentext Char,fn Char,Footnotes Char,Footnote ak Char,ﬂnotentext Char,WB-Fuﬂnotentext Char,footnote text Char,single space Char,FOOTNOTES Char,Car Char"/>
    <w:basedOn w:val="DefaultParagraphFont"/>
    <w:link w:val="FootnoteText"/>
    <w:uiPriority w:val="99"/>
    <w:rPr>
      <w:lang w:eastAsia="hr-HR"/>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R,E...,nota de rodapé,fr"/>
    <w:basedOn w:val="DefaultParagraphFont"/>
    <w:link w:val="CharCharChar1"/>
    <w:uiPriority w:val="99"/>
    <w:unhideWhenUsed/>
    <w:qFormat/>
    <w:rPr>
      <w:vertAlign w:val="superscript"/>
    </w:rPr>
  </w:style>
  <w:style w:type="paragraph" w:customStyle="1" w:styleId="CharCharChar1">
    <w:name w:val="Char Char Char1"/>
    <w:basedOn w:val="Normal"/>
    <w:link w:val="FootnoteReference"/>
    <w:uiPriority w:val="99"/>
    <w:pPr>
      <w:spacing w:after="160" w:line="240" w:lineRule="exact"/>
      <w:jc w:val="left"/>
    </w:pPr>
    <w:rPr>
      <w:sz w:val="20"/>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EndnoteTextChar">
    <w:name w:val="Endnote Text Char"/>
    <w:basedOn w:val="DefaultParagraphFont"/>
    <w:link w:val="EndnoteText"/>
    <w:uiPriority w:val="99"/>
    <w:semiHidden/>
    <w:rPr>
      <w:lang w:eastAsia="hr-HR"/>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hr-H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hr-HR"/>
    </w:rPr>
  </w:style>
  <w:style w:type="character" w:customStyle="1" w:styleId="CommentSubjectChar">
    <w:name w:val="Comment Subject Char"/>
    <w:basedOn w:val="CommentTextChar"/>
    <w:link w:val="CommentSubject"/>
    <w:uiPriority w:val="99"/>
    <w:semiHidden/>
    <w:rPr>
      <w:b/>
      <w:bCs/>
      <w:lang w:eastAsia="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rPr>
      <w:b/>
      <w:smallCaps/>
      <w:sz w:val="24"/>
      <w:lang w:eastAsia="hr-HR"/>
    </w:rPr>
  </w:style>
  <w:style w:type="character" w:customStyle="1" w:styleId="FooterCoverPageChar">
    <w:name w:val="Footer Cover Page Char"/>
    <w:basedOn w:val="NoteHeadChar"/>
    <w:link w:val="FooterCoverPage"/>
    <w:rPr>
      <w:b w:val="0"/>
      <w:smallCaps w:val="0"/>
      <w:sz w:val="24"/>
      <w:lang w:eastAsia="hr-HR"/>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sz w:val="24"/>
      <w:lang w:eastAsia="hr-HR"/>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aliases w:val="Schriftart: 9 pt,Schriftart: 10 pt,Schriftart: 8 pt,o,WB-Fußnotentext,fn,Footnotes,Footnote ak,ﬂnotentext,WB-Fuﬂnotentext,footnote text,single space,Footnote Text English,FOOTNOTES,Footnote text,Podrozdział,Reference,Car,Fußnote,FoodNote,f"/>
    <w:basedOn w:val="Normal"/>
    <w:link w:val="FootnoteTextChar"/>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link w:val="NoteHeadChar"/>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eastAsia="hr-HR"/>
    </w:rPr>
  </w:style>
  <w:style w:type="character" w:customStyle="1" w:styleId="DateChar">
    <w:name w:val="Date Char"/>
    <w:basedOn w:val="DefaultParagraphFont"/>
    <w:link w:val="Date"/>
    <w:uiPriority w:val="99"/>
    <w:locked/>
    <w:rPr>
      <w:sz w:val="24"/>
      <w:lang w:eastAsia="hr-HR"/>
    </w:rPr>
  </w:style>
  <w:style w:type="character" w:customStyle="1" w:styleId="SignatureChar">
    <w:name w:val="Signature Char"/>
    <w:basedOn w:val="DefaultParagraphFont"/>
    <w:link w:val="Signature"/>
    <w:uiPriority w:val="99"/>
    <w:locked/>
    <w:rPr>
      <w:sz w:val="24"/>
      <w:lang w:eastAsia="hr-HR"/>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rFonts w:eastAsiaTheme="minorHAnsi"/>
      <w:sz w:val="24"/>
      <w:szCs w:val="22"/>
      <w:lang w:eastAsia="hr-HR"/>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aliases w:val="Schriftart: 9 pt Char,Schriftart: 10 pt Char,Schriftart: 8 pt Char,o Char,WB-Fußnotentext Char,fn Char,Footnotes Char,Footnote ak Char,ﬂnotentext Char,WB-Fuﬂnotentext Char,footnote text Char,single space Char,FOOTNOTES Char,Car Char"/>
    <w:basedOn w:val="DefaultParagraphFont"/>
    <w:link w:val="FootnoteText"/>
    <w:uiPriority w:val="99"/>
    <w:rPr>
      <w:lang w:eastAsia="hr-HR"/>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R,E...,nota de rodapé,fr"/>
    <w:basedOn w:val="DefaultParagraphFont"/>
    <w:link w:val="CharCharChar1"/>
    <w:uiPriority w:val="99"/>
    <w:unhideWhenUsed/>
    <w:qFormat/>
    <w:rPr>
      <w:vertAlign w:val="superscript"/>
    </w:rPr>
  </w:style>
  <w:style w:type="paragraph" w:customStyle="1" w:styleId="CharCharChar1">
    <w:name w:val="Char Char Char1"/>
    <w:basedOn w:val="Normal"/>
    <w:link w:val="FootnoteReference"/>
    <w:uiPriority w:val="99"/>
    <w:pPr>
      <w:spacing w:after="160" w:line="240" w:lineRule="exact"/>
      <w:jc w:val="left"/>
    </w:pPr>
    <w:rPr>
      <w:sz w:val="20"/>
      <w:vertAlign w:val="superscript"/>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szCs w:val="24"/>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color w:val="000000"/>
      <w:sz w:val="24"/>
      <w:szCs w:val="24"/>
    </w:rPr>
  </w:style>
  <w:style w:type="character" w:customStyle="1" w:styleId="EndnoteTextChar">
    <w:name w:val="Endnote Text Char"/>
    <w:basedOn w:val="DefaultParagraphFont"/>
    <w:link w:val="EndnoteText"/>
    <w:uiPriority w:val="99"/>
    <w:semiHidden/>
    <w:rPr>
      <w:lang w:eastAsia="hr-HR"/>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hr-H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hr-HR"/>
    </w:rPr>
  </w:style>
  <w:style w:type="character" w:customStyle="1" w:styleId="CommentSubjectChar">
    <w:name w:val="Comment Subject Char"/>
    <w:basedOn w:val="CommentTextChar"/>
    <w:link w:val="CommentSubject"/>
    <w:uiPriority w:val="99"/>
    <w:semiHidden/>
    <w:rPr>
      <w:b/>
      <w:bCs/>
      <w:lang w:eastAsia="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rPr>
      <w:b/>
      <w:smallCaps/>
      <w:sz w:val="24"/>
      <w:lang w:eastAsia="hr-HR"/>
    </w:rPr>
  </w:style>
  <w:style w:type="character" w:customStyle="1" w:styleId="FooterCoverPageChar">
    <w:name w:val="Footer Cover Page Char"/>
    <w:basedOn w:val="NoteHeadChar"/>
    <w:link w:val="FooterCoverPage"/>
    <w:rPr>
      <w:b w:val="0"/>
      <w:smallCaps w:val="0"/>
      <w:sz w:val="24"/>
      <w:lang w:eastAsia="hr-HR"/>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sz w:val="24"/>
      <w:lang w:eastAsia="hr-HR"/>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914">
      <w:bodyDiv w:val="1"/>
      <w:marLeft w:val="0"/>
      <w:marRight w:val="0"/>
      <w:marTop w:val="0"/>
      <w:marBottom w:val="0"/>
      <w:divBdr>
        <w:top w:val="none" w:sz="0" w:space="0" w:color="auto"/>
        <w:left w:val="none" w:sz="0" w:space="0" w:color="auto"/>
        <w:bottom w:val="none" w:sz="0" w:space="0" w:color="auto"/>
        <w:right w:val="none" w:sz="0" w:space="0" w:color="auto"/>
      </w:divBdr>
    </w:div>
    <w:div w:id="329605343">
      <w:bodyDiv w:val="1"/>
      <w:marLeft w:val="0"/>
      <w:marRight w:val="0"/>
      <w:marTop w:val="0"/>
      <w:marBottom w:val="0"/>
      <w:divBdr>
        <w:top w:val="none" w:sz="0" w:space="0" w:color="auto"/>
        <w:left w:val="none" w:sz="0" w:space="0" w:color="auto"/>
        <w:bottom w:val="none" w:sz="0" w:space="0" w:color="auto"/>
        <w:right w:val="none" w:sz="0" w:space="0" w:color="auto"/>
      </w:divBdr>
    </w:div>
    <w:div w:id="611471730">
      <w:bodyDiv w:val="1"/>
      <w:marLeft w:val="0"/>
      <w:marRight w:val="0"/>
      <w:marTop w:val="0"/>
      <w:marBottom w:val="0"/>
      <w:divBdr>
        <w:top w:val="none" w:sz="0" w:space="0" w:color="auto"/>
        <w:left w:val="none" w:sz="0" w:space="0" w:color="auto"/>
        <w:bottom w:val="none" w:sz="0" w:space="0" w:color="auto"/>
        <w:right w:val="none" w:sz="0" w:space="0" w:color="auto"/>
      </w:divBdr>
    </w:div>
    <w:div w:id="633489176">
      <w:bodyDiv w:val="1"/>
      <w:marLeft w:val="0"/>
      <w:marRight w:val="0"/>
      <w:marTop w:val="0"/>
      <w:marBottom w:val="0"/>
      <w:divBdr>
        <w:top w:val="none" w:sz="0" w:space="0" w:color="auto"/>
        <w:left w:val="none" w:sz="0" w:space="0" w:color="auto"/>
        <w:bottom w:val="none" w:sz="0" w:space="0" w:color="auto"/>
        <w:right w:val="none" w:sz="0" w:space="0" w:color="auto"/>
      </w:divBdr>
    </w:div>
    <w:div w:id="665209710">
      <w:bodyDiv w:val="1"/>
      <w:marLeft w:val="0"/>
      <w:marRight w:val="0"/>
      <w:marTop w:val="0"/>
      <w:marBottom w:val="0"/>
      <w:divBdr>
        <w:top w:val="none" w:sz="0" w:space="0" w:color="auto"/>
        <w:left w:val="none" w:sz="0" w:space="0" w:color="auto"/>
        <w:bottom w:val="none" w:sz="0" w:space="0" w:color="auto"/>
        <w:right w:val="none" w:sz="0" w:space="0" w:color="auto"/>
      </w:divBdr>
    </w:div>
    <w:div w:id="880551420">
      <w:bodyDiv w:val="1"/>
      <w:marLeft w:val="0"/>
      <w:marRight w:val="0"/>
      <w:marTop w:val="0"/>
      <w:marBottom w:val="0"/>
      <w:divBdr>
        <w:top w:val="none" w:sz="0" w:space="0" w:color="auto"/>
        <w:left w:val="none" w:sz="0" w:space="0" w:color="auto"/>
        <w:bottom w:val="none" w:sz="0" w:space="0" w:color="auto"/>
        <w:right w:val="none" w:sz="0" w:space="0" w:color="auto"/>
      </w:divBdr>
    </w:div>
    <w:div w:id="904805014">
      <w:bodyDiv w:val="1"/>
      <w:marLeft w:val="0"/>
      <w:marRight w:val="0"/>
      <w:marTop w:val="0"/>
      <w:marBottom w:val="0"/>
      <w:divBdr>
        <w:top w:val="none" w:sz="0" w:space="0" w:color="auto"/>
        <w:left w:val="none" w:sz="0" w:space="0" w:color="auto"/>
        <w:bottom w:val="none" w:sz="0" w:space="0" w:color="auto"/>
        <w:right w:val="none" w:sz="0" w:space="0" w:color="auto"/>
      </w:divBdr>
    </w:div>
    <w:div w:id="987855491">
      <w:bodyDiv w:val="1"/>
      <w:marLeft w:val="0"/>
      <w:marRight w:val="0"/>
      <w:marTop w:val="0"/>
      <w:marBottom w:val="0"/>
      <w:divBdr>
        <w:top w:val="none" w:sz="0" w:space="0" w:color="auto"/>
        <w:left w:val="none" w:sz="0" w:space="0" w:color="auto"/>
        <w:bottom w:val="none" w:sz="0" w:space="0" w:color="auto"/>
        <w:right w:val="none" w:sz="0" w:space="0" w:color="auto"/>
      </w:divBdr>
    </w:div>
    <w:div w:id="1241139794">
      <w:bodyDiv w:val="1"/>
      <w:marLeft w:val="0"/>
      <w:marRight w:val="0"/>
      <w:marTop w:val="0"/>
      <w:marBottom w:val="0"/>
      <w:divBdr>
        <w:top w:val="none" w:sz="0" w:space="0" w:color="auto"/>
        <w:left w:val="none" w:sz="0" w:space="0" w:color="auto"/>
        <w:bottom w:val="none" w:sz="0" w:space="0" w:color="auto"/>
        <w:right w:val="none" w:sz="0" w:space="0" w:color="auto"/>
      </w:divBdr>
    </w:div>
    <w:div w:id="16983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soe" TargetMode="External"/><Relationship Id="rId2" Type="http://schemas.openxmlformats.org/officeDocument/2006/relationships/hyperlink" Target="https://ec.europa.eu/research/eic/index.cfm?pg=hlg" TargetMode="External"/><Relationship Id="rId1" Type="http://schemas.openxmlformats.org/officeDocument/2006/relationships/hyperlink" Target="https://publications.europa.eu/en/publication-detail/-/publication/6de81abe-a71c-11e7-837e-01aa75ed71a1" TargetMode="External"/><Relationship Id="rId5" Type="http://schemas.openxmlformats.org/officeDocument/2006/relationships/hyperlink" Target="https://ec.europa.eu/education/sites/education/files/eit-hlg-final-report_en.pdf" TargetMode="External"/><Relationship Id="rId4" Type="http://schemas.openxmlformats.org/officeDocument/2006/relationships/hyperlink" Target="https://ec.europa.eu/research/ope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4ABD-8F5E-46A9-9B4C-C7C2D443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4396</Words>
  <Characters>28141</Characters>
  <Application>Microsoft Office Word</Application>
  <DocSecurity>0</DocSecurity>
  <PresentationFormat>Microsoft Word 14.0</PresentationFormat>
  <Lines>426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16</cp:revision>
  <cp:lastPrinted>2017-11-27T14:02:00Z</cp:lastPrinted>
  <dcterms:created xsi:type="dcterms:W3CDTF">2018-01-10T08:58:00Z</dcterms:created>
  <dcterms:modified xsi:type="dcterms:W3CDTF">2018-01-11T07:46:00Z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Kurt VANDENBERGHE</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