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2F9" w:rsidRDefault="00D44DDF">
      <w:pPr>
        <w:pStyle w:val="Pagedecouverture"/>
        <w:rPr>
          <w:noProof/>
        </w:rPr>
      </w:pPr>
      <w:bookmarkStart w:id="0" w:name="LW_BM_COVERPAGE"/>
      <w:bookmarkStart w:id="1"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4C21F207-678A-4F45-A633-33F4802C7604" style="width:450pt;height:333.4pt">
            <v:imagedata r:id="rId9" o:title=""/>
          </v:shape>
        </w:pict>
      </w:r>
      <w:bookmarkEnd w:id="1"/>
    </w:p>
    <w:bookmarkEnd w:id="0"/>
    <w:p w:rsidR="00C662F9" w:rsidRDefault="00C662F9">
      <w:pPr>
        <w:pStyle w:val="Pagedecouverture"/>
        <w:rPr>
          <w:noProof/>
        </w:rPr>
        <w:sectPr w:rsidR="00C662F9">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rsidR="00C662F9" w:rsidRDefault="00D44DDF">
      <w:pPr>
        <w:pStyle w:val="Heading1"/>
        <w:rPr>
          <w:rFonts w:cs="Times New Roman"/>
          <w:noProof/>
          <w:szCs w:val="24"/>
        </w:rPr>
      </w:pPr>
      <w:r>
        <w:rPr>
          <w:rFonts w:cs="Times New Roman"/>
          <w:noProof/>
          <w:szCs w:val="24"/>
        </w:rPr>
        <w:lastRenderedPageBreak/>
        <w:t>Introduction</w:t>
      </w:r>
    </w:p>
    <w:p w:rsidR="00C662F9" w:rsidRDefault="00D44DDF">
      <w:pPr>
        <w:jc w:val="both"/>
        <w:rPr>
          <w:rFonts w:cs="Times New Roman"/>
          <w:noProof/>
          <w:szCs w:val="24"/>
        </w:rPr>
      </w:pPr>
      <w:r>
        <w:rPr>
          <w:rFonts w:cs="Times New Roman"/>
          <w:noProof/>
          <w:szCs w:val="24"/>
        </w:rPr>
        <w:t xml:space="preserve">The transition to a </w:t>
      </w:r>
      <w:r>
        <w:rPr>
          <w:rFonts w:cs="Times New Roman"/>
          <w:b/>
          <w:noProof/>
          <w:szCs w:val="24"/>
        </w:rPr>
        <w:t>circular economy</w:t>
      </w:r>
      <w:r>
        <w:rPr>
          <w:rFonts w:cs="Times New Roman"/>
          <w:noProof/>
          <w:szCs w:val="24"/>
        </w:rPr>
        <w:t xml:space="preserve"> is a tremendous </w:t>
      </w:r>
      <w:r>
        <w:rPr>
          <w:rFonts w:cs="Times New Roman"/>
          <w:b/>
          <w:noProof/>
          <w:szCs w:val="24"/>
        </w:rPr>
        <w:t>opportunity</w:t>
      </w:r>
      <w:r>
        <w:rPr>
          <w:rFonts w:cs="Times New Roman"/>
          <w:noProof/>
          <w:szCs w:val="24"/>
        </w:rPr>
        <w:t xml:space="preserve"> to transform our economy and make it </w:t>
      </w:r>
      <w:r>
        <w:rPr>
          <w:rFonts w:cs="Times New Roman"/>
          <w:b/>
          <w:noProof/>
          <w:szCs w:val="24"/>
        </w:rPr>
        <w:t>more sustainable</w:t>
      </w:r>
      <w:r>
        <w:rPr>
          <w:rFonts w:cs="Times New Roman"/>
          <w:noProof/>
          <w:szCs w:val="24"/>
        </w:rPr>
        <w:t xml:space="preserve">, contribute to </w:t>
      </w:r>
      <w:r>
        <w:rPr>
          <w:rFonts w:cs="Times New Roman"/>
          <w:b/>
          <w:noProof/>
          <w:szCs w:val="24"/>
        </w:rPr>
        <w:t xml:space="preserve">climate goals </w:t>
      </w:r>
      <w:r>
        <w:rPr>
          <w:rFonts w:cs="Times New Roman"/>
          <w:noProof/>
          <w:szCs w:val="24"/>
        </w:rPr>
        <w:t xml:space="preserve">and the </w:t>
      </w:r>
      <w:r>
        <w:rPr>
          <w:rFonts w:cs="Times New Roman"/>
          <w:b/>
          <w:noProof/>
          <w:szCs w:val="24"/>
        </w:rPr>
        <w:t>preservation of the world’s resources</w:t>
      </w:r>
      <w:r>
        <w:rPr>
          <w:rFonts w:cs="Times New Roman"/>
          <w:noProof/>
          <w:szCs w:val="24"/>
        </w:rPr>
        <w:t xml:space="preserve">, create </w:t>
      </w:r>
      <w:r>
        <w:rPr>
          <w:rFonts w:cs="Times New Roman"/>
          <w:b/>
          <w:noProof/>
          <w:szCs w:val="24"/>
        </w:rPr>
        <w:t>local jobs</w:t>
      </w:r>
      <w:r>
        <w:rPr>
          <w:rFonts w:cs="Times New Roman"/>
          <w:noProof/>
          <w:szCs w:val="24"/>
        </w:rPr>
        <w:t xml:space="preserve"> and generate </w:t>
      </w:r>
      <w:r>
        <w:rPr>
          <w:rFonts w:cs="Times New Roman"/>
          <w:b/>
          <w:noProof/>
          <w:szCs w:val="24"/>
        </w:rPr>
        <w:t>competitive advantages</w:t>
      </w:r>
      <w:r>
        <w:rPr>
          <w:rFonts w:cs="Times New Roman"/>
          <w:noProof/>
          <w:szCs w:val="24"/>
        </w:rPr>
        <w:t xml:space="preserve"> for Europe in a world that is undergoing </w:t>
      </w:r>
      <w:r>
        <w:rPr>
          <w:rFonts w:cs="Times New Roman"/>
          <w:b/>
          <w:noProof/>
          <w:szCs w:val="24"/>
        </w:rPr>
        <w:t>profound changes</w:t>
      </w:r>
      <w:r>
        <w:rPr>
          <w:rFonts w:cs="Times New Roman"/>
          <w:noProof/>
          <w:szCs w:val="24"/>
        </w:rPr>
        <w:t>. The importance of the circular economy to European industry was recently highlight</w:t>
      </w:r>
      <w:r>
        <w:rPr>
          <w:rFonts w:cs="Times New Roman"/>
          <w:noProof/>
          <w:szCs w:val="24"/>
        </w:rPr>
        <w:t>ed in the renewed EU industrial policy strategy</w:t>
      </w:r>
      <w:r>
        <w:rPr>
          <w:rStyle w:val="FootnoteReference"/>
          <w:rFonts w:cs="Times New Roman"/>
          <w:noProof/>
          <w:szCs w:val="24"/>
        </w:rPr>
        <w:footnoteReference w:id="1"/>
      </w:r>
      <w:r>
        <w:rPr>
          <w:rFonts w:cs="Times New Roman"/>
          <w:noProof/>
          <w:szCs w:val="24"/>
        </w:rPr>
        <w:t>. The transition to a circular economy will also help to meet the objectives of the 2030 Agenda for Sustainable Development</w:t>
      </w:r>
      <w:r>
        <w:rPr>
          <w:rStyle w:val="FootnoteReference"/>
          <w:rFonts w:cs="Times New Roman"/>
          <w:noProof/>
          <w:szCs w:val="24"/>
        </w:rPr>
        <w:footnoteReference w:id="2"/>
      </w:r>
      <w:r>
        <w:rPr>
          <w:rFonts w:cs="Times New Roman"/>
          <w:noProof/>
          <w:szCs w:val="24"/>
        </w:rPr>
        <w:t>.</w:t>
      </w:r>
    </w:p>
    <w:p w:rsidR="00C662F9" w:rsidRDefault="00D44DDF">
      <w:pPr>
        <w:jc w:val="both"/>
        <w:rPr>
          <w:rFonts w:cs="Times New Roman"/>
          <w:noProof/>
          <w:szCs w:val="24"/>
        </w:rPr>
      </w:pPr>
      <w:r>
        <w:rPr>
          <w:rFonts w:cs="Times New Roman"/>
          <w:noProof/>
          <w:szCs w:val="24"/>
        </w:rPr>
        <w:t>In the circular economy action plan</w:t>
      </w:r>
      <w:r>
        <w:rPr>
          <w:rStyle w:val="FootnoteReference"/>
          <w:rFonts w:cs="Times New Roman"/>
          <w:noProof/>
          <w:szCs w:val="24"/>
        </w:rPr>
        <w:footnoteReference w:id="3"/>
      </w:r>
      <w:r>
        <w:rPr>
          <w:rFonts w:cs="Times New Roman"/>
          <w:noProof/>
          <w:szCs w:val="24"/>
        </w:rPr>
        <w:t>, a circular economy is explained as an econom</w:t>
      </w:r>
      <w:r>
        <w:rPr>
          <w:rFonts w:cs="Times New Roman"/>
          <w:noProof/>
          <w:szCs w:val="24"/>
        </w:rPr>
        <w:t>y ‘</w:t>
      </w:r>
      <w:r>
        <w:rPr>
          <w:rFonts w:cs="Times New Roman"/>
          <w:i/>
          <w:noProof/>
          <w:szCs w:val="24"/>
        </w:rPr>
        <w:t>where the value of products, materials and resources is maintained in the economy for as long as possible, and the generation of waste minimised’</w:t>
      </w:r>
      <w:r>
        <w:rPr>
          <w:rFonts w:cs="Times New Roman"/>
          <w:noProof/>
          <w:szCs w:val="24"/>
        </w:rPr>
        <w:t>.</w:t>
      </w:r>
    </w:p>
    <w:p w:rsidR="00C662F9" w:rsidRDefault="00D44DDF">
      <w:pPr>
        <w:jc w:val="both"/>
        <w:rPr>
          <w:rFonts w:cs="Times New Roman"/>
          <w:noProof/>
          <w:szCs w:val="24"/>
        </w:rPr>
      </w:pPr>
      <w:r>
        <w:rPr>
          <w:rFonts w:cs="Times New Roman"/>
          <w:noProof/>
          <w:szCs w:val="24"/>
        </w:rPr>
        <w:t xml:space="preserve">In the transition to a more circular economy, monitoring the key trends and patterns is key to </w:t>
      </w:r>
      <w:r>
        <w:rPr>
          <w:rFonts w:cs="Times New Roman"/>
          <w:b/>
          <w:noProof/>
          <w:szCs w:val="24"/>
        </w:rPr>
        <w:t>understand</w:t>
      </w:r>
      <w:r>
        <w:rPr>
          <w:rFonts w:cs="Times New Roman"/>
          <w:noProof/>
          <w:szCs w:val="24"/>
        </w:rPr>
        <w:t xml:space="preserve"> </w:t>
      </w:r>
      <w:r>
        <w:rPr>
          <w:rFonts w:cs="Times New Roman"/>
          <w:noProof/>
          <w:szCs w:val="24"/>
        </w:rPr>
        <w:t xml:space="preserve">how the various elements of the circular economy are developing over time, to help </w:t>
      </w:r>
      <w:r>
        <w:rPr>
          <w:rFonts w:cs="Times New Roman"/>
          <w:b/>
          <w:noProof/>
          <w:szCs w:val="24"/>
        </w:rPr>
        <w:t>identify success factors</w:t>
      </w:r>
      <w:r>
        <w:rPr>
          <w:rFonts w:cs="Times New Roman"/>
          <w:noProof/>
          <w:szCs w:val="24"/>
        </w:rPr>
        <w:t xml:space="preserve"> in Member States and to </w:t>
      </w:r>
      <w:r>
        <w:rPr>
          <w:rFonts w:cs="Times New Roman"/>
          <w:b/>
          <w:noProof/>
          <w:szCs w:val="24"/>
        </w:rPr>
        <w:t>assess</w:t>
      </w:r>
      <w:r>
        <w:rPr>
          <w:rFonts w:cs="Times New Roman"/>
          <w:noProof/>
          <w:szCs w:val="24"/>
        </w:rPr>
        <w:t xml:space="preserve"> whether sufficient action has been taken. The results of monitoring should form the basis for </w:t>
      </w:r>
      <w:r>
        <w:rPr>
          <w:rFonts w:cs="Times New Roman"/>
          <w:b/>
          <w:noProof/>
          <w:szCs w:val="24"/>
        </w:rPr>
        <w:t xml:space="preserve">setting new priorities </w:t>
      </w:r>
      <w:r>
        <w:rPr>
          <w:rFonts w:cs="Times New Roman"/>
          <w:b/>
          <w:noProof/>
          <w:szCs w:val="24"/>
        </w:rPr>
        <w:t>towards the long-term objective of a circular economy</w:t>
      </w:r>
      <w:r>
        <w:rPr>
          <w:rFonts w:cs="Times New Roman"/>
          <w:noProof/>
          <w:szCs w:val="24"/>
        </w:rPr>
        <w:t xml:space="preserve">. They are not just relevant to policy makers, but should inspire all and drive new actions. </w:t>
      </w:r>
    </w:p>
    <w:p w:rsidR="00C662F9" w:rsidRDefault="00D44DDF">
      <w:pPr>
        <w:jc w:val="both"/>
        <w:rPr>
          <w:rFonts w:cs="Times New Roman"/>
          <w:noProof/>
          <w:szCs w:val="24"/>
        </w:rPr>
      </w:pPr>
      <w:r>
        <w:rPr>
          <w:rFonts w:cs="Times New Roman"/>
          <w:noProof/>
          <w:szCs w:val="24"/>
        </w:rPr>
        <w:t xml:space="preserve">This is why the Commission, in the circular economy action plan, committed to come forward with a simple and </w:t>
      </w:r>
      <w:r>
        <w:rPr>
          <w:rFonts w:cs="Times New Roman"/>
          <w:noProof/>
          <w:szCs w:val="24"/>
        </w:rPr>
        <w:t>effective monitoring framework.  This has been echoed by the Council of the EU, in its conclusions on the circular economy action plan</w:t>
      </w:r>
      <w:r>
        <w:rPr>
          <w:rStyle w:val="FootnoteReference"/>
          <w:rFonts w:cs="Times New Roman"/>
          <w:noProof/>
          <w:szCs w:val="24"/>
        </w:rPr>
        <w:footnoteReference w:id="4"/>
      </w:r>
      <w:r>
        <w:rPr>
          <w:rFonts w:cs="Times New Roman"/>
          <w:noProof/>
          <w:szCs w:val="24"/>
        </w:rPr>
        <w:t>, where it stressed ‘</w:t>
      </w:r>
      <w:r>
        <w:rPr>
          <w:rFonts w:cs="Times New Roman"/>
          <w:i/>
          <w:noProof/>
          <w:szCs w:val="24"/>
        </w:rPr>
        <w:t xml:space="preserve">the need for a monitoring framework to strengthen and assess the progress towards circular economy, </w:t>
      </w:r>
      <w:r>
        <w:rPr>
          <w:rFonts w:cs="Times New Roman"/>
          <w:i/>
          <w:noProof/>
          <w:szCs w:val="24"/>
        </w:rPr>
        <w:t>while minimising the administrative burden</w:t>
      </w:r>
      <w:r>
        <w:rPr>
          <w:rFonts w:cs="Times New Roman"/>
          <w:noProof/>
          <w:szCs w:val="24"/>
        </w:rPr>
        <w:t>’. Also, the European Parliament has called upon the Commission to develop indicators on resource efficiency to track progress towards the circular economy.</w:t>
      </w:r>
      <w:r>
        <w:rPr>
          <w:rStyle w:val="FootnoteReference"/>
          <w:rFonts w:cs="Times New Roman"/>
          <w:noProof/>
          <w:szCs w:val="24"/>
        </w:rPr>
        <w:footnoteReference w:id="5"/>
      </w:r>
    </w:p>
    <w:p w:rsidR="00C662F9" w:rsidRDefault="00D44DDF">
      <w:pPr>
        <w:jc w:val="both"/>
        <w:rPr>
          <w:rFonts w:cs="Times New Roman"/>
          <w:noProof/>
          <w:szCs w:val="24"/>
        </w:rPr>
      </w:pPr>
      <w:r>
        <w:rPr>
          <w:rFonts w:cs="Times New Roman"/>
          <w:noProof/>
          <w:szCs w:val="24"/>
        </w:rPr>
        <w:t>This Communication implements this commitment by putting</w:t>
      </w:r>
      <w:r>
        <w:rPr>
          <w:rFonts w:cs="Times New Roman"/>
          <w:noProof/>
          <w:szCs w:val="24"/>
        </w:rPr>
        <w:t xml:space="preserve"> forward a monitoring framework composed of a set of key, meaningful indicators which capture the main elements of the circular economy. </w:t>
      </w:r>
    </w:p>
    <w:p w:rsidR="00C662F9" w:rsidRDefault="00D44DDF">
      <w:pPr>
        <w:jc w:val="both"/>
        <w:rPr>
          <w:rFonts w:cs="Times New Roman"/>
          <w:noProof/>
          <w:szCs w:val="24"/>
        </w:rPr>
      </w:pPr>
      <w:r>
        <w:rPr>
          <w:rFonts w:cs="Times New Roman"/>
          <w:noProof/>
          <w:szCs w:val="24"/>
        </w:rPr>
        <w:t>The circular economy monitoring framework draws upon and complements the existing Resource Efficiency Scoreboard</w:t>
      </w:r>
      <w:r>
        <w:rPr>
          <w:rStyle w:val="FootnoteReference"/>
          <w:rFonts w:cs="Times New Roman"/>
          <w:noProof/>
          <w:szCs w:val="24"/>
        </w:rPr>
        <w:footnoteReference w:id="6"/>
      </w:r>
      <w:r>
        <w:rPr>
          <w:rFonts w:cs="Times New Roman"/>
          <w:noProof/>
          <w:szCs w:val="24"/>
        </w:rPr>
        <w:t xml:space="preserve"> and Raw Materials Scoreboard</w:t>
      </w:r>
      <w:r>
        <w:rPr>
          <w:rStyle w:val="FootnoteReference"/>
          <w:rFonts w:cs="Times New Roman"/>
          <w:noProof/>
          <w:szCs w:val="24"/>
        </w:rPr>
        <w:footnoteReference w:id="7"/>
      </w:r>
      <w:r>
        <w:rPr>
          <w:rFonts w:cs="Times New Roman"/>
          <w:noProof/>
          <w:szCs w:val="24"/>
        </w:rPr>
        <w:t xml:space="preserve">, which were developed in recent years by the Commission. The framework is presented on a </w:t>
      </w:r>
      <w:r>
        <w:rPr>
          <w:rFonts w:cs="Times New Roman"/>
          <w:b/>
          <w:noProof/>
          <w:szCs w:val="24"/>
        </w:rPr>
        <w:t>website</w:t>
      </w:r>
      <w:r>
        <w:rPr>
          <w:rStyle w:val="FootnoteReference"/>
          <w:rFonts w:cs="Times New Roman"/>
          <w:noProof/>
          <w:szCs w:val="24"/>
        </w:rPr>
        <w:footnoteReference w:id="8"/>
      </w:r>
      <w:r>
        <w:rPr>
          <w:rFonts w:cs="Times New Roman"/>
          <w:noProof/>
          <w:szCs w:val="24"/>
        </w:rPr>
        <w:t xml:space="preserve"> where all the indicators are available and will be kept up to date.</w:t>
      </w:r>
    </w:p>
    <w:p w:rsidR="00C662F9" w:rsidRDefault="00D44DDF">
      <w:pPr>
        <w:pStyle w:val="Heading1"/>
        <w:rPr>
          <w:rFonts w:cs="Times New Roman"/>
          <w:noProof/>
          <w:szCs w:val="24"/>
        </w:rPr>
      </w:pPr>
      <w:r>
        <w:rPr>
          <w:rFonts w:cs="Times New Roman"/>
          <w:noProof/>
          <w:szCs w:val="24"/>
        </w:rPr>
        <w:lastRenderedPageBreak/>
        <w:t>Monitoring progress towards a circular economy</w:t>
      </w:r>
    </w:p>
    <w:p w:rsidR="00C662F9" w:rsidRDefault="00D44DDF">
      <w:pPr>
        <w:jc w:val="both"/>
        <w:rPr>
          <w:rFonts w:cs="Times New Roman"/>
          <w:noProof/>
          <w:szCs w:val="24"/>
        </w:rPr>
      </w:pPr>
      <w:r>
        <w:rPr>
          <w:rFonts w:cs="Times New Roman"/>
          <w:b/>
          <w:noProof/>
          <w:szCs w:val="24"/>
        </w:rPr>
        <w:t>Monitoring p</w:t>
      </w:r>
      <w:r>
        <w:rPr>
          <w:rFonts w:cs="Times New Roman"/>
          <w:b/>
          <w:noProof/>
          <w:szCs w:val="24"/>
        </w:rPr>
        <w:t>rogress towards a circular economy is a challenging task</w:t>
      </w:r>
      <w:r>
        <w:rPr>
          <w:rFonts w:cs="Times New Roman"/>
          <w:noProof/>
          <w:szCs w:val="24"/>
        </w:rPr>
        <w:t>. The transition towards a circular economy is not limited to certain materials or sectors. It is a systemic change that affects the entire economy and involves all products and services. Ideally, ind</w:t>
      </w:r>
      <w:r>
        <w:rPr>
          <w:rFonts w:cs="Times New Roman"/>
          <w:noProof/>
          <w:szCs w:val="24"/>
        </w:rPr>
        <w:t>icators should primarily capture trends in preserving the economic value of products, materials and resources as well as trends in waste generation.</w:t>
      </w:r>
    </w:p>
    <w:p w:rsidR="00C662F9" w:rsidRDefault="00D44DDF">
      <w:pPr>
        <w:jc w:val="both"/>
        <w:rPr>
          <w:rFonts w:cs="Times New Roman"/>
          <w:noProof/>
          <w:szCs w:val="24"/>
        </w:rPr>
      </w:pPr>
      <w:r>
        <w:rPr>
          <w:rFonts w:cs="Times New Roman"/>
          <w:noProof/>
          <w:szCs w:val="24"/>
        </w:rPr>
        <w:t xml:space="preserve">Just as there is no one universally recognised indicator of ‘circularity’, robust off-the-shelf indicators </w:t>
      </w:r>
      <w:r>
        <w:rPr>
          <w:rFonts w:cs="Times New Roman"/>
          <w:noProof/>
          <w:szCs w:val="24"/>
        </w:rPr>
        <w:t xml:space="preserve">to describe the most relevant trends are in short supply. With a single measure, or score, it would not be possible to appropriately capture the complexity and the many dimensions of the transition to a circular economy. For this reason, a set of relevant </w:t>
      </w:r>
      <w:r>
        <w:rPr>
          <w:rFonts w:cs="Times New Roman"/>
          <w:noProof/>
          <w:szCs w:val="24"/>
        </w:rPr>
        <w:t>indicators</w:t>
      </w:r>
      <w:r>
        <w:rPr>
          <w:noProof/>
        </w:rPr>
        <w:t xml:space="preserve"> </w:t>
      </w:r>
      <w:r>
        <w:rPr>
          <w:rFonts w:cs="Times New Roman"/>
          <w:noProof/>
          <w:szCs w:val="24"/>
        </w:rPr>
        <w:t>will be used for this monitoring framework.</w:t>
      </w:r>
    </w:p>
    <w:p w:rsidR="00C662F9" w:rsidRDefault="00D44DDF">
      <w:pPr>
        <w:jc w:val="both"/>
        <w:rPr>
          <w:rFonts w:cs="Times New Roman"/>
          <w:noProof/>
          <w:szCs w:val="24"/>
        </w:rPr>
      </w:pPr>
      <w:r>
        <w:rPr>
          <w:noProof/>
          <w:lang w:eastAsia="en-GB"/>
        </w:rPr>
        <w:drawing>
          <wp:anchor distT="0" distB="0" distL="114300" distR="114300" simplePos="0" relativeHeight="251658240" behindDoc="0" locked="0" layoutInCell="1" allowOverlap="1">
            <wp:simplePos x="0" y="0"/>
            <wp:positionH relativeFrom="column">
              <wp:posOffset>-5080</wp:posOffset>
            </wp:positionH>
            <wp:positionV relativeFrom="paragraph">
              <wp:posOffset>1016635</wp:posOffset>
            </wp:positionV>
            <wp:extent cx="5760720" cy="4320540"/>
            <wp:effectExtent l="19050" t="19050" r="11430" b="228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keys-1 high resolu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cs="Times New Roman"/>
          <w:noProof/>
          <w:szCs w:val="24"/>
        </w:rPr>
        <w:t xml:space="preserve">One way of looking at the circular economy is to see how materials enter, flow within and (eventually) leave the economy. Such a visual overview can be provided by a material flows diagram, which </w:t>
      </w:r>
      <w:r>
        <w:rPr>
          <w:rFonts w:cs="Times New Roman"/>
          <w:noProof/>
          <w:szCs w:val="24"/>
        </w:rPr>
        <w:t>shows all raw materials — aggregated as well as grouped by categories of materials — throughout the economy, from their extraction until they become waste.</w:t>
      </w:r>
    </w:p>
    <w:p w:rsidR="00C662F9" w:rsidRDefault="00D44DDF">
      <w:pPr>
        <w:pStyle w:val="Figurecaption"/>
        <w:spacing w:after="240"/>
        <w:rPr>
          <w:rFonts w:cs="Times New Roman"/>
          <w:i/>
          <w:noProof/>
          <w:sz w:val="24"/>
          <w:szCs w:val="24"/>
        </w:rPr>
      </w:pPr>
      <w:r>
        <w:rPr>
          <w:rFonts w:cs="Times New Roman"/>
          <w:i/>
          <w:noProof/>
          <w:sz w:val="24"/>
          <w:szCs w:val="24"/>
        </w:rPr>
        <w:t>Figure 1: Material flows in the economy (EU-28, 2014)</w:t>
      </w:r>
      <w:r>
        <w:rPr>
          <w:rStyle w:val="FootnoteReference"/>
          <w:i/>
          <w:noProof/>
        </w:rPr>
        <w:footnoteReference w:id="9"/>
      </w:r>
      <w:r>
        <w:rPr>
          <w:rFonts w:cs="Times New Roman"/>
          <w:i/>
          <w:noProof/>
          <w:sz w:val="24"/>
          <w:szCs w:val="24"/>
          <w:vertAlign w:val="superscript"/>
        </w:rPr>
        <w:t xml:space="preserve">, </w:t>
      </w:r>
      <w:r>
        <w:rPr>
          <w:rStyle w:val="FootnoteReference"/>
          <w:rFonts w:cs="Times New Roman"/>
          <w:i/>
          <w:noProof/>
        </w:rPr>
        <w:footnoteReference w:id="10"/>
      </w:r>
    </w:p>
    <w:p w:rsidR="00C662F9" w:rsidRDefault="00D44DDF">
      <w:pPr>
        <w:jc w:val="both"/>
        <w:rPr>
          <w:rFonts w:cs="Times New Roman"/>
          <w:noProof/>
          <w:szCs w:val="24"/>
        </w:rPr>
      </w:pPr>
      <w:r>
        <w:rPr>
          <w:rFonts w:cs="Times New Roman"/>
          <w:b/>
          <w:noProof/>
          <w:szCs w:val="24"/>
        </w:rPr>
        <w:lastRenderedPageBreak/>
        <w:t xml:space="preserve">Figure 1 presents an overview of material </w:t>
      </w:r>
      <w:r>
        <w:rPr>
          <w:rFonts w:cs="Times New Roman"/>
          <w:b/>
          <w:noProof/>
          <w:szCs w:val="24"/>
        </w:rPr>
        <w:t>flows in the EU in 2014</w:t>
      </w:r>
      <w:r>
        <w:rPr>
          <w:rFonts w:cs="Times New Roman"/>
          <w:noProof/>
          <w:szCs w:val="24"/>
        </w:rPr>
        <w:t>. The input-side on the left shows that 8 billion tonnes of materials are processed into energy or products annually in the EU. Only 0.6 billion tonnes originate from recycling. On the output-side, it shows that out of the 2.2 billio</w:t>
      </w:r>
      <w:r>
        <w:rPr>
          <w:rFonts w:cs="Times New Roman"/>
          <w:noProof/>
          <w:szCs w:val="24"/>
        </w:rPr>
        <w:t xml:space="preserve">n tonnes of waste that are generated only 0.6 billion tonnes re-enter the system as recycled materials. The rest of the materials, equivalent to 1.5 billion tonnes, is waste. These aspects point to a </w:t>
      </w:r>
      <w:r>
        <w:rPr>
          <w:rFonts w:cs="Times New Roman"/>
          <w:b/>
          <w:noProof/>
          <w:szCs w:val="24"/>
        </w:rPr>
        <w:t>significant potential for improvement</w:t>
      </w:r>
      <w:r>
        <w:rPr>
          <w:rFonts w:cs="Times New Roman"/>
          <w:noProof/>
          <w:szCs w:val="24"/>
        </w:rPr>
        <w:t xml:space="preserve"> in particular by i</w:t>
      </w:r>
      <w:r>
        <w:rPr>
          <w:rFonts w:cs="Times New Roman"/>
          <w:noProof/>
          <w:szCs w:val="24"/>
        </w:rPr>
        <w:t>ncreasing the share of materials recycled as secondary raw materials and decreasing the production of waste.</w:t>
      </w:r>
    </w:p>
    <w:p w:rsidR="00C662F9" w:rsidRDefault="00D44DDF">
      <w:pPr>
        <w:jc w:val="both"/>
        <w:rPr>
          <w:rFonts w:cs="Times New Roman"/>
          <w:noProof/>
          <w:szCs w:val="24"/>
        </w:rPr>
      </w:pPr>
      <w:r>
        <w:rPr>
          <w:rFonts w:cs="Times New Roman"/>
          <w:noProof/>
          <w:szCs w:val="24"/>
        </w:rPr>
        <w:t>The monitoring framework aims at measuring progress towards a circular economy in a way that encompasses its various dimensions at all stages of th</w:t>
      </w:r>
      <w:r>
        <w:rPr>
          <w:rFonts w:cs="Times New Roman"/>
          <w:noProof/>
          <w:szCs w:val="24"/>
        </w:rPr>
        <w:t xml:space="preserve">e lifecycle of resources, products and services. This is why the monitoring framework has a set of </w:t>
      </w:r>
      <w:r>
        <w:rPr>
          <w:rFonts w:cs="Times New Roman"/>
          <w:b/>
          <w:noProof/>
          <w:szCs w:val="24"/>
        </w:rPr>
        <w:t>ten indicators</w:t>
      </w:r>
      <w:r>
        <w:rPr>
          <w:rFonts w:cs="Times New Roman"/>
          <w:noProof/>
          <w:szCs w:val="24"/>
        </w:rPr>
        <w:t xml:space="preserve"> (see Table 1) grouped into </w:t>
      </w:r>
      <w:r>
        <w:rPr>
          <w:rFonts w:cs="Times New Roman"/>
          <w:b/>
          <w:noProof/>
          <w:szCs w:val="24"/>
        </w:rPr>
        <w:t>four stages and aspects of the circular economy:</w:t>
      </w:r>
      <w:r>
        <w:rPr>
          <w:rFonts w:cs="Times New Roman"/>
          <w:noProof/>
          <w:szCs w:val="24"/>
        </w:rPr>
        <w:t xml:space="preserve"> (1) production and consumption, (2) waste management, (3) secondar</w:t>
      </w:r>
      <w:r>
        <w:rPr>
          <w:rFonts w:cs="Times New Roman"/>
          <w:noProof/>
          <w:szCs w:val="24"/>
        </w:rPr>
        <w:t>y raw materials and (4) competitiveness and innovation. This broadly follows the logic and structure of the circular economy action plan.</w:t>
      </w:r>
    </w:p>
    <w:p w:rsidR="00C662F9" w:rsidRDefault="00D44DDF">
      <w:pPr>
        <w:rPr>
          <w:rFonts w:cs="Times New Roman"/>
          <w:noProof/>
          <w:szCs w:val="24"/>
        </w:rPr>
      </w:pPr>
      <w:r>
        <w:rPr>
          <w:rFonts w:cs="Times New Roman"/>
          <w:noProof/>
          <w:szCs w:val="24"/>
          <w:lang w:eastAsia="en-GB"/>
        </w:rPr>
        <w:drawing>
          <wp:inline distT="0" distB="0" distL="0" distR="0">
            <wp:extent cx="5760720" cy="3988371"/>
            <wp:effectExtent l="19050" t="19050" r="11430" b="12700"/>
            <wp:docPr id="2" name="Picture 2" descr="U:\Common\RAW MATERIALS\10. RESOURCE EFFICIENCY &amp; RECYCLING\Circular economy\Monitoring\COM\Graphics\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ommon\RAW MATERIALS\10. RESOURCE EFFICIENCY &amp; RECYCLING\Circular economy\Monitoring\COM\Graphics\figure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988371"/>
                    </a:xfrm>
                    <a:prstGeom prst="rect">
                      <a:avLst/>
                    </a:prstGeom>
                    <a:noFill/>
                    <a:ln>
                      <a:solidFill>
                        <a:schemeClr val="accent1"/>
                      </a:solidFill>
                    </a:ln>
                  </pic:spPr>
                </pic:pic>
              </a:graphicData>
            </a:graphic>
          </wp:inline>
        </w:drawing>
      </w:r>
      <w:r>
        <w:rPr>
          <w:rFonts w:cs="Times New Roman"/>
          <w:noProof/>
          <w:szCs w:val="24"/>
        </w:rPr>
        <w:br w:type="page"/>
      </w:r>
    </w:p>
    <w:tbl>
      <w:tblPr>
        <w:tblStyle w:val="TableGrid"/>
        <w:tblW w:w="9180" w:type="dxa"/>
        <w:tblLook w:val="04A0" w:firstRow="1" w:lastRow="0" w:firstColumn="1" w:lastColumn="0" w:noHBand="0" w:noVBand="1"/>
      </w:tblPr>
      <w:tblGrid>
        <w:gridCol w:w="591"/>
        <w:gridCol w:w="1995"/>
        <w:gridCol w:w="3297"/>
        <w:gridCol w:w="3297"/>
      </w:tblGrid>
      <w:tr w:rsidR="00C662F9">
        <w:trPr>
          <w:cantSplit/>
        </w:trPr>
        <w:tc>
          <w:tcPr>
            <w:tcW w:w="591" w:type="dxa"/>
            <w:shd w:val="clear" w:color="auto" w:fill="C4BC96" w:themeFill="background2" w:themeFillShade="BF"/>
          </w:tcPr>
          <w:p w:rsidR="00C662F9" w:rsidRDefault="00D44DDF">
            <w:pPr>
              <w:pStyle w:val="Body"/>
              <w:spacing w:before="40" w:after="40"/>
              <w:rPr>
                <w:rFonts w:ascii="EC Square Sans Cond Pro" w:hAnsi="EC Square Sans Cond Pro" w:cs="Times New Roman"/>
                <w:b/>
                <w:noProof/>
                <w:sz w:val="22"/>
                <w:szCs w:val="24"/>
              </w:rPr>
            </w:pPr>
            <w:r>
              <w:rPr>
                <w:rFonts w:ascii="EC Square Sans Cond Pro" w:hAnsi="EC Square Sans Cond Pro" w:cs="Times New Roman"/>
                <w:b/>
                <w:noProof/>
                <w:sz w:val="22"/>
                <w:szCs w:val="24"/>
              </w:rPr>
              <w:lastRenderedPageBreak/>
              <w:t xml:space="preserve">No </w:t>
            </w:r>
          </w:p>
        </w:tc>
        <w:tc>
          <w:tcPr>
            <w:tcW w:w="1995" w:type="dxa"/>
            <w:shd w:val="clear" w:color="auto" w:fill="C4BC96" w:themeFill="background2" w:themeFillShade="BF"/>
          </w:tcPr>
          <w:p w:rsidR="00C662F9" w:rsidRDefault="00D44DDF">
            <w:pPr>
              <w:pStyle w:val="Body"/>
              <w:spacing w:before="40" w:after="40"/>
              <w:jc w:val="left"/>
              <w:rPr>
                <w:rFonts w:ascii="EC Square Sans Cond Pro" w:hAnsi="EC Square Sans Cond Pro" w:cs="Times New Roman"/>
                <w:b/>
                <w:noProof/>
                <w:sz w:val="22"/>
                <w:szCs w:val="24"/>
              </w:rPr>
            </w:pPr>
            <w:r>
              <w:rPr>
                <w:rFonts w:ascii="EC Square Sans Cond Pro" w:hAnsi="EC Square Sans Cond Pro" w:cs="Times New Roman"/>
                <w:b/>
                <w:noProof/>
                <w:sz w:val="22"/>
                <w:szCs w:val="24"/>
              </w:rPr>
              <w:t>Name</w:t>
            </w:r>
          </w:p>
        </w:tc>
        <w:tc>
          <w:tcPr>
            <w:tcW w:w="3297" w:type="dxa"/>
            <w:shd w:val="clear" w:color="auto" w:fill="C4BC96" w:themeFill="background2" w:themeFillShade="BF"/>
          </w:tcPr>
          <w:p w:rsidR="00C662F9" w:rsidRDefault="00D44DDF">
            <w:pPr>
              <w:pStyle w:val="Body"/>
              <w:spacing w:before="40" w:after="40"/>
              <w:jc w:val="left"/>
              <w:rPr>
                <w:rFonts w:ascii="EC Square Sans Cond Pro" w:hAnsi="EC Square Sans Cond Pro" w:cs="Times New Roman"/>
                <w:b/>
                <w:noProof/>
                <w:sz w:val="22"/>
                <w:szCs w:val="24"/>
              </w:rPr>
            </w:pPr>
            <w:r>
              <w:rPr>
                <w:rFonts w:ascii="EC Square Sans Cond Pro" w:hAnsi="EC Square Sans Cond Pro" w:cs="Times New Roman"/>
                <w:b/>
                <w:noProof/>
                <w:sz w:val="22"/>
                <w:szCs w:val="24"/>
              </w:rPr>
              <w:t>Relevance</w:t>
            </w:r>
          </w:p>
        </w:tc>
        <w:tc>
          <w:tcPr>
            <w:tcW w:w="3297" w:type="dxa"/>
            <w:shd w:val="clear" w:color="auto" w:fill="C4BC96" w:themeFill="background2" w:themeFillShade="BF"/>
          </w:tcPr>
          <w:p w:rsidR="00C662F9" w:rsidRDefault="00D44DDF">
            <w:pPr>
              <w:pStyle w:val="Body"/>
              <w:spacing w:before="40" w:after="40"/>
              <w:jc w:val="left"/>
              <w:rPr>
                <w:rFonts w:ascii="EC Square Sans Cond Pro" w:hAnsi="EC Square Sans Cond Pro" w:cs="Times New Roman"/>
                <w:b/>
                <w:noProof/>
                <w:sz w:val="22"/>
                <w:szCs w:val="24"/>
              </w:rPr>
            </w:pPr>
            <w:r>
              <w:rPr>
                <w:rFonts w:ascii="EC Square Sans Cond Pro" w:hAnsi="EC Square Sans Cond Pro" w:cs="Times New Roman"/>
                <w:b/>
                <w:noProof/>
                <w:sz w:val="22"/>
                <w:szCs w:val="24"/>
              </w:rPr>
              <w:t>EU levers (examples)</w:t>
            </w:r>
          </w:p>
        </w:tc>
      </w:tr>
      <w:tr w:rsidR="00C662F9">
        <w:trPr>
          <w:cantSplit/>
        </w:trPr>
        <w:tc>
          <w:tcPr>
            <w:tcW w:w="9180" w:type="dxa"/>
            <w:gridSpan w:val="4"/>
            <w:shd w:val="clear" w:color="auto" w:fill="EEECE1" w:themeFill="background2"/>
          </w:tcPr>
          <w:p w:rsidR="00C662F9" w:rsidRDefault="00D44DDF">
            <w:pPr>
              <w:pStyle w:val="Body"/>
              <w:spacing w:before="40" w:after="40"/>
              <w:jc w:val="left"/>
              <w:rPr>
                <w:rFonts w:ascii="EC Square Sans Cond Pro" w:hAnsi="EC Square Sans Cond Pro" w:cs="Times New Roman"/>
                <w:b/>
                <w:noProof/>
                <w:sz w:val="22"/>
                <w:szCs w:val="24"/>
              </w:rPr>
            </w:pPr>
            <w:r>
              <w:rPr>
                <w:rFonts w:ascii="EC Square Sans Cond Pro" w:hAnsi="EC Square Sans Cond Pro" w:cs="Times New Roman"/>
                <w:b/>
                <w:noProof/>
                <w:sz w:val="22"/>
                <w:szCs w:val="24"/>
              </w:rPr>
              <w:t>Production and consumption</w:t>
            </w:r>
          </w:p>
        </w:tc>
      </w:tr>
      <w:tr w:rsidR="00C662F9">
        <w:trPr>
          <w:cantSplit/>
        </w:trPr>
        <w:tc>
          <w:tcPr>
            <w:tcW w:w="591" w:type="dxa"/>
          </w:tcPr>
          <w:p w:rsidR="00C662F9" w:rsidRDefault="00D44DDF">
            <w:pPr>
              <w:pStyle w:val="Body"/>
              <w:spacing w:before="40" w:after="40"/>
              <w:rPr>
                <w:rFonts w:ascii="EC Square Sans Cond Pro" w:hAnsi="EC Square Sans Cond Pro" w:cs="Times New Roman"/>
                <w:noProof/>
                <w:sz w:val="22"/>
                <w:szCs w:val="24"/>
              </w:rPr>
            </w:pPr>
            <w:r>
              <w:rPr>
                <w:rFonts w:ascii="EC Square Sans Cond Pro" w:hAnsi="EC Square Sans Cond Pro" w:cs="Times New Roman"/>
                <w:noProof/>
                <w:sz w:val="22"/>
                <w:szCs w:val="24"/>
              </w:rPr>
              <w:t>1</w:t>
            </w:r>
          </w:p>
        </w:tc>
        <w:tc>
          <w:tcPr>
            <w:tcW w:w="1995"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EU self-sufficiency for raw materials</w:t>
            </w:r>
          </w:p>
        </w:tc>
        <w:tc>
          <w:tcPr>
            <w:tcW w:w="3297"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 xml:space="preserve">The </w:t>
            </w:r>
            <w:r>
              <w:rPr>
                <w:rFonts w:ascii="EC Square Sans Cond Pro" w:hAnsi="EC Square Sans Cond Pro" w:cs="Times New Roman"/>
                <w:noProof/>
                <w:sz w:val="22"/>
                <w:szCs w:val="24"/>
              </w:rPr>
              <w:t>circular economy should help to address the supply risks for raw materials, in particular critical raw materials.</w:t>
            </w:r>
          </w:p>
        </w:tc>
        <w:tc>
          <w:tcPr>
            <w:tcW w:w="3297"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Raw Materials Initiative; Resource Efficiency Roadmap</w:t>
            </w:r>
          </w:p>
        </w:tc>
      </w:tr>
      <w:tr w:rsidR="00C662F9">
        <w:trPr>
          <w:cantSplit/>
        </w:trPr>
        <w:tc>
          <w:tcPr>
            <w:tcW w:w="591" w:type="dxa"/>
          </w:tcPr>
          <w:p w:rsidR="00C662F9" w:rsidRDefault="00D44DDF">
            <w:pPr>
              <w:pStyle w:val="Body"/>
              <w:spacing w:before="40" w:after="40"/>
              <w:rPr>
                <w:rFonts w:ascii="EC Square Sans Cond Pro" w:hAnsi="EC Square Sans Cond Pro" w:cs="Times New Roman"/>
                <w:noProof/>
                <w:sz w:val="22"/>
                <w:szCs w:val="24"/>
              </w:rPr>
            </w:pPr>
            <w:r>
              <w:rPr>
                <w:rFonts w:ascii="EC Square Sans Cond Pro" w:hAnsi="EC Square Sans Cond Pro" w:cs="Times New Roman"/>
                <w:noProof/>
                <w:sz w:val="22"/>
                <w:szCs w:val="24"/>
              </w:rPr>
              <w:t>2</w:t>
            </w:r>
          </w:p>
        </w:tc>
        <w:tc>
          <w:tcPr>
            <w:tcW w:w="1995"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Green public procurement*</w:t>
            </w:r>
          </w:p>
        </w:tc>
        <w:tc>
          <w:tcPr>
            <w:tcW w:w="3297"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Public procurement accounts for a large share of consumptio</w:t>
            </w:r>
            <w:r>
              <w:rPr>
                <w:rFonts w:ascii="EC Square Sans Cond Pro" w:hAnsi="EC Square Sans Cond Pro" w:cs="Times New Roman"/>
                <w:noProof/>
                <w:sz w:val="22"/>
                <w:szCs w:val="24"/>
              </w:rPr>
              <w:t>n and can drive the circular economy.</w:t>
            </w:r>
          </w:p>
        </w:tc>
        <w:tc>
          <w:tcPr>
            <w:tcW w:w="3297"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Public Procurement Strategy; EU support schemes and voluntary criteria for green public procurement</w:t>
            </w:r>
          </w:p>
        </w:tc>
      </w:tr>
      <w:tr w:rsidR="00C662F9">
        <w:trPr>
          <w:cantSplit/>
        </w:trPr>
        <w:tc>
          <w:tcPr>
            <w:tcW w:w="591" w:type="dxa"/>
          </w:tcPr>
          <w:p w:rsidR="00C662F9" w:rsidRDefault="00D44DDF">
            <w:pPr>
              <w:pStyle w:val="Body"/>
              <w:spacing w:before="40" w:after="40"/>
              <w:rPr>
                <w:rFonts w:ascii="EC Square Sans Cond Pro" w:hAnsi="EC Square Sans Cond Pro" w:cs="Times New Roman"/>
                <w:noProof/>
                <w:sz w:val="22"/>
                <w:szCs w:val="24"/>
              </w:rPr>
            </w:pPr>
            <w:r>
              <w:rPr>
                <w:rFonts w:ascii="EC Square Sans Cond Pro" w:hAnsi="EC Square Sans Cond Pro" w:cs="Times New Roman"/>
                <w:noProof/>
                <w:sz w:val="22"/>
                <w:szCs w:val="24"/>
              </w:rPr>
              <w:t>3a-c</w:t>
            </w:r>
          </w:p>
        </w:tc>
        <w:tc>
          <w:tcPr>
            <w:tcW w:w="1995"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Waste generation</w:t>
            </w:r>
          </w:p>
        </w:tc>
        <w:tc>
          <w:tcPr>
            <w:tcW w:w="3297"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In a circular economy waste generation is minimised.</w:t>
            </w:r>
          </w:p>
        </w:tc>
        <w:tc>
          <w:tcPr>
            <w:tcW w:w="3297"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Waste Framework Directive; directives on s</w:t>
            </w:r>
            <w:r>
              <w:rPr>
                <w:rFonts w:ascii="EC Square Sans Cond Pro" w:hAnsi="EC Square Sans Cond Pro" w:cs="Times New Roman"/>
                <w:noProof/>
                <w:sz w:val="22"/>
                <w:szCs w:val="24"/>
              </w:rPr>
              <w:t>pecific waste streams; Strategy for Plastics</w:t>
            </w:r>
          </w:p>
        </w:tc>
      </w:tr>
      <w:tr w:rsidR="00C662F9">
        <w:trPr>
          <w:cantSplit/>
        </w:trPr>
        <w:tc>
          <w:tcPr>
            <w:tcW w:w="591" w:type="dxa"/>
          </w:tcPr>
          <w:p w:rsidR="00C662F9" w:rsidRDefault="00D44DDF">
            <w:pPr>
              <w:pStyle w:val="Body"/>
              <w:spacing w:before="40" w:after="40"/>
              <w:rPr>
                <w:rFonts w:ascii="EC Square Sans Cond Pro" w:hAnsi="EC Square Sans Cond Pro" w:cs="Times New Roman"/>
                <w:noProof/>
                <w:sz w:val="22"/>
                <w:szCs w:val="24"/>
              </w:rPr>
            </w:pPr>
            <w:r>
              <w:rPr>
                <w:rFonts w:ascii="EC Square Sans Cond Pro" w:hAnsi="EC Square Sans Cond Pro" w:cs="Times New Roman"/>
                <w:noProof/>
                <w:sz w:val="22"/>
                <w:szCs w:val="24"/>
              </w:rPr>
              <w:t>4</w:t>
            </w:r>
          </w:p>
        </w:tc>
        <w:tc>
          <w:tcPr>
            <w:tcW w:w="1995"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Food waste*</w:t>
            </w:r>
          </w:p>
        </w:tc>
        <w:tc>
          <w:tcPr>
            <w:tcW w:w="3297"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Discarding food has negative environmental, climate and economic impacts.</w:t>
            </w:r>
          </w:p>
        </w:tc>
        <w:tc>
          <w:tcPr>
            <w:tcW w:w="3297"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General Food Law Regulation; Waste Framework Directive; various initiatives (e.g. Platform on Food Losses and Food Waste)</w:t>
            </w:r>
          </w:p>
        </w:tc>
      </w:tr>
      <w:tr w:rsidR="00C662F9">
        <w:trPr>
          <w:cantSplit/>
        </w:trPr>
        <w:tc>
          <w:tcPr>
            <w:tcW w:w="9180" w:type="dxa"/>
            <w:gridSpan w:val="4"/>
            <w:shd w:val="clear" w:color="auto" w:fill="EEECE1" w:themeFill="background2"/>
          </w:tcPr>
          <w:p w:rsidR="00C662F9" w:rsidRDefault="00D44DDF">
            <w:pPr>
              <w:pStyle w:val="Body"/>
              <w:spacing w:before="40" w:after="40"/>
              <w:jc w:val="left"/>
              <w:rPr>
                <w:rFonts w:ascii="EC Square Sans Cond Pro" w:hAnsi="EC Square Sans Cond Pro" w:cs="Times New Roman"/>
                <w:b/>
                <w:noProof/>
                <w:sz w:val="22"/>
                <w:szCs w:val="24"/>
              </w:rPr>
            </w:pPr>
            <w:r>
              <w:rPr>
                <w:rFonts w:ascii="EC Square Sans Cond Pro" w:hAnsi="EC Square Sans Cond Pro" w:cs="Times New Roman"/>
                <w:b/>
                <w:noProof/>
                <w:sz w:val="22"/>
                <w:szCs w:val="24"/>
              </w:rPr>
              <w:t>Waste management</w:t>
            </w:r>
          </w:p>
        </w:tc>
      </w:tr>
      <w:tr w:rsidR="00C662F9">
        <w:trPr>
          <w:cantSplit/>
        </w:trPr>
        <w:tc>
          <w:tcPr>
            <w:tcW w:w="591" w:type="dxa"/>
          </w:tcPr>
          <w:p w:rsidR="00C662F9" w:rsidRDefault="00D44DDF">
            <w:pPr>
              <w:pStyle w:val="Body"/>
              <w:spacing w:before="40" w:after="40"/>
              <w:rPr>
                <w:rFonts w:ascii="EC Square Sans Cond Pro" w:hAnsi="EC Square Sans Cond Pro" w:cs="Times New Roman"/>
                <w:noProof/>
                <w:sz w:val="22"/>
                <w:szCs w:val="24"/>
              </w:rPr>
            </w:pPr>
            <w:r>
              <w:rPr>
                <w:rFonts w:ascii="EC Square Sans Cond Pro" w:hAnsi="EC Square Sans Cond Pro" w:cs="Times New Roman"/>
                <w:noProof/>
                <w:sz w:val="22"/>
                <w:szCs w:val="24"/>
              </w:rPr>
              <w:t>5a-b</w:t>
            </w:r>
          </w:p>
        </w:tc>
        <w:tc>
          <w:tcPr>
            <w:tcW w:w="1995"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Overall recycling rates</w:t>
            </w:r>
          </w:p>
        </w:tc>
        <w:tc>
          <w:tcPr>
            <w:tcW w:w="3297"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Increasing recycling is part of the transition to a circular economy.</w:t>
            </w:r>
          </w:p>
        </w:tc>
        <w:tc>
          <w:tcPr>
            <w:tcW w:w="3297"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Waste Framework Directive</w:t>
            </w:r>
          </w:p>
        </w:tc>
      </w:tr>
      <w:tr w:rsidR="00C662F9">
        <w:trPr>
          <w:cantSplit/>
        </w:trPr>
        <w:tc>
          <w:tcPr>
            <w:tcW w:w="591" w:type="dxa"/>
          </w:tcPr>
          <w:p w:rsidR="00C662F9" w:rsidRDefault="00D44DDF">
            <w:pPr>
              <w:pStyle w:val="Body"/>
              <w:spacing w:before="40" w:after="40"/>
              <w:rPr>
                <w:rFonts w:ascii="EC Square Sans Cond Pro" w:hAnsi="EC Square Sans Cond Pro" w:cs="Times New Roman"/>
                <w:noProof/>
                <w:sz w:val="22"/>
                <w:szCs w:val="24"/>
              </w:rPr>
            </w:pPr>
            <w:r>
              <w:rPr>
                <w:rFonts w:ascii="EC Square Sans Cond Pro" w:hAnsi="EC Square Sans Cond Pro" w:cs="Times New Roman"/>
                <w:noProof/>
                <w:sz w:val="22"/>
                <w:szCs w:val="24"/>
              </w:rPr>
              <w:t>6a-f</w:t>
            </w:r>
          </w:p>
        </w:tc>
        <w:tc>
          <w:tcPr>
            <w:tcW w:w="1995"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 xml:space="preserve">Recycling rates for specific waste streams </w:t>
            </w:r>
          </w:p>
        </w:tc>
        <w:tc>
          <w:tcPr>
            <w:tcW w:w="3297"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This reflects the progress in recycling key waste streams.</w:t>
            </w:r>
          </w:p>
        </w:tc>
        <w:tc>
          <w:tcPr>
            <w:tcW w:w="3297"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Waste Framework Directive; Landfill Directive; directives on specific waste streams</w:t>
            </w:r>
          </w:p>
        </w:tc>
      </w:tr>
      <w:tr w:rsidR="00C662F9">
        <w:trPr>
          <w:cantSplit/>
        </w:trPr>
        <w:tc>
          <w:tcPr>
            <w:tcW w:w="9180" w:type="dxa"/>
            <w:gridSpan w:val="4"/>
            <w:shd w:val="clear" w:color="auto" w:fill="EEECE1" w:themeFill="background2"/>
          </w:tcPr>
          <w:p w:rsidR="00C662F9" w:rsidRDefault="00D44DDF">
            <w:pPr>
              <w:pStyle w:val="Body"/>
              <w:spacing w:before="40" w:after="40"/>
              <w:jc w:val="left"/>
              <w:rPr>
                <w:rFonts w:ascii="EC Square Sans Cond Pro" w:hAnsi="EC Square Sans Cond Pro" w:cs="Times New Roman"/>
                <w:b/>
                <w:noProof/>
                <w:sz w:val="22"/>
                <w:szCs w:val="24"/>
              </w:rPr>
            </w:pPr>
            <w:r>
              <w:rPr>
                <w:rFonts w:ascii="EC Square Sans Cond Pro" w:hAnsi="EC Square Sans Cond Pro" w:cs="Times New Roman"/>
                <w:b/>
                <w:noProof/>
                <w:sz w:val="22"/>
                <w:szCs w:val="24"/>
              </w:rPr>
              <w:t>Secondary raw materials</w:t>
            </w:r>
          </w:p>
        </w:tc>
      </w:tr>
      <w:tr w:rsidR="00C662F9">
        <w:trPr>
          <w:cantSplit/>
        </w:trPr>
        <w:tc>
          <w:tcPr>
            <w:tcW w:w="591" w:type="dxa"/>
          </w:tcPr>
          <w:p w:rsidR="00C662F9" w:rsidRDefault="00D44DDF">
            <w:pPr>
              <w:pStyle w:val="Body"/>
              <w:spacing w:before="40" w:after="40"/>
              <w:rPr>
                <w:rFonts w:ascii="EC Square Sans Cond Pro" w:hAnsi="EC Square Sans Cond Pro" w:cs="Times New Roman"/>
                <w:noProof/>
                <w:sz w:val="22"/>
                <w:szCs w:val="24"/>
              </w:rPr>
            </w:pPr>
            <w:r>
              <w:rPr>
                <w:rFonts w:ascii="EC Square Sans Cond Pro" w:hAnsi="EC Square Sans Cond Pro" w:cs="Times New Roman"/>
                <w:noProof/>
                <w:sz w:val="22"/>
                <w:szCs w:val="24"/>
              </w:rPr>
              <w:t>7a-b</w:t>
            </w:r>
          </w:p>
        </w:tc>
        <w:tc>
          <w:tcPr>
            <w:tcW w:w="1995"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Contribution of recycled materials to raw materials demand</w:t>
            </w:r>
          </w:p>
        </w:tc>
        <w:tc>
          <w:tcPr>
            <w:tcW w:w="3297"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 xml:space="preserve">In a circular economy, secondary raw materials are commonly used to make new </w:t>
            </w:r>
            <w:r>
              <w:rPr>
                <w:rFonts w:ascii="EC Square Sans Cond Pro" w:hAnsi="EC Square Sans Cond Pro" w:cs="Times New Roman"/>
                <w:noProof/>
                <w:sz w:val="22"/>
                <w:szCs w:val="24"/>
              </w:rPr>
              <w:t>products.</w:t>
            </w:r>
          </w:p>
        </w:tc>
        <w:tc>
          <w:tcPr>
            <w:tcW w:w="3297" w:type="dxa"/>
          </w:tcPr>
          <w:p w:rsidR="00C662F9" w:rsidRDefault="00D44DDF">
            <w:pPr>
              <w:pStyle w:val="Body"/>
              <w:spacing w:before="40" w:after="40"/>
              <w:jc w:val="left"/>
              <w:rPr>
                <w:rFonts w:ascii="EC Square Sans Cond Pro" w:hAnsi="EC Square Sans Cond Pro" w:cs="Times New Roman"/>
                <w:noProof/>
                <w:sz w:val="22"/>
                <w:szCs w:val="24"/>
                <w:highlight w:val="yellow"/>
              </w:rPr>
            </w:pPr>
            <w:r>
              <w:rPr>
                <w:rFonts w:ascii="EC Square Sans Cond Pro" w:hAnsi="EC Square Sans Cond Pro" w:cs="Times New Roman"/>
                <w:noProof/>
                <w:sz w:val="22"/>
                <w:szCs w:val="24"/>
              </w:rPr>
              <w:t>Waste Framework Directive; Eco-design Directive; EU Ecolabel; REACH; initiative on the interface between chemicals, products and waste policies; Strategy for Plastics; quality standards for secondary raw materials</w:t>
            </w:r>
          </w:p>
        </w:tc>
      </w:tr>
      <w:tr w:rsidR="00C662F9">
        <w:trPr>
          <w:cantSplit/>
        </w:trPr>
        <w:tc>
          <w:tcPr>
            <w:tcW w:w="591" w:type="dxa"/>
          </w:tcPr>
          <w:p w:rsidR="00C662F9" w:rsidRDefault="00D44DDF">
            <w:pPr>
              <w:pStyle w:val="Body"/>
              <w:spacing w:before="40" w:after="40"/>
              <w:rPr>
                <w:rFonts w:ascii="EC Square Sans Cond Pro" w:hAnsi="EC Square Sans Cond Pro" w:cs="Times New Roman"/>
                <w:noProof/>
                <w:sz w:val="22"/>
                <w:szCs w:val="24"/>
              </w:rPr>
            </w:pPr>
            <w:r>
              <w:rPr>
                <w:rFonts w:ascii="EC Square Sans Cond Pro" w:hAnsi="EC Square Sans Cond Pro" w:cs="Times New Roman"/>
                <w:noProof/>
                <w:sz w:val="22"/>
                <w:szCs w:val="24"/>
              </w:rPr>
              <w:t>8</w:t>
            </w:r>
          </w:p>
        </w:tc>
        <w:tc>
          <w:tcPr>
            <w:tcW w:w="1995"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Trade in recyclable raw mater</w:t>
            </w:r>
            <w:r>
              <w:rPr>
                <w:rFonts w:ascii="EC Square Sans Cond Pro" w:hAnsi="EC Square Sans Cond Pro" w:cs="Times New Roman"/>
                <w:noProof/>
                <w:sz w:val="22"/>
                <w:szCs w:val="24"/>
              </w:rPr>
              <w:t>ials</w:t>
            </w:r>
          </w:p>
        </w:tc>
        <w:tc>
          <w:tcPr>
            <w:tcW w:w="3297"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Trade in recyclables reflects the importance of the internal market and global participation in the circular economy.</w:t>
            </w:r>
          </w:p>
        </w:tc>
        <w:tc>
          <w:tcPr>
            <w:tcW w:w="3297"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Internal Market policy; Waste Shipment Regulation; Trade policy</w:t>
            </w:r>
          </w:p>
        </w:tc>
      </w:tr>
      <w:tr w:rsidR="00C662F9">
        <w:trPr>
          <w:cantSplit/>
        </w:trPr>
        <w:tc>
          <w:tcPr>
            <w:tcW w:w="9180" w:type="dxa"/>
            <w:gridSpan w:val="4"/>
            <w:shd w:val="clear" w:color="auto" w:fill="EEECE1" w:themeFill="background2"/>
          </w:tcPr>
          <w:p w:rsidR="00C662F9" w:rsidRDefault="00D44DDF">
            <w:pPr>
              <w:pStyle w:val="Body"/>
              <w:spacing w:before="40" w:after="40"/>
              <w:rPr>
                <w:rFonts w:ascii="EC Square Sans Cond Pro" w:hAnsi="EC Square Sans Cond Pro" w:cs="Times New Roman"/>
                <w:b/>
                <w:noProof/>
                <w:sz w:val="22"/>
                <w:szCs w:val="24"/>
              </w:rPr>
            </w:pPr>
            <w:r>
              <w:rPr>
                <w:rFonts w:ascii="EC Square Sans Cond Pro" w:hAnsi="EC Square Sans Cond Pro" w:cs="Times New Roman"/>
                <w:b/>
                <w:noProof/>
                <w:sz w:val="22"/>
                <w:szCs w:val="24"/>
              </w:rPr>
              <w:t>Competitiveness and innovation</w:t>
            </w:r>
          </w:p>
        </w:tc>
      </w:tr>
      <w:tr w:rsidR="00C662F9">
        <w:trPr>
          <w:cantSplit/>
        </w:trPr>
        <w:tc>
          <w:tcPr>
            <w:tcW w:w="591" w:type="dxa"/>
          </w:tcPr>
          <w:p w:rsidR="00C662F9" w:rsidRDefault="00D44DDF">
            <w:pPr>
              <w:pStyle w:val="Body"/>
              <w:spacing w:before="40" w:after="40"/>
              <w:rPr>
                <w:rFonts w:ascii="EC Square Sans Cond Pro" w:hAnsi="EC Square Sans Cond Pro" w:cs="Times New Roman"/>
                <w:noProof/>
                <w:sz w:val="22"/>
                <w:szCs w:val="24"/>
              </w:rPr>
            </w:pPr>
            <w:r>
              <w:rPr>
                <w:rFonts w:ascii="EC Square Sans Cond Pro" w:hAnsi="EC Square Sans Cond Pro" w:cs="Times New Roman"/>
                <w:noProof/>
                <w:sz w:val="22"/>
                <w:szCs w:val="24"/>
              </w:rPr>
              <w:t>9a-c</w:t>
            </w:r>
          </w:p>
        </w:tc>
        <w:tc>
          <w:tcPr>
            <w:tcW w:w="1995"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 xml:space="preserve">Private investments, jobs and </w:t>
            </w:r>
            <w:r>
              <w:rPr>
                <w:rFonts w:ascii="EC Square Sans Cond Pro" w:hAnsi="EC Square Sans Cond Pro" w:cs="Times New Roman"/>
                <w:noProof/>
                <w:sz w:val="22"/>
                <w:szCs w:val="24"/>
              </w:rPr>
              <w:t>gross value added</w:t>
            </w:r>
          </w:p>
        </w:tc>
        <w:tc>
          <w:tcPr>
            <w:tcW w:w="3297"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This reflects the contribution of the circular economy to the creation of jobs and growth.</w:t>
            </w:r>
          </w:p>
        </w:tc>
        <w:tc>
          <w:tcPr>
            <w:tcW w:w="3297"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Investment Plan for Europe; Structural and Investment Funds; InnovFin; Circular Economy Finance Support Platform; Sustainable Finance Strategy; Gre</w:t>
            </w:r>
            <w:r>
              <w:rPr>
                <w:rFonts w:ascii="EC Square Sans Cond Pro" w:hAnsi="EC Square Sans Cond Pro" w:cs="Times New Roman"/>
                <w:noProof/>
                <w:sz w:val="22"/>
                <w:szCs w:val="24"/>
              </w:rPr>
              <w:t>en Employment Initiative; New Skills Agenda for Europe; Internal Market policy</w:t>
            </w:r>
          </w:p>
        </w:tc>
      </w:tr>
      <w:tr w:rsidR="00C662F9">
        <w:trPr>
          <w:cantSplit/>
        </w:trPr>
        <w:tc>
          <w:tcPr>
            <w:tcW w:w="591" w:type="dxa"/>
          </w:tcPr>
          <w:p w:rsidR="00C662F9" w:rsidRDefault="00D44DDF">
            <w:pPr>
              <w:pStyle w:val="Body"/>
              <w:spacing w:before="40" w:after="40"/>
              <w:rPr>
                <w:rFonts w:ascii="EC Square Sans Cond Pro" w:hAnsi="EC Square Sans Cond Pro" w:cs="Times New Roman"/>
                <w:noProof/>
                <w:sz w:val="22"/>
                <w:szCs w:val="24"/>
              </w:rPr>
            </w:pPr>
            <w:r>
              <w:rPr>
                <w:rFonts w:ascii="EC Square Sans Cond Pro" w:hAnsi="EC Square Sans Cond Pro" w:cs="Times New Roman"/>
                <w:noProof/>
                <w:sz w:val="22"/>
                <w:szCs w:val="24"/>
              </w:rPr>
              <w:t>10</w:t>
            </w:r>
          </w:p>
        </w:tc>
        <w:tc>
          <w:tcPr>
            <w:tcW w:w="1995" w:type="dxa"/>
          </w:tcPr>
          <w:p w:rsidR="00C662F9" w:rsidRDefault="00D44DDF">
            <w:pPr>
              <w:pStyle w:val="Body"/>
              <w:spacing w:before="40" w:after="40"/>
              <w:rPr>
                <w:rFonts w:ascii="EC Square Sans Cond Pro" w:hAnsi="EC Square Sans Cond Pro" w:cs="Times New Roman"/>
                <w:noProof/>
                <w:sz w:val="22"/>
                <w:szCs w:val="24"/>
              </w:rPr>
            </w:pPr>
            <w:r>
              <w:rPr>
                <w:rFonts w:ascii="EC Square Sans Cond Pro" w:hAnsi="EC Square Sans Cond Pro" w:cs="Times New Roman"/>
                <w:noProof/>
                <w:sz w:val="22"/>
                <w:szCs w:val="24"/>
              </w:rPr>
              <w:t xml:space="preserve">Patents </w:t>
            </w:r>
          </w:p>
        </w:tc>
        <w:tc>
          <w:tcPr>
            <w:tcW w:w="3297"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Innovative technologies related to the circular economy boost the EU’s global competitiveness.</w:t>
            </w:r>
          </w:p>
        </w:tc>
        <w:tc>
          <w:tcPr>
            <w:tcW w:w="3297" w:type="dxa"/>
          </w:tcPr>
          <w:p w:rsidR="00C662F9" w:rsidRDefault="00D44DDF">
            <w:pPr>
              <w:pStyle w:val="Body"/>
              <w:spacing w:before="40" w:after="40"/>
              <w:jc w:val="left"/>
              <w:rPr>
                <w:rFonts w:ascii="EC Square Sans Cond Pro" w:hAnsi="EC Square Sans Cond Pro" w:cs="Times New Roman"/>
                <w:noProof/>
                <w:sz w:val="22"/>
                <w:szCs w:val="24"/>
              </w:rPr>
            </w:pPr>
            <w:r>
              <w:rPr>
                <w:rFonts w:ascii="EC Square Sans Cond Pro" w:hAnsi="EC Square Sans Cond Pro" w:cs="Times New Roman"/>
                <w:noProof/>
                <w:sz w:val="22"/>
                <w:szCs w:val="24"/>
              </w:rPr>
              <w:t>Horizon 2020</w:t>
            </w:r>
          </w:p>
        </w:tc>
      </w:tr>
    </w:tbl>
    <w:p w:rsidR="00C662F9" w:rsidRDefault="00D44DDF">
      <w:pPr>
        <w:jc w:val="both"/>
        <w:rPr>
          <w:noProof/>
        </w:rPr>
      </w:pPr>
      <w:r>
        <w:rPr>
          <w:noProof/>
        </w:rPr>
        <w:t>* Indicators under development</w:t>
      </w:r>
    </w:p>
    <w:p w:rsidR="00C662F9" w:rsidRDefault="00D44DDF">
      <w:pPr>
        <w:pStyle w:val="Figurecaption"/>
        <w:spacing w:before="120" w:after="240"/>
        <w:rPr>
          <w:rFonts w:cs="Times New Roman"/>
          <w:i/>
          <w:noProof/>
          <w:sz w:val="24"/>
          <w:szCs w:val="24"/>
        </w:rPr>
      </w:pPr>
      <w:r>
        <w:rPr>
          <w:rFonts w:cs="Times New Roman"/>
          <w:i/>
          <w:noProof/>
          <w:sz w:val="24"/>
          <w:szCs w:val="24"/>
        </w:rPr>
        <w:t>Table 1: Indicators on t</w:t>
      </w:r>
      <w:r>
        <w:rPr>
          <w:rFonts w:cs="Times New Roman"/>
          <w:i/>
          <w:noProof/>
          <w:sz w:val="24"/>
          <w:szCs w:val="24"/>
        </w:rPr>
        <w:t>he circular economy included in the monitoring framework</w:t>
      </w:r>
    </w:p>
    <w:p w:rsidR="00C662F9" w:rsidRDefault="00D44DDF">
      <w:pPr>
        <w:jc w:val="both"/>
        <w:rPr>
          <w:rFonts w:cs="Times New Roman"/>
          <w:noProof/>
          <w:szCs w:val="24"/>
        </w:rPr>
      </w:pPr>
      <w:r>
        <w:rPr>
          <w:rFonts w:cs="Times New Roman"/>
          <w:noProof/>
          <w:szCs w:val="24"/>
        </w:rPr>
        <w:lastRenderedPageBreak/>
        <w:t xml:space="preserve">These indicators were selected to capture the main elements of a circular economy. Data availability was taken into account when choosing them, building on the Resource Efficiency Scoreboard and the </w:t>
      </w:r>
      <w:r>
        <w:rPr>
          <w:rFonts w:cs="Times New Roman"/>
          <w:noProof/>
          <w:szCs w:val="24"/>
        </w:rPr>
        <w:t>Raw Materials Scoreboard. The indicators are based on existing data as much as possible, thus limiting the administrative burden. Other criteria against which the indicators were assessed include relevance, acceptance, credibility, ease of use and robustne</w:t>
      </w:r>
      <w:r>
        <w:rPr>
          <w:rFonts w:cs="Times New Roman"/>
          <w:noProof/>
          <w:szCs w:val="24"/>
        </w:rPr>
        <w:t>ss.</w:t>
      </w:r>
    </w:p>
    <w:p w:rsidR="00C662F9" w:rsidRDefault="00D44DDF">
      <w:pPr>
        <w:jc w:val="both"/>
        <w:rPr>
          <w:rFonts w:cs="Times New Roman"/>
          <w:noProof/>
          <w:szCs w:val="24"/>
        </w:rPr>
      </w:pPr>
      <w:r>
        <w:rPr>
          <w:rFonts w:cs="Times New Roman"/>
          <w:noProof/>
          <w:szCs w:val="24"/>
        </w:rPr>
        <w:t>Responses to the public consultation on the roadmap</w:t>
      </w:r>
      <w:r>
        <w:rPr>
          <w:rStyle w:val="FootnoteReference"/>
          <w:rFonts w:cs="Times New Roman"/>
          <w:noProof/>
          <w:szCs w:val="24"/>
        </w:rPr>
        <w:footnoteReference w:id="11"/>
      </w:r>
      <w:r>
        <w:rPr>
          <w:rFonts w:cs="Times New Roman"/>
          <w:noProof/>
          <w:szCs w:val="24"/>
        </w:rPr>
        <w:t xml:space="preserve"> and discussions with Member States representatives and stakeholder experts</w:t>
      </w:r>
      <w:r>
        <w:rPr>
          <w:rStyle w:val="FootnoteReference"/>
          <w:rFonts w:cs="Times New Roman"/>
          <w:noProof/>
          <w:szCs w:val="24"/>
        </w:rPr>
        <w:footnoteReference w:id="12"/>
      </w:r>
      <w:r>
        <w:rPr>
          <w:rFonts w:cs="Times New Roman"/>
          <w:noProof/>
          <w:szCs w:val="24"/>
        </w:rPr>
        <w:t xml:space="preserve"> were also taken into account when selecting the indicators.</w:t>
      </w:r>
    </w:p>
    <w:p w:rsidR="00C662F9" w:rsidRDefault="00D44DDF">
      <w:pPr>
        <w:spacing w:after="0"/>
        <w:jc w:val="both"/>
        <w:rPr>
          <w:rFonts w:cs="Times New Roman"/>
          <w:noProof/>
          <w:szCs w:val="24"/>
        </w:rPr>
      </w:pPr>
      <w:r>
        <w:rPr>
          <w:rFonts w:cs="Times New Roman"/>
          <w:noProof/>
          <w:szCs w:val="24"/>
        </w:rPr>
        <w:t xml:space="preserve">The Commission will be improving the knowledge base and </w:t>
      </w:r>
      <w:r>
        <w:rPr>
          <w:rFonts w:cs="Times New Roman"/>
          <w:b/>
          <w:noProof/>
          <w:szCs w:val="24"/>
        </w:rPr>
        <w:t xml:space="preserve">data </w:t>
      </w:r>
      <w:r>
        <w:rPr>
          <w:rFonts w:cs="Times New Roman"/>
          <w:b/>
          <w:noProof/>
          <w:szCs w:val="24"/>
        </w:rPr>
        <w:t>availability</w:t>
      </w:r>
      <w:r>
        <w:rPr>
          <w:rFonts w:cs="Times New Roman"/>
          <w:noProof/>
          <w:szCs w:val="24"/>
        </w:rPr>
        <w:t xml:space="preserve"> for measuring progress in the circular economy:</w:t>
      </w:r>
    </w:p>
    <w:p w:rsidR="00C662F9" w:rsidRDefault="00D44DDF">
      <w:pPr>
        <w:pStyle w:val="ListParagraph"/>
        <w:numPr>
          <w:ilvl w:val="0"/>
          <w:numId w:val="3"/>
        </w:numPr>
        <w:spacing w:after="0"/>
        <w:ind w:left="426"/>
        <w:jc w:val="both"/>
        <w:rPr>
          <w:rFonts w:cs="Times New Roman"/>
          <w:noProof/>
          <w:szCs w:val="24"/>
        </w:rPr>
      </w:pPr>
      <w:r>
        <w:rPr>
          <w:rFonts w:cs="Times New Roman"/>
          <w:noProof/>
          <w:szCs w:val="24"/>
        </w:rPr>
        <w:t xml:space="preserve">Work is ongoing to </w:t>
      </w:r>
      <w:r>
        <w:rPr>
          <w:rFonts w:cs="Times New Roman"/>
          <w:b/>
          <w:noProof/>
          <w:szCs w:val="24"/>
        </w:rPr>
        <w:t>develop methodologies</w:t>
      </w:r>
      <w:r>
        <w:rPr>
          <w:rFonts w:cs="Times New Roman"/>
          <w:noProof/>
          <w:szCs w:val="24"/>
        </w:rPr>
        <w:t xml:space="preserve"> and data collections that can be used for the indicators on green public procurement and food waste, with a view to publishing the data in the coming year</w:t>
      </w:r>
      <w:r>
        <w:rPr>
          <w:rFonts w:cs="Times New Roman"/>
          <w:noProof/>
          <w:szCs w:val="24"/>
        </w:rPr>
        <w:t>s. Meanwhile, Eurostat is producing some provisional estimates of food waste.</w:t>
      </w:r>
    </w:p>
    <w:p w:rsidR="00C662F9" w:rsidRDefault="00D44DDF">
      <w:pPr>
        <w:pStyle w:val="ListParagraph"/>
        <w:numPr>
          <w:ilvl w:val="0"/>
          <w:numId w:val="3"/>
        </w:numPr>
        <w:spacing w:after="0"/>
        <w:ind w:left="426"/>
        <w:jc w:val="both"/>
        <w:rPr>
          <w:rFonts w:cs="Times New Roman"/>
          <w:noProof/>
          <w:szCs w:val="24"/>
        </w:rPr>
      </w:pPr>
      <w:r>
        <w:rPr>
          <w:rFonts w:cs="Times New Roman"/>
          <w:noProof/>
          <w:szCs w:val="24"/>
        </w:rPr>
        <w:t>As part of the 2015 circular economy package and broader efforts by the Commission to improve the quality of EU statistics on waste, the Commission has proposed to</w:t>
      </w:r>
      <w:r>
        <w:rPr>
          <w:rFonts w:cs="Times New Roman"/>
          <w:b/>
          <w:noProof/>
          <w:szCs w:val="24"/>
        </w:rPr>
        <w:t xml:space="preserve"> harmonise the </w:t>
      </w:r>
      <w:r>
        <w:rPr>
          <w:rFonts w:cs="Times New Roman"/>
          <w:b/>
          <w:noProof/>
          <w:szCs w:val="24"/>
        </w:rPr>
        <w:t>methodologies for calculating recycling rates</w:t>
      </w:r>
      <w:r>
        <w:rPr>
          <w:rFonts w:cs="Times New Roman"/>
          <w:noProof/>
          <w:szCs w:val="24"/>
        </w:rPr>
        <w:t xml:space="preserve"> for municipal waste</w:t>
      </w:r>
      <w:r>
        <w:rPr>
          <w:rStyle w:val="FootnoteReference"/>
          <w:rFonts w:cs="Times New Roman"/>
          <w:noProof/>
          <w:szCs w:val="24"/>
        </w:rPr>
        <w:footnoteReference w:id="13"/>
      </w:r>
      <w:r>
        <w:rPr>
          <w:rFonts w:cs="Times New Roman"/>
          <w:noProof/>
          <w:szCs w:val="24"/>
        </w:rPr>
        <w:t xml:space="preserve"> and packaging waste</w:t>
      </w:r>
      <w:r>
        <w:rPr>
          <w:rStyle w:val="FootnoteReference"/>
          <w:rFonts w:cs="Times New Roman"/>
          <w:noProof/>
          <w:szCs w:val="24"/>
        </w:rPr>
        <w:footnoteReference w:id="14"/>
      </w:r>
      <w:r>
        <w:rPr>
          <w:rFonts w:cs="Times New Roman"/>
          <w:noProof/>
          <w:szCs w:val="24"/>
        </w:rPr>
        <w:t>. Once adopted by the Council and the European Parliament and implemented by the Member States, these proposals will bring about more reliable and comparable statistics.</w:t>
      </w:r>
    </w:p>
    <w:p w:rsidR="00C662F9" w:rsidRDefault="00D44DDF">
      <w:pPr>
        <w:pStyle w:val="ListParagraph"/>
        <w:numPr>
          <w:ilvl w:val="0"/>
          <w:numId w:val="3"/>
        </w:numPr>
        <w:ind w:left="426"/>
        <w:jc w:val="both"/>
        <w:rPr>
          <w:rFonts w:cs="Times New Roman"/>
          <w:noProof/>
          <w:szCs w:val="24"/>
        </w:rPr>
      </w:pPr>
      <w:r>
        <w:rPr>
          <w:rFonts w:cs="Times New Roman"/>
          <w:noProof/>
          <w:szCs w:val="24"/>
        </w:rPr>
        <w:t xml:space="preserve">Through Horizon 2020, the Commission is funding several </w:t>
      </w:r>
      <w:r>
        <w:rPr>
          <w:rFonts w:cs="Times New Roman"/>
          <w:b/>
          <w:noProof/>
          <w:szCs w:val="24"/>
        </w:rPr>
        <w:t>research projects</w:t>
      </w:r>
      <w:r>
        <w:rPr>
          <w:rFonts w:cs="Times New Roman"/>
          <w:noProof/>
          <w:szCs w:val="24"/>
        </w:rPr>
        <w:t xml:space="preserve"> that will deliver better data to complement the official statistics, in particular via the EU raw materials information system</w:t>
      </w:r>
      <w:r>
        <w:rPr>
          <w:rStyle w:val="FootnoteReference"/>
          <w:rFonts w:cs="Times New Roman"/>
          <w:noProof/>
          <w:szCs w:val="24"/>
        </w:rPr>
        <w:footnoteReference w:id="15"/>
      </w:r>
      <w:r>
        <w:rPr>
          <w:rFonts w:cs="Times New Roman"/>
          <w:noProof/>
          <w:szCs w:val="24"/>
        </w:rPr>
        <w:t xml:space="preserve">. </w:t>
      </w:r>
    </w:p>
    <w:p w:rsidR="00C662F9" w:rsidRDefault="00D44DDF">
      <w:pPr>
        <w:pStyle w:val="Heading1"/>
        <w:keepNext/>
        <w:rPr>
          <w:rFonts w:cs="Times New Roman"/>
          <w:noProof/>
          <w:szCs w:val="24"/>
        </w:rPr>
      </w:pPr>
      <w:r>
        <w:rPr>
          <w:rFonts w:cs="Times New Roman"/>
          <w:noProof/>
          <w:szCs w:val="24"/>
        </w:rPr>
        <w:t>First findings</w:t>
      </w:r>
    </w:p>
    <w:p w:rsidR="00C662F9" w:rsidRDefault="00D44DDF">
      <w:pPr>
        <w:jc w:val="both"/>
        <w:rPr>
          <w:rFonts w:cs="Times New Roman"/>
          <w:noProof/>
          <w:szCs w:val="24"/>
        </w:rPr>
      </w:pPr>
      <w:r>
        <w:rPr>
          <w:rFonts w:cs="Times New Roman"/>
          <w:noProof/>
          <w:szCs w:val="24"/>
        </w:rPr>
        <w:t>The ten indicators of the monitoring</w:t>
      </w:r>
      <w:r>
        <w:rPr>
          <w:rFonts w:cs="Times New Roman"/>
          <w:noProof/>
          <w:szCs w:val="24"/>
        </w:rPr>
        <w:t xml:space="preserve"> framework provide a broad picture of the key leverage points to increase the circularity of the EU’s economy. While it will take some time before the results of the actions on the circular economy are visible in the statistics, it is meaningful to start b</w:t>
      </w:r>
      <w:r>
        <w:rPr>
          <w:rFonts w:cs="Times New Roman"/>
          <w:noProof/>
          <w:szCs w:val="24"/>
        </w:rPr>
        <w:t xml:space="preserve">y </w:t>
      </w:r>
      <w:r>
        <w:rPr>
          <w:rFonts w:cs="Times New Roman"/>
          <w:b/>
          <w:noProof/>
          <w:szCs w:val="24"/>
        </w:rPr>
        <w:t>establishing baselines</w:t>
      </w:r>
      <w:r>
        <w:rPr>
          <w:rFonts w:cs="Times New Roman"/>
          <w:noProof/>
          <w:szCs w:val="24"/>
        </w:rPr>
        <w:t>. This will help to monitor future developments and inform policy making processes.</w:t>
      </w:r>
    </w:p>
    <w:p w:rsidR="00C662F9" w:rsidRDefault="00D44DDF">
      <w:pPr>
        <w:jc w:val="both"/>
        <w:rPr>
          <w:rFonts w:cs="Times New Roman"/>
          <w:noProof/>
          <w:szCs w:val="24"/>
        </w:rPr>
      </w:pPr>
      <w:r>
        <w:rPr>
          <w:rFonts w:cs="Times New Roman"/>
          <w:noProof/>
          <w:szCs w:val="24"/>
        </w:rPr>
        <w:t>There is both a strong need and a significant potential for further improvements in the performance of the EU and its Member States. The role of the</w:t>
      </w:r>
      <w:r>
        <w:rPr>
          <w:rFonts w:cs="Times New Roman"/>
          <w:noProof/>
          <w:szCs w:val="24"/>
        </w:rPr>
        <w:t xml:space="preserve"> EU is greater in some areas (such as trade in recyclable raw materials) than in others (e.g. green public procurement).</w:t>
      </w:r>
    </w:p>
    <w:p w:rsidR="00C662F9" w:rsidRDefault="00D44DDF">
      <w:pPr>
        <w:spacing w:after="120"/>
        <w:jc w:val="both"/>
        <w:rPr>
          <w:rFonts w:cs="Times New Roman"/>
          <w:b/>
          <w:i/>
          <w:noProof/>
          <w:szCs w:val="24"/>
        </w:rPr>
      </w:pPr>
      <w:r>
        <w:rPr>
          <w:rFonts w:cs="Times New Roman"/>
          <w:b/>
          <w:i/>
          <w:noProof/>
          <w:szCs w:val="24"/>
        </w:rPr>
        <w:lastRenderedPageBreak/>
        <w:t>Production and consumption</w:t>
      </w:r>
    </w:p>
    <w:tbl>
      <w:tblPr>
        <w:tblStyle w:val="TableGrid"/>
        <w:tblW w:w="0" w:type="auto"/>
        <w:tblInd w:w="108" w:type="dxa"/>
        <w:shd w:val="clear" w:color="auto" w:fill="F2F2F2" w:themeFill="background1" w:themeFillShade="F2"/>
        <w:tblLook w:val="04A0" w:firstRow="1" w:lastRow="0" w:firstColumn="1" w:lastColumn="0" w:noHBand="0" w:noVBand="1"/>
      </w:tblPr>
      <w:tblGrid>
        <w:gridCol w:w="9072"/>
      </w:tblGrid>
      <w:tr w:rsidR="00C662F9">
        <w:tc>
          <w:tcPr>
            <w:tcW w:w="9072" w:type="dxa"/>
            <w:shd w:val="clear" w:color="auto" w:fill="F2F2F2" w:themeFill="background1" w:themeFillShade="F2"/>
          </w:tcPr>
          <w:p w:rsidR="00C662F9" w:rsidRDefault="00D44DDF">
            <w:pPr>
              <w:spacing w:before="120" w:after="120"/>
              <w:jc w:val="both"/>
              <w:rPr>
                <w:rFonts w:ascii="Times New Roman" w:hAnsi="Times New Roman" w:cs="Times New Roman"/>
                <w:noProof/>
                <w:sz w:val="24"/>
              </w:rPr>
            </w:pPr>
            <w:r>
              <w:rPr>
                <w:rFonts w:ascii="Times New Roman" w:hAnsi="Times New Roman" w:cs="Times New Roman"/>
                <w:noProof/>
                <w:sz w:val="24"/>
              </w:rPr>
              <w:t>Some progress can be observed towards more circular trends in production and consumption e.g. in terms of wa</w:t>
            </w:r>
            <w:r>
              <w:rPr>
                <w:rFonts w:ascii="Times New Roman" w:hAnsi="Times New Roman" w:cs="Times New Roman"/>
                <w:noProof/>
                <w:sz w:val="24"/>
              </w:rPr>
              <w:t>ste generation. Nevertheless, there is still considerable room for narrowing the gap in performance between Member States and across materials.</w:t>
            </w:r>
          </w:p>
        </w:tc>
      </w:tr>
    </w:tbl>
    <w:p w:rsidR="00C662F9" w:rsidRDefault="00C662F9">
      <w:pPr>
        <w:spacing w:after="0"/>
        <w:jc w:val="both"/>
        <w:rPr>
          <w:rFonts w:cs="Times New Roman"/>
          <w:noProof/>
          <w:szCs w:val="24"/>
        </w:rPr>
      </w:pPr>
    </w:p>
    <w:p w:rsidR="00C662F9" w:rsidRDefault="00D44DDF">
      <w:pPr>
        <w:spacing w:after="0"/>
        <w:jc w:val="both"/>
        <w:rPr>
          <w:rFonts w:cs="Times New Roman"/>
          <w:noProof/>
          <w:szCs w:val="24"/>
        </w:rPr>
      </w:pPr>
      <w:r>
        <w:rPr>
          <w:rFonts w:cs="Times New Roman"/>
          <w:noProof/>
          <w:szCs w:val="24"/>
        </w:rPr>
        <w:t xml:space="preserve">The indicator on </w:t>
      </w:r>
      <w:r>
        <w:rPr>
          <w:rFonts w:cs="Times New Roman"/>
          <w:b/>
          <w:noProof/>
          <w:szCs w:val="24"/>
        </w:rPr>
        <w:t>self-sufficiency</w:t>
      </w:r>
      <w:r>
        <w:rPr>
          <w:rFonts w:cs="Times New Roman"/>
          <w:noProof/>
          <w:szCs w:val="24"/>
        </w:rPr>
        <w:t xml:space="preserve"> in the supply of raw materials shows that the EU is </w:t>
      </w:r>
      <w:r>
        <w:rPr>
          <w:rFonts w:cs="Times New Roman"/>
          <w:b/>
          <w:noProof/>
          <w:szCs w:val="24"/>
        </w:rPr>
        <w:t>largely self-sufficient</w:t>
      </w:r>
      <w:r>
        <w:rPr>
          <w:rFonts w:cs="Times New Roman"/>
          <w:noProof/>
          <w:szCs w:val="24"/>
        </w:rPr>
        <w:t xml:space="preserve"> </w:t>
      </w:r>
      <w:r>
        <w:rPr>
          <w:rFonts w:cs="Times New Roman"/>
          <w:noProof/>
          <w:szCs w:val="24"/>
        </w:rPr>
        <w:t xml:space="preserve">for most non-metallic minerals such as construction materials and industrial minerals. However, the indicator also confirms that for the EU’s </w:t>
      </w:r>
      <w:r>
        <w:rPr>
          <w:rFonts w:cs="Times New Roman"/>
          <w:b/>
          <w:noProof/>
          <w:szCs w:val="24"/>
        </w:rPr>
        <w:t>critical raw materials</w:t>
      </w:r>
      <w:r>
        <w:rPr>
          <w:rStyle w:val="FootnoteReference"/>
          <w:rFonts w:cs="Times New Roman"/>
          <w:noProof/>
          <w:szCs w:val="24"/>
        </w:rPr>
        <w:footnoteReference w:id="16"/>
      </w:r>
      <w:r>
        <w:rPr>
          <w:rFonts w:cs="Times New Roman"/>
          <w:noProof/>
          <w:szCs w:val="24"/>
        </w:rPr>
        <w:t xml:space="preserve"> the EU is relying on imports to a large extent, which highlights the need for secure acces</w:t>
      </w:r>
      <w:r>
        <w:rPr>
          <w:rFonts w:cs="Times New Roman"/>
          <w:noProof/>
          <w:szCs w:val="24"/>
        </w:rPr>
        <w:t>s and diversification of supply. Many of these materials are needed to achieve the EU’s objective of a sustainable, low-carbon, resource-efficient and competitive economy</w:t>
      </w:r>
      <w:r>
        <w:rPr>
          <w:rStyle w:val="FootnoteReference"/>
          <w:rFonts w:cs="Times New Roman"/>
          <w:noProof/>
          <w:szCs w:val="24"/>
        </w:rPr>
        <w:footnoteReference w:id="17"/>
      </w:r>
      <w:r>
        <w:rPr>
          <w:rFonts w:cs="Times New Roman"/>
          <w:noProof/>
          <w:szCs w:val="24"/>
        </w:rPr>
        <w:t xml:space="preserve">. </w:t>
      </w:r>
    </w:p>
    <w:p w:rsidR="00C662F9" w:rsidRDefault="00C662F9">
      <w:pPr>
        <w:spacing w:after="0"/>
        <w:jc w:val="both"/>
        <w:rPr>
          <w:rFonts w:cs="Times New Roman"/>
          <w:noProof/>
          <w:szCs w:val="24"/>
        </w:rPr>
      </w:pPr>
    </w:p>
    <w:p w:rsidR="00C662F9" w:rsidRDefault="00D44DDF">
      <w:pPr>
        <w:spacing w:after="0"/>
        <w:jc w:val="both"/>
        <w:rPr>
          <w:rFonts w:cs="Times New Roman"/>
          <w:noProof/>
          <w:szCs w:val="24"/>
        </w:rPr>
      </w:pPr>
      <w:r>
        <w:rPr>
          <w:rFonts w:cs="Times New Roman"/>
          <w:noProof/>
          <w:szCs w:val="24"/>
        </w:rPr>
        <w:t xml:space="preserve">Public Procurement represents a large share of GDP and hence </w:t>
      </w:r>
      <w:r>
        <w:rPr>
          <w:rFonts w:cs="Times New Roman"/>
          <w:b/>
          <w:noProof/>
          <w:szCs w:val="24"/>
        </w:rPr>
        <w:t>green public procure</w:t>
      </w:r>
      <w:r>
        <w:rPr>
          <w:rFonts w:cs="Times New Roman"/>
          <w:b/>
          <w:noProof/>
          <w:szCs w:val="24"/>
        </w:rPr>
        <w:t xml:space="preserve">ment </w:t>
      </w:r>
      <w:r>
        <w:rPr>
          <w:rFonts w:cs="Times New Roman"/>
          <w:noProof/>
          <w:szCs w:val="24"/>
        </w:rPr>
        <w:t>– i.e. when public authorities use their purchasing power to choose environmentally friendly goods, services and works – can be a driver for the circular economy and for innovation.</w:t>
      </w:r>
      <w:r>
        <w:rPr>
          <w:rStyle w:val="FootnoteReference"/>
          <w:rFonts w:cs="Times New Roman"/>
          <w:noProof/>
          <w:szCs w:val="24"/>
        </w:rPr>
        <w:footnoteReference w:id="18"/>
      </w:r>
      <w:r>
        <w:rPr>
          <w:rFonts w:cs="Times New Roman"/>
          <w:noProof/>
          <w:szCs w:val="24"/>
        </w:rPr>
        <w:t xml:space="preserve"> Data is still to be developed for this indicator</w:t>
      </w:r>
      <w:r>
        <w:rPr>
          <w:rFonts w:cs="Times New Roman"/>
          <w:noProof/>
          <w:color w:val="000000"/>
          <w:position w:val="-2"/>
          <w:szCs w:val="24"/>
        </w:rPr>
        <w:t>.</w:t>
      </w:r>
      <w:r>
        <w:rPr>
          <w:rFonts w:cs="Times New Roman"/>
          <w:noProof/>
          <w:szCs w:val="24"/>
        </w:rPr>
        <w:t xml:space="preserve"> </w:t>
      </w:r>
    </w:p>
    <w:p w:rsidR="00C662F9" w:rsidRDefault="00C662F9">
      <w:pPr>
        <w:spacing w:after="0"/>
        <w:jc w:val="both"/>
        <w:rPr>
          <w:rFonts w:cs="Times New Roman"/>
          <w:noProof/>
          <w:szCs w:val="24"/>
        </w:rPr>
      </w:pPr>
    </w:p>
    <w:p w:rsidR="00C662F9" w:rsidRDefault="00D44DDF">
      <w:pPr>
        <w:spacing w:after="0"/>
        <w:jc w:val="both"/>
        <w:rPr>
          <w:rFonts w:cs="Times New Roman"/>
          <w:noProof/>
          <w:szCs w:val="24"/>
        </w:rPr>
      </w:pPr>
      <w:r>
        <w:rPr>
          <w:rFonts w:cs="Times New Roman"/>
          <w:noProof/>
          <w:szCs w:val="24"/>
        </w:rPr>
        <w:t>EU</w:t>
      </w:r>
      <w:r>
        <w:rPr>
          <w:rFonts w:cs="Times New Roman"/>
          <w:b/>
          <w:noProof/>
          <w:szCs w:val="24"/>
        </w:rPr>
        <w:t xml:space="preserve"> municipal waste</w:t>
      </w:r>
      <w:r>
        <w:rPr>
          <w:rStyle w:val="FootnoteReference"/>
          <w:rFonts w:cs="Times New Roman"/>
          <w:b/>
          <w:noProof/>
          <w:szCs w:val="24"/>
        </w:rPr>
        <w:footnoteReference w:id="19"/>
      </w:r>
      <w:r>
        <w:rPr>
          <w:rFonts w:cs="Times New Roman"/>
          <w:b/>
          <w:noProof/>
          <w:szCs w:val="24"/>
        </w:rPr>
        <w:t xml:space="preserve"> </w:t>
      </w:r>
      <w:r>
        <w:rPr>
          <w:rFonts w:cs="Times New Roman"/>
          <w:noProof/>
          <w:szCs w:val="24"/>
        </w:rPr>
        <w:t>generation</w:t>
      </w:r>
      <w:r>
        <w:rPr>
          <w:rFonts w:cs="Times New Roman"/>
          <w:b/>
          <w:noProof/>
          <w:szCs w:val="24"/>
        </w:rPr>
        <w:t xml:space="preserve"> </w:t>
      </w:r>
      <w:r>
        <w:rPr>
          <w:rFonts w:cs="Times New Roman"/>
          <w:noProof/>
          <w:szCs w:val="24"/>
        </w:rPr>
        <w:t>per capita</w:t>
      </w:r>
      <w:r>
        <w:rPr>
          <w:rFonts w:cs="Times New Roman"/>
          <w:b/>
          <w:noProof/>
          <w:szCs w:val="24"/>
        </w:rPr>
        <w:t xml:space="preserve"> </w:t>
      </w:r>
      <w:r>
        <w:rPr>
          <w:rFonts w:cs="Times New Roman"/>
          <w:noProof/>
          <w:szCs w:val="24"/>
        </w:rPr>
        <w:t xml:space="preserve">has </w:t>
      </w:r>
      <w:r>
        <w:rPr>
          <w:rFonts w:cs="Times New Roman"/>
          <w:b/>
          <w:noProof/>
          <w:szCs w:val="24"/>
        </w:rPr>
        <w:t xml:space="preserve">dropped </w:t>
      </w:r>
      <w:r>
        <w:rPr>
          <w:rFonts w:cs="Times New Roman"/>
          <w:noProof/>
          <w:szCs w:val="24"/>
        </w:rPr>
        <w:t>by 8 % between 2006 and 2016 to an average of 480 kg per capita per year. This is a clear example of an area where each citizen can make a positive contribution. However, large variations among Member Sta</w:t>
      </w:r>
      <w:r>
        <w:rPr>
          <w:rFonts w:cs="Times New Roman"/>
          <w:noProof/>
          <w:szCs w:val="24"/>
        </w:rPr>
        <w:t>tes are observed (between 250 and 750 kg per capita per year)</w:t>
      </w:r>
      <w:r>
        <w:rPr>
          <w:rStyle w:val="FootnoteReference"/>
          <w:rFonts w:cs="Times New Roman"/>
          <w:noProof/>
          <w:szCs w:val="24"/>
        </w:rPr>
        <w:t xml:space="preserve"> </w:t>
      </w:r>
      <w:r>
        <w:rPr>
          <w:rStyle w:val="FootnoteReference"/>
          <w:rFonts w:cs="Times New Roman"/>
          <w:noProof/>
          <w:szCs w:val="24"/>
        </w:rPr>
        <w:footnoteReference w:id="20"/>
      </w:r>
      <w:r>
        <w:rPr>
          <w:rFonts w:cs="Times New Roman"/>
          <w:noProof/>
          <w:szCs w:val="24"/>
        </w:rPr>
        <w:t>, and municipal waste generation is still growing in several Member States. The quantity of waste generated still correlates to a certain degree with GDP per capita. It is therefore positive th</w:t>
      </w:r>
      <w:r>
        <w:rPr>
          <w:rFonts w:cs="Times New Roman"/>
          <w:noProof/>
          <w:szCs w:val="24"/>
        </w:rPr>
        <w:t xml:space="preserve">at the data on </w:t>
      </w:r>
      <w:r>
        <w:rPr>
          <w:rFonts w:cs="Times New Roman"/>
          <w:b/>
          <w:noProof/>
          <w:szCs w:val="24"/>
        </w:rPr>
        <w:t xml:space="preserve">total waste </w:t>
      </w:r>
      <w:r>
        <w:rPr>
          <w:rFonts w:cs="Times New Roman"/>
          <w:noProof/>
          <w:szCs w:val="24"/>
        </w:rPr>
        <w:t xml:space="preserve">generation (including industrial and commercial waste but excluding major mineral waste) per unit of GDP shows a </w:t>
      </w:r>
      <w:r>
        <w:rPr>
          <w:rFonts w:cs="Times New Roman"/>
          <w:b/>
          <w:noProof/>
          <w:szCs w:val="24"/>
        </w:rPr>
        <w:t>decrease</w:t>
      </w:r>
      <w:r>
        <w:rPr>
          <w:rFonts w:cs="Times New Roman"/>
          <w:noProof/>
          <w:szCs w:val="24"/>
        </w:rPr>
        <w:t xml:space="preserve"> of 11 % since 2006. </w:t>
      </w:r>
    </w:p>
    <w:p w:rsidR="00C662F9" w:rsidRDefault="00C662F9">
      <w:pPr>
        <w:spacing w:after="0"/>
        <w:jc w:val="both"/>
        <w:rPr>
          <w:rFonts w:cs="Times New Roman"/>
          <w:noProof/>
          <w:szCs w:val="24"/>
        </w:rPr>
      </w:pPr>
    </w:p>
    <w:p w:rsidR="00C662F9" w:rsidRDefault="00D44DDF">
      <w:pPr>
        <w:spacing w:after="0"/>
        <w:jc w:val="both"/>
        <w:rPr>
          <w:rFonts w:cs="Times New Roman"/>
          <w:noProof/>
          <w:color w:val="000000"/>
          <w:position w:val="-2"/>
          <w:szCs w:val="24"/>
        </w:rPr>
      </w:pPr>
      <w:r>
        <w:rPr>
          <w:rFonts w:cs="Times New Roman"/>
          <w:noProof/>
          <w:szCs w:val="24"/>
        </w:rPr>
        <w:t xml:space="preserve">Reducing </w:t>
      </w:r>
      <w:r>
        <w:rPr>
          <w:rFonts w:cs="Times New Roman"/>
          <w:b/>
          <w:noProof/>
          <w:szCs w:val="24"/>
        </w:rPr>
        <w:t>food waste</w:t>
      </w:r>
      <w:r>
        <w:rPr>
          <w:rStyle w:val="FootnoteReference"/>
          <w:rFonts w:cs="Times New Roman"/>
          <w:noProof/>
          <w:szCs w:val="24"/>
        </w:rPr>
        <w:footnoteReference w:id="21"/>
      </w:r>
      <w:r>
        <w:rPr>
          <w:rFonts w:cs="Times New Roman"/>
          <w:noProof/>
          <w:szCs w:val="24"/>
        </w:rPr>
        <w:t xml:space="preserve"> has an enormous potential for saving the resources we use to pro</w:t>
      </w:r>
      <w:r>
        <w:rPr>
          <w:rFonts w:cs="Times New Roman"/>
          <w:noProof/>
          <w:szCs w:val="24"/>
        </w:rPr>
        <w:t>duce the food we eat. Food waste takes place all along the value chain: during production and distribution, in shops, restaurants, catering facilities, and at home. This makes it particularly hard to quantify. According to Eurostat’s preliminary estimates,</w:t>
      </w:r>
      <w:r>
        <w:rPr>
          <w:rFonts w:cs="Times New Roman"/>
          <w:noProof/>
          <w:szCs w:val="24"/>
        </w:rPr>
        <w:t xml:space="preserve"> EU</w:t>
      </w:r>
      <w:r>
        <w:rPr>
          <w:rFonts w:cs="Times New Roman"/>
          <w:noProof/>
        </w:rPr>
        <w:t xml:space="preserve"> food waste </w:t>
      </w:r>
      <w:r>
        <w:rPr>
          <w:rFonts w:cs="Times New Roman"/>
          <w:b/>
          <w:noProof/>
        </w:rPr>
        <w:t>decreased</w:t>
      </w:r>
      <w:r>
        <w:rPr>
          <w:rFonts w:cs="Times New Roman"/>
          <w:noProof/>
        </w:rPr>
        <w:t xml:space="preserve"> from 81 to 76 million tonnes (i.e. by around 7 %) between 2012 and 2014, equivalent to a drop from 161 to 149 kg per capita.</w:t>
      </w:r>
    </w:p>
    <w:p w:rsidR="00C662F9" w:rsidRDefault="00C662F9">
      <w:pPr>
        <w:spacing w:after="0"/>
        <w:jc w:val="both"/>
        <w:rPr>
          <w:rFonts w:cs="Times New Roman"/>
          <w:noProof/>
          <w:szCs w:val="24"/>
        </w:rPr>
      </w:pPr>
    </w:p>
    <w:p w:rsidR="00C662F9" w:rsidRDefault="00D44DDF">
      <w:pPr>
        <w:spacing w:after="120"/>
        <w:jc w:val="both"/>
        <w:rPr>
          <w:rFonts w:cs="Times New Roman"/>
          <w:b/>
          <w:i/>
          <w:noProof/>
          <w:szCs w:val="24"/>
        </w:rPr>
      </w:pPr>
      <w:r>
        <w:rPr>
          <w:rFonts w:cs="Times New Roman"/>
          <w:b/>
          <w:i/>
          <w:noProof/>
          <w:szCs w:val="24"/>
        </w:rPr>
        <w:t>Waste management</w:t>
      </w:r>
    </w:p>
    <w:tbl>
      <w:tblPr>
        <w:tblStyle w:val="TableGrid"/>
        <w:tblW w:w="0" w:type="auto"/>
        <w:tblInd w:w="108" w:type="dxa"/>
        <w:shd w:val="clear" w:color="auto" w:fill="F2F2F2" w:themeFill="background1" w:themeFillShade="F2"/>
        <w:tblLook w:val="04A0" w:firstRow="1" w:lastRow="0" w:firstColumn="1" w:lastColumn="0" w:noHBand="0" w:noVBand="1"/>
      </w:tblPr>
      <w:tblGrid>
        <w:gridCol w:w="9072"/>
      </w:tblGrid>
      <w:tr w:rsidR="00C662F9">
        <w:tc>
          <w:tcPr>
            <w:tcW w:w="9072" w:type="dxa"/>
            <w:shd w:val="clear" w:color="auto" w:fill="F2F2F2" w:themeFill="background1" w:themeFillShade="F2"/>
          </w:tcPr>
          <w:p w:rsidR="00C662F9" w:rsidRDefault="00D44DDF">
            <w:pPr>
              <w:spacing w:before="120" w:after="120"/>
              <w:jc w:val="both"/>
              <w:rPr>
                <w:rFonts w:ascii="Times New Roman" w:hAnsi="Times New Roman" w:cs="Times New Roman"/>
                <w:noProof/>
                <w:sz w:val="24"/>
              </w:rPr>
            </w:pPr>
            <w:r>
              <w:rPr>
                <w:rFonts w:ascii="Times New Roman" w:hAnsi="Times New Roman" w:cs="Times New Roman"/>
                <w:noProof/>
                <w:sz w:val="24"/>
              </w:rPr>
              <w:t>Waste management generally shows positive developments, yet with significant room for im</w:t>
            </w:r>
            <w:r>
              <w:rPr>
                <w:rFonts w:ascii="Times New Roman" w:hAnsi="Times New Roman" w:cs="Times New Roman"/>
                <w:noProof/>
                <w:sz w:val="24"/>
              </w:rPr>
              <w:t xml:space="preserve">provement and differences among Member States and across waste streams. </w:t>
            </w:r>
          </w:p>
        </w:tc>
      </w:tr>
    </w:tbl>
    <w:p w:rsidR="00C662F9" w:rsidRDefault="00C662F9">
      <w:pPr>
        <w:spacing w:after="0"/>
        <w:jc w:val="both"/>
        <w:rPr>
          <w:rFonts w:cs="Times New Roman"/>
          <w:noProof/>
          <w:color w:val="000000"/>
          <w:position w:val="-2"/>
          <w:szCs w:val="24"/>
        </w:rPr>
      </w:pPr>
    </w:p>
    <w:p w:rsidR="00C662F9" w:rsidRDefault="00D44DDF">
      <w:pPr>
        <w:jc w:val="both"/>
        <w:rPr>
          <w:rFonts w:cs="Times New Roman"/>
          <w:noProof/>
          <w:color w:val="000000"/>
          <w:position w:val="-2"/>
          <w:szCs w:val="24"/>
        </w:rPr>
      </w:pPr>
      <w:r>
        <w:rPr>
          <w:rFonts w:cs="Times New Roman"/>
          <w:noProof/>
          <w:color w:val="000000"/>
          <w:position w:val="-2"/>
          <w:szCs w:val="24"/>
        </w:rPr>
        <w:lastRenderedPageBreak/>
        <w:t xml:space="preserve">Between 2008 and 2016, EU </w:t>
      </w:r>
      <w:r>
        <w:rPr>
          <w:rFonts w:cs="Times New Roman"/>
          <w:b/>
          <w:noProof/>
          <w:color w:val="000000"/>
          <w:position w:val="-2"/>
          <w:szCs w:val="24"/>
        </w:rPr>
        <w:t>recycling rates for municipal waste increased</w:t>
      </w:r>
      <w:r>
        <w:rPr>
          <w:rFonts w:cs="Times New Roman"/>
          <w:noProof/>
          <w:color w:val="000000"/>
          <w:position w:val="-2"/>
          <w:szCs w:val="24"/>
        </w:rPr>
        <w:t xml:space="preserve"> from 37 % to 46 %. </w:t>
      </w:r>
      <w:r>
        <w:rPr>
          <w:noProof/>
          <w:color w:val="000000"/>
          <w:position w:val="-2"/>
        </w:rPr>
        <w:t xml:space="preserve">Five Member States recycle more than half of their municipal waste, while some countries </w:t>
      </w:r>
      <w:r>
        <w:rPr>
          <w:noProof/>
          <w:color w:val="000000"/>
          <w:position w:val="-2"/>
        </w:rPr>
        <w:t>are approaching the 2030 recycling target of 65 %</w:t>
      </w:r>
      <w:r>
        <w:rPr>
          <w:rFonts w:cs="Times New Roman"/>
          <w:noProof/>
          <w:color w:val="000000"/>
          <w:position w:val="-2"/>
          <w:szCs w:val="24"/>
        </w:rPr>
        <w:t xml:space="preserve"> proposed by the Commission</w:t>
      </w:r>
      <w:r>
        <w:rPr>
          <w:rStyle w:val="FootnoteReference"/>
          <w:rFonts w:cs="Times New Roman"/>
          <w:noProof/>
          <w:szCs w:val="24"/>
        </w:rPr>
        <w:footnoteReference w:id="22"/>
      </w:r>
      <w:r>
        <w:rPr>
          <w:rFonts w:cs="Times New Roman"/>
          <w:noProof/>
          <w:color w:val="000000"/>
          <w:position w:val="-2"/>
          <w:szCs w:val="24"/>
        </w:rPr>
        <w:t>; however, five Member States are still below 25 %.</w:t>
      </w:r>
      <w:r>
        <w:rPr>
          <w:rStyle w:val="FootnoteReference"/>
          <w:rFonts w:cs="Times New Roman"/>
          <w:noProof/>
          <w:color w:val="000000"/>
          <w:position w:val="-2"/>
          <w:szCs w:val="24"/>
        </w:rPr>
        <w:footnoteReference w:id="23"/>
      </w:r>
      <w:r>
        <w:rPr>
          <w:rFonts w:cs="Times New Roman"/>
          <w:noProof/>
          <w:color w:val="000000"/>
          <w:position w:val="-2"/>
          <w:szCs w:val="24"/>
        </w:rPr>
        <w:t xml:space="preserve"> </w:t>
      </w:r>
    </w:p>
    <w:p w:rsidR="00C662F9" w:rsidRDefault="00D44DDF">
      <w:pPr>
        <w:jc w:val="both"/>
        <w:rPr>
          <w:rFonts w:cs="Times New Roman"/>
          <w:noProof/>
          <w:szCs w:val="24"/>
          <w:highlight w:val="yellow"/>
        </w:rPr>
      </w:pPr>
      <w:r>
        <w:rPr>
          <w:noProof/>
          <w:lang w:eastAsia="en-GB"/>
        </w:rPr>
        <w:drawing>
          <wp:inline distT="0" distB="0" distL="0" distR="0">
            <wp:extent cx="5760720" cy="291159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911595"/>
                    </a:xfrm>
                    <a:prstGeom prst="rect">
                      <a:avLst/>
                    </a:prstGeom>
                  </pic:spPr>
                </pic:pic>
              </a:graphicData>
            </a:graphic>
          </wp:inline>
        </w:drawing>
      </w:r>
    </w:p>
    <w:p w:rsidR="00C662F9" w:rsidRDefault="00D44DDF">
      <w:pPr>
        <w:jc w:val="both"/>
        <w:rPr>
          <w:rFonts w:eastAsia="Cambria" w:cs="Times New Roman"/>
          <w:noProof/>
          <w:color w:val="000000"/>
          <w:position w:val="-2"/>
          <w:sz w:val="22"/>
          <w:lang w:eastAsia="en-GB"/>
        </w:rPr>
      </w:pPr>
      <w:r>
        <w:rPr>
          <w:rFonts w:eastAsia="Cambria" w:cs="Times New Roman"/>
          <w:noProof/>
          <w:color w:val="000000"/>
          <w:position w:val="-2"/>
          <w:sz w:val="22"/>
          <w:lang w:eastAsia="en-GB"/>
        </w:rPr>
        <w:t>Source: Eurostat</w:t>
      </w:r>
    </w:p>
    <w:p w:rsidR="00C662F9" w:rsidRDefault="00D44DDF">
      <w:pPr>
        <w:jc w:val="both"/>
        <w:rPr>
          <w:rFonts w:cs="Times New Roman"/>
          <w:noProof/>
          <w:color w:val="000000"/>
          <w:position w:val="-2"/>
          <w:szCs w:val="24"/>
        </w:rPr>
      </w:pPr>
      <w:r>
        <w:rPr>
          <w:rFonts w:eastAsia="Cambria" w:cs="Times New Roman"/>
          <w:noProof/>
          <w:color w:val="000000"/>
          <w:position w:val="-2"/>
          <w:szCs w:val="24"/>
          <w:lang w:eastAsia="en-GB"/>
        </w:rPr>
        <w:t>Between 2008 and 2015,</w:t>
      </w:r>
      <w:r>
        <w:rPr>
          <w:rFonts w:eastAsia="Cambria"/>
          <w:noProof/>
          <w:color w:val="000000"/>
          <w:position w:val="-2"/>
          <w:sz w:val="22"/>
        </w:rPr>
        <w:t xml:space="preserve"> </w:t>
      </w:r>
      <w:r>
        <w:rPr>
          <w:noProof/>
          <w:color w:val="000000"/>
          <w:position w:val="-2"/>
        </w:rPr>
        <w:t>t</w:t>
      </w:r>
      <w:r>
        <w:rPr>
          <w:rFonts w:cs="Times New Roman"/>
          <w:noProof/>
          <w:color w:val="000000"/>
          <w:position w:val="-2"/>
          <w:szCs w:val="24"/>
        </w:rPr>
        <w:t xml:space="preserve">he </w:t>
      </w:r>
      <w:r>
        <w:rPr>
          <w:rFonts w:cs="Times New Roman"/>
          <w:b/>
          <w:noProof/>
          <w:color w:val="000000"/>
          <w:position w:val="-2"/>
          <w:szCs w:val="24"/>
        </w:rPr>
        <w:t>recycling rates for packaging waste also increased</w:t>
      </w:r>
      <w:r>
        <w:rPr>
          <w:rFonts w:cs="Times New Roman"/>
          <w:noProof/>
          <w:color w:val="000000"/>
          <w:position w:val="-2"/>
          <w:szCs w:val="24"/>
        </w:rPr>
        <w:t xml:space="preserve"> in the EU, </w:t>
      </w:r>
      <w:r>
        <w:rPr>
          <w:noProof/>
          <w:color w:val="000000"/>
          <w:position w:val="-2"/>
        </w:rPr>
        <w:t>from 62 % to 66 %</w:t>
      </w:r>
      <w:r>
        <w:rPr>
          <w:noProof/>
          <w:color w:val="000000"/>
          <w:position w:val="-2"/>
        </w:rPr>
        <w:t xml:space="preserve">; it increased in almost all Member States, and in 2015 </w:t>
      </w:r>
      <w:r>
        <w:rPr>
          <w:b/>
          <w:noProof/>
          <w:color w:val="000000"/>
          <w:position w:val="-2"/>
        </w:rPr>
        <w:t xml:space="preserve">almost all Member States had met </w:t>
      </w:r>
      <w:r>
        <w:rPr>
          <w:rFonts w:cs="Times New Roman"/>
          <w:b/>
          <w:noProof/>
          <w:color w:val="000000"/>
          <w:position w:val="-2"/>
          <w:szCs w:val="24"/>
        </w:rPr>
        <w:t>the 2008 target of 55 %</w:t>
      </w:r>
      <w:r>
        <w:rPr>
          <w:rFonts w:cs="Times New Roman"/>
          <w:noProof/>
          <w:color w:val="000000"/>
          <w:position w:val="-2"/>
          <w:szCs w:val="24"/>
        </w:rPr>
        <w:t xml:space="preserve"> </w:t>
      </w:r>
      <w:r>
        <w:rPr>
          <w:noProof/>
          <w:color w:val="000000"/>
          <w:position w:val="-2"/>
        </w:rPr>
        <w:t>(the Commission has proposed a target of 65 % by 2025 and 75 % by 2030</w:t>
      </w:r>
      <w:r>
        <w:rPr>
          <w:rStyle w:val="FootnoteReference"/>
          <w:rFonts w:cs="Times New Roman"/>
          <w:noProof/>
          <w:szCs w:val="24"/>
        </w:rPr>
        <w:footnoteReference w:id="24"/>
      </w:r>
      <w:r>
        <w:rPr>
          <w:noProof/>
          <w:color w:val="000000"/>
          <w:position w:val="-2"/>
        </w:rPr>
        <w:t>)</w:t>
      </w:r>
      <w:r>
        <w:rPr>
          <w:rFonts w:cs="Times New Roman"/>
          <w:noProof/>
          <w:color w:val="000000"/>
          <w:position w:val="-2"/>
          <w:szCs w:val="24"/>
        </w:rPr>
        <w:t xml:space="preserve">. For </w:t>
      </w:r>
      <w:r>
        <w:rPr>
          <w:rFonts w:cs="Times New Roman"/>
          <w:b/>
          <w:noProof/>
          <w:color w:val="000000"/>
          <w:position w:val="-2"/>
          <w:szCs w:val="24"/>
        </w:rPr>
        <w:t>plastic packaging,</w:t>
      </w:r>
      <w:r>
        <w:rPr>
          <w:rFonts w:cs="Times New Roman"/>
          <w:noProof/>
          <w:color w:val="000000"/>
          <w:position w:val="-2"/>
          <w:szCs w:val="24"/>
        </w:rPr>
        <w:t xml:space="preserve"> the average recycling rate in the EU is significantly lower, at </w:t>
      </w:r>
      <w:r>
        <w:rPr>
          <w:rFonts w:cs="Times New Roman"/>
          <w:b/>
          <w:noProof/>
          <w:color w:val="000000"/>
          <w:position w:val="-2"/>
          <w:szCs w:val="24"/>
        </w:rPr>
        <w:t>40 %</w:t>
      </w:r>
      <w:r>
        <w:rPr>
          <w:rFonts w:cs="Times New Roman"/>
          <w:noProof/>
          <w:color w:val="000000"/>
          <w:position w:val="-2"/>
          <w:szCs w:val="24"/>
        </w:rPr>
        <w:t xml:space="preserve">, even though there have been improvements in recent years. </w:t>
      </w:r>
    </w:p>
    <w:p w:rsidR="00C662F9" w:rsidRDefault="00D44DDF">
      <w:pPr>
        <w:jc w:val="both"/>
        <w:rPr>
          <w:rFonts w:eastAsia="Cambria" w:cs="Times New Roman"/>
          <w:noProof/>
          <w:color w:val="000000"/>
          <w:position w:val="-2"/>
          <w:szCs w:val="24"/>
          <w:lang w:eastAsia="en-GB"/>
        </w:rPr>
      </w:pPr>
      <w:r>
        <w:rPr>
          <w:rFonts w:cs="Times New Roman"/>
          <w:noProof/>
          <w:szCs w:val="24"/>
        </w:rPr>
        <w:t xml:space="preserve">The </w:t>
      </w:r>
      <w:r>
        <w:rPr>
          <w:rFonts w:cs="Times New Roman"/>
          <w:b/>
          <w:noProof/>
          <w:szCs w:val="24"/>
        </w:rPr>
        <w:t xml:space="preserve">recycling </w:t>
      </w:r>
      <w:r>
        <w:rPr>
          <w:rFonts w:cs="Times New Roman"/>
          <w:noProof/>
          <w:szCs w:val="24"/>
        </w:rPr>
        <w:t xml:space="preserve">of municipal </w:t>
      </w:r>
      <w:r>
        <w:rPr>
          <w:rFonts w:cs="Times New Roman"/>
          <w:b/>
          <w:noProof/>
          <w:szCs w:val="24"/>
        </w:rPr>
        <w:t>biowaste</w:t>
      </w:r>
      <w:r>
        <w:rPr>
          <w:rFonts w:cs="Times New Roman"/>
          <w:noProof/>
          <w:szCs w:val="24"/>
        </w:rPr>
        <w:t xml:space="preserve"> </w:t>
      </w:r>
      <w:r>
        <w:rPr>
          <w:rFonts w:cs="Times New Roman"/>
          <w:noProof/>
          <w:color w:val="000000"/>
          <w:position w:val="-2"/>
          <w:szCs w:val="24"/>
        </w:rPr>
        <w:t>in the EU</w:t>
      </w:r>
      <w:r>
        <w:rPr>
          <w:rFonts w:cs="Times New Roman"/>
          <w:noProof/>
          <w:szCs w:val="24"/>
        </w:rPr>
        <w:t xml:space="preserve"> was 79 kg per capita in 2016, an </w:t>
      </w:r>
      <w:r>
        <w:rPr>
          <w:rFonts w:cs="Times New Roman"/>
          <w:b/>
          <w:noProof/>
          <w:szCs w:val="24"/>
        </w:rPr>
        <w:t>increase</w:t>
      </w:r>
      <w:r>
        <w:rPr>
          <w:rFonts w:cs="Times New Roman"/>
          <w:noProof/>
          <w:szCs w:val="24"/>
        </w:rPr>
        <w:t xml:space="preserve"> of 23 % compared to 2007.</w:t>
      </w:r>
    </w:p>
    <w:p w:rsidR="00C662F9" w:rsidRDefault="00D44DDF">
      <w:pPr>
        <w:jc w:val="both"/>
        <w:rPr>
          <w:rFonts w:cs="Times New Roman"/>
          <w:noProof/>
          <w:color w:val="000000"/>
          <w:position w:val="-2"/>
          <w:szCs w:val="24"/>
        </w:rPr>
      </w:pPr>
      <w:r>
        <w:rPr>
          <w:rFonts w:cs="Times New Roman"/>
          <w:noProof/>
          <w:color w:val="000000"/>
          <w:position w:val="-2"/>
          <w:szCs w:val="24"/>
        </w:rPr>
        <w:t xml:space="preserve">For the </w:t>
      </w:r>
      <w:r>
        <w:rPr>
          <w:rFonts w:cs="Times New Roman"/>
          <w:b/>
          <w:noProof/>
          <w:color w:val="000000"/>
          <w:position w:val="-2"/>
          <w:szCs w:val="24"/>
        </w:rPr>
        <w:t>recy</w:t>
      </w:r>
      <w:r>
        <w:rPr>
          <w:rFonts w:cs="Times New Roman"/>
          <w:b/>
          <w:noProof/>
          <w:color w:val="000000"/>
          <w:position w:val="-2"/>
          <w:szCs w:val="24"/>
        </w:rPr>
        <w:t>cling of waste</w:t>
      </w:r>
      <w:r>
        <w:rPr>
          <w:rFonts w:cs="Times New Roman"/>
          <w:noProof/>
          <w:color w:val="000000"/>
          <w:position w:val="-2"/>
          <w:szCs w:val="24"/>
        </w:rPr>
        <w:t xml:space="preserve"> </w:t>
      </w:r>
      <w:r>
        <w:rPr>
          <w:rFonts w:cs="Times New Roman"/>
          <w:b/>
          <w:noProof/>
          <w:color w:val="000000"/>
          <w:position w:val="-2"/>
          <w:szCs w:val="24"/>
        </w:rPr>
        <w:t>electrical and electronic equipment</w:t>
      </w:r>
      <w:r>
        <w:rPr>
          <w:rFonts w:cs="Times New Roman"/>
          <w:noProof/>
          <w:color w:val="000000"/>
          <w:position w:val="-2"/>
          <w:szCs w:val="24"/>
        </w:rPr>
        <w:t xml:space="preserve"> (WEEE), the data show that the level of collection and recycling varies considerably across EU Member States and indicate a great potential to improve resource efficiency and reduce illegal collection, tre</w:t>
      </w:r>
      <w:r>
        <w:rPr>
          <w:rFonts w:cs="Times New Roman"/>
          <w:noProof/>
          <w:color w:val="000000"/>
          <w:position w:val="-2"/>
          <w:szCs w:val="24"/>
        </w:rPr>
        <w:t>atment and shipment.</w:t>
      </w:r>
      <w:r>
        <w:rPr>
          <w:noProof/>
          <w:color w:val="000000"/>
          <w:position w:val="-2"/>
        </w:rPr>
        <w:t xml:space="preserve"> In 2015, </w:t>
      </w:r>
      <w:r>
        <w:rPr>
          <w:b/>
          <w:noProof/>
          <w:color w:val="000000"/>
          <w:position w:val="-2"/>
        </w:rPr>
        <w:t>only four Member States</w:t>
      </w:r>
      <w:r>
        <w:rPr>
          <w:noProof/>
          <w:color w:val="000000"/>
          <w:position w:val="-2"/>
        </w:rPr>
        <w:t xml:space="preserve"> recycled</w:t>
      </w:r>
      <w:r>
        <w:rPr>
          <w:rStyle w:val="FootnoteReference"/>
          <w:noProof/>
          <w:color w:val="000000"/>
          <w:position w:val="-2"/>
        </w:rPr>
        <w:footnoteReference w:id="25"/>
      </w:r>
      <w:r>
        <w:rPr>
          <w:noProof/>
          <w:color w:val="000000"/>
          <w:position w:val="-2"/>
        </w:rPr>
        <w:t xml:space="preserve"> over half of the </w:t>
      </w:r>
      <w:r>
        <w:rPr>
          <w:rFonts w:cs="Times New Roman"/>
          <w:noProof/>
          <w:color w:val="000000"/>
          <w:position w:val="-2"/>
          <w:szCs w:val="24"/>
        </w:rPr>
        <w:t>electrical and electronic equipment</w:t>
      </w:r>
      <w:r>
        <w:rPr>
          <w:noProof/>
          <w:color w:val="000000"/>
          <w:position w:val="-2"/>
        </w:rPr>
        <w:t xml:space="preserve"> that had been put on the market.</w:t>
      </w:r>
      <w:r>
        <w:rPr>
          <w:rFonts w:cs="Times New Roman"/>
          <w:noProof/>
          <w:color w:val="000000"/>
          <w:position w:val="-2"/>
          <w:szCs w:val="24"/>
        </w:rPr>
        <w:t xml:space="preserve"> </w:t>
      </w:r>
    </w:p>
    <w:p w:rsidR="00C662F9" w:rsidRDefault="00D44DDF">
      <w:pPr>
        <w:jc w:val="both"/>
        <w:rPr>
          <w:rFonts w:cs="Times New Roman"/>
          <w:noProof/>
          <w:color w:val="000000"/>
          <w:position w:val="-2"/>
          <w:szCs w:val="24"/>
        </w:rPr>
      </w:pPr>
      <w:r>
        <w:rPr>
          <w:rFonts w:cs="Times New Roman"/>
          <w:noProof/>
          <w:color w:val="000000"/>
          <w:position w:val="-2"/>
          <w:szCs w:val="24"/>
        </w:rPr>
        <w:t xml:space="preserve">Finally, for </w:t>
      </w:r>
      <w:r>
        <w:rPr>
          <w:rFonts w:cs="Times New Roman"/>
          <w:b/>
          <w:noProof/>
          <w:color w:val="000000"/>
          <w:position w:val="-2"/>
          <w:szCs w:val="24"/>
        </w:rPr>
        <w:t>construction and demolition waste,</w:t>
      </w:r>
      <w:r>
        <w:rPr>
          <w:rFonts w:cs="Times New Roman"/>
          <w:noProof/>
          <w:color w:val="000000"/>
          <w:position w:val="-2"/>
          <w:szCs w:val="24"/>
        </w:rPr>
        <w:t xml:space="preserve"> 20 Member States have reported that they already achieved</w:t>
      </w:r>
      <w:r>
        <w:rPr>
          <w:rFonts w:cs="Times New Roman"/>
          <w:noProof/>
          <w:color w:val="000000"/>
          <w:position w:val="-2"/>
          <w:szCs w:val="24"/>
        </w:rPr>
        <w:t xml:space="preserve"> the 70 % recovery target</w:t>
      </w:r>
      <w:r>
        <w:rPr>
          <w:rStyle w:val="FootnoteReference"/>
          <w:rFonts w:cs="Times New Roman"/>
          <w:noProof/>
          <w:color w:val="000000"/>
          <w:position w:val="-2"/>
          <w:szCs w:val="24"/>
        </w:rPr>
        <w:footnoteReference w:id="26"/>
      </w:r>
      <w:r>
        <w:rPr>
          <w:rFonts w:cs="Times New Roman"/>
          <w:noProof/>
          <w:color w:val="000000"/>
          <w:position w:val="-2"/>
          <w:szCs w:val="24"/>
        </w:rPr>
        <w:t xml:space="preserve"> set for 2020. Given that by weight this is the single biggest waste stream in the EU, it is a </w:t>
      </w:r>
      <w:r>
        <w:rPr>
          <w:rFonts w:cs="Times New Roman"/>
          <w:b/>
          <w:noProof/>
          <w:color w:val="000000"/>
          <w:position w:val="-2"/>
          <w:szCs w:val="24"/>
        </w:rPr>
        <w:t>positive</w:t>
      </w:r>
      <w:r>
        <w:rPr>
          <w:rFonts w:cs="Times New Roman"/>
          <w:noProof/>
          <w:color w:val="000000"/>
          <w:position w:val="-2"/>
          <w:szCs w:val="24"/>
        </w:rPr>
        <w:t xml:space="preserve"> sign. However, it should be noted that the target includes backfilling</w:t>
      </w:r>
      <w:r>
        <w:rPr>
          <w:rStyle w:val="FootnoteReference"/>
          <w:rFonts w:cs="Times New Roman"/>
          <w:noProof/>
          <w:color w:val="000000"/>
          <w:position w:val="-2"/>
          <w:szCs w:val="24"/>
        </w:rPr>
        <w:footnoteReference w:id="27"/>
      </w:r>
      <w:r>
        <w:rPr>
          <w:rFonts w:cs="Times New Roman"/>
          <w:noProof/>
          <w:color w:val="000000"/>
          <w:position w:val="-2"/>
          <w:szCs w:val="24"/>
        </w:rPr>
        <w:t>, a practice that does not keep the value of the materi</w:t>
      </w:r>
      <w:r>
        <w:rPr>
          <w:rFonts w:cs="Times New Roman"/>
          <w:noProof/>
          <w:color w:val="000000"/>
          <w:position w:val="-2"/>
          <w:szCs w:val="24"/>
        </w:rPr>
        <w:t>als in the economy and is therefore not conducive to a circular economy. In addition, there are large differences in data reporting between Member States.</w:t>
      </w:r>
    </w:p>
    <w:p w:rsidR="00C662F9" w:rsidRDefault="00D44DDF">
      <w:pPr>
        <w:jc w:val="both"/>
        <w:rPr>
          <w:rFonts w:cs="Times New Roman"/>
          <w:noProof/>
          <w:szCs w:val="24"/>
          <w:highlight w:val="yellow"/>
        </w:rPr>
      </w:pPr>
      <w:r>
        <w:rPr>
          <w:rFonts w:cs="Times New Roman"/>
          <w:noProof/>
          <w:szCs w:val="24"/>
          <w:lang w:eastAsia="en-GB"/>
        </w:rPr>
        <w:drawing>
          <wp:inline distT="0" distB="0" distL="0" distR="0">
            <wp:extent cx="5760720" cy="3352023"/>
            <wp:effectExtent l="0" t="0" r="0" b="1270"/>
            <wp:docPr id="6" name="Picture 6" descr="C:\Users\bacigba\AppData\Local\Microsoft\Windows\Temporary Internet Files\Content.Outlook\854RIAZA\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cigba\AppData\Local\Microsoft\Windows\Temporary Internet Files\Content.Outlook\854RIAZA\figure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352023"/>
                    </a:xfrm>
                    <a:prstGeom prst="rect">
                      <a:avLst/>
                    </a:prstGeom>
                    <a:noFill/>
                    <a:ln>
                      <a:noFill/>
                    </a:ln>
                  </pic:spPr>
                </pic:pic>
              </a:graphicData>
            </a:graphic>
          </wp:inline>
        </w:drawing>
      </w:r>
    </w:p>
    <w:p w:rsidR="00C662F9" w:rsidRDefault="00D44DDF">
      <w:pPr>
        <w:spacing w:after="120"/>
        <w:contextualSpacing/>
        <w:jc w:val="both"/>
        <w:rPr>
          <w:rFonts w:cs="Times New Roman"/>
          <w:noProof/>
          <w:sz w:val="22"/>
        </w:rPr>
      </w:pPr>
      <w:r>
        <w:rPr>
          <w:rFonts w:cs="Times New Roman"/>
          <w:noProof/>
          <w:sz w:val="22"/>
        </w:rPr>
        <w:t>Source: Eurostat</w:t>
      </w:r>
    </w:p>
    <w:p w:rsidR="00C662F9" w:rsidRDefault="00C662F9">
      <w:pPr>
        <w:spacing w:after="120"/>
        <w:contextualSpacing/>
        <w:jc w:val="both"/>
        <w:rPr>
          <w:rFonts w:cs="Times New Roman"/>
          <w:b/>
          <w:i/>
          <w:noProof/>
          <w:szCs w:val="24"/>
        </w:rPr>
      </w:pPr>
    </w:p>
    <w:p w:rsidR="00C662F9" w:rsidRDefault="00D44DDF">
      <w:pPr>
        <w:spacing w:after="120"/>
        <w:jc w:val="both"/>
        <w:rPr>
          <w:rFonts w:cs="Times New Roman"/>
          <w:b/>
          <w:i/>
          <w:noProof/>
          <w:szCs w:val="24"/>
        </w:rPr>
      </w:pPr>
      <w:r>
        <w:rPr>
          <w:rFonts w:cs="Times New Roman"/>
          <w:b/>
          <w:i/>
          <w:noProof/>
          <w:szCs w:val="24"/>
        </w:rPr>
        <w:t>Secondary raw materials</w:t>
      </w:r>
    </w:p>
    <w:tbl>
      <w:tblPr>
        <w:tblStyle w:val="TableGrid"/>
        <w:tblW w:w="0" w:type="auto"/>
        <w:tblInd w:w="108" w:type="dxa"/>
        <w:shd w:val="clear" w:color="auto" w:fill="F2F2F2" w:themeFill="background1" w:themeFillShade="F2"/>
        <w:tblLook w:val="04A0" w:firstRow="1" w:lastRow="0" w:firstColumn="1" w:lastColumn="0" w:noHBand="0" w:noVBand="1"/>
      </w:tblPr>
      <w:tblGrid>
        <w:gridCol w:w="9072"/>
      </w:tblGrid>
      <w:tr w:rsidR="00C662F9">
        <w:tc>
          <w:tcPr>
            <w:tcW w:w="9072" w:type="dxa"/>
            <w:shd w:val="clear" w:color="auto" w:fill="F2F2F2" w:themeFill="background1" w:themeFillShade="F2"/>
          </w:tcPr>
          <w:p w:rsidR="00C662F9" w:rsidRDefault="00D44DDF">
            <w:pPr>
              <w:spacing w:before="120" w:after="120"/>
              <w:jc w:val="both"/>
              <w:rPr>
                <w:rFonts w:ascii="Times New Roman" w:hAnsi="Times New Roman" w:cs="Times New Roman"/>
                <w:noProof/>
                <w:sz w:val="24"/>
              </w:rPr>
            </w:pPr>
            <w:r>
              <w:rPr>
                <w:rFonts w:ascii="Times New Roman" w:hAnsi="Times New Roman" w:cs="Times New Roman"/>
                <w:noProof/>
                <w:sz w:val="24"/>
              </w:rPr>
              <w:t xml:space="preserve">The contribution of recycled materials to overall </w:t>
            </w:r>
            <w:r>
              <w:rPr>
                <w:rFonts w:ascii="Times New Roman" w:hAnsi="Times New Roman" w:cs="Times New Roman"/>
                <w:noProof/>
                <w:sz w:val="24"/>
              </w:rPr>
              <w:t>materials demand is relatively low. Trade in secondary raw materials is increasing both in the EU and with third countries.</w:t>
            </w:r>
          </w:p>
        </w:tc>
      </w:tr>
    </w:tbl>
    <w:p w:rsidR="00C662F9" w:rsidRDefault="00C662F9">
      <w:pPr>
        <w:spacing w:after="0"/>
        <w:jc w:val="both"/>
        <w:rPr>
          <w:rFonts w:cs="Times New Roman"/>
          <w:noProof/>
          <w:color w:val="000000"/>
          <w:position w:val="-2"/>
          <w:szCs w:val="24"/>
        </w:rPr>
      </w:pPr>
    </w:p>
    <w:p w:rsidR="00C662F9" w:rsidRDefault="00D44DDF">
      <w:pPr>
        <w:spacing w:after="0"/>
        <w:jc w:val="both"/>
        <w:rPr>
          <w:rFonts w:cs="Times New Roman"/>
          <w:noProof/>
          <w:color w:val="000000"/>
          <w:position w:val="-2"/>
          <w:szCs w:val="24"/>
        </w:rPr>
      </w:pPr>
      <w:r>
        <w:rPr>
          <w:rFonts w:cs="Times New Roman"/>
          <w:noProof/>
          <w:color w:val="000000"/>
          <w:position w:val="-2"/>
          <w:szCs w:val="24"/>
        </w:rPr>
        <w:t>In a circular economy, materials embedded in products and components are recycled when they reach their end-of-life and are then i</w:t>
      </w:r>
      <w:r>
        <w:rPr>
          <w:rFonts w:cs="Times New Roman"/>
          <w:noProof/>
          <w:color w:val="000000"/>
          <w:position w:val="-2"/>
          <w:szCs w:val="24"/>
        </w:rPr>
        <w:t>njected back into the economy as secondary raw materials. This reduces the environmental footprint of production and consumption and increases the security of supply of raw materials. In the EU, the level of demand for raw materials exceeds what could be s</w:t>
      </w:r>
      <w:r>
        <w:rPr>
          <w:rFonts w:cs="Times New Roman"/>
          <w:noProof/>
          <w:color w:val="000000"/>
          <w:position w:val="-2"/>
          <w:szCs w:val="24"/>
        </w:rPr>
        <w:t xml:space="preserve">upplied even if all waste were turned into secondary raw materials. Therefore, the supply of primary raw materials will remain necessary. </w:t>
      </w:r>
    </w:p>
    <w:p w:rsidR="00C662F9" w:rsidRDefault="00C662F9">
      <w:pPr>
        <w:spacing w:after="0"/>
        <w:jc w:val="both"/>
        <w:rPr>
          <w:rFonts w:cs="Times New Roman"/>
          <w:noProof/>
          <w:color w:val="000000"/>
          <w:position w:val="-2"/>
          <w:szCs w:val="24"/>
        </w:rPr>
      </w:pPr>
    </w:p>
    <w:p w:rsidR="00C662F9" w:rsidRDefault="00D44DDF">
      <w:pPr>
        <w:spacing w:after="0"/>
        <w:jc w:val="both"/>
        <w:rPr>
          <w:rFonts w:eastAsia="Cambria" w:cs="Times New Roman"/>
          <w:noProof/>
          <w:color w:val="000000"/>
          <w:position w:val="-2"/>
          <w:szCs w:val="24"/>
          <w:lang w:eastAsia="en-GB"/>
        </w:rPr>
      </w:pPr>
      <w:r>
        <w:rPr>
          <w:rFonts w:cs="Times New Roman"/>
          <w:noProof/>
          <w:color w:val="000000"/>
          <w:position w:val="-2"/>
          <w:szCs w:val="24"/>
        </w:rPr>
        <w:t xml:space="preserve">On average, </w:t>
      </w:r>
      <w:r>
        <w:rPr>
          <w:rFonts w:cs="Times New Roman"/>
          <w:b/>
          <w:noProof/>
          <w:color w:val="000000"/>
          <w:position w:val="-2"/>
          <w:szCs w:val="24"/>
        </w:rPr>
        <w:t>recycled materials</w:t>
      </w:r>
      <w:r>
        <w:rPr>
          <w:rFonts w:cs="Times New Roman"/>
          <w:noProof/>
          <w:color w:val="000000"/>
          <w:position w:val="-2"/>
          <w:szCs w:val="24"/>
        </w:rPr>
        <w:t xml:space="preserve"> only satisfy </w:t>
      </w:r>
      <w:r>
        <w:rPr>
          <w:rFonts w:cs="Times New Roman"/>
          <w:b/>
          <w:noProof/>
          <w:color w:val="000000"/>
          <w:position w:val="-2"/>
          <w:szCs w:val="24"/>
        </w:rPr>
        <w:t xml:space="preserve">around 10 % of the EU demand for materials, </w:t>
      </w:r>
      <w:r>
        <w:rPr>
          <w:rFonts w:cs="Times New Roman"/>
          <w:noProof/>
          <w:color w:val="000000"/>
          <w:position w:val="-2"/>
          <w:szCs w:val="24"/>
        </w:rPr>
        <w:t>in spite of a steady improve</w:t>
      </w:r>
      <w:r>
        <w:rPr>
          <w:rFonts w:cs="Times New Roman"/>
          <w:noProof/>
          <w:color w:val="000000"/>
          <w:position w:val="-2"/>
          <w:szCs w:val="24"/>
        </w:rPr>
        <w:t>ment since 2004. For a number of bulk materials, secondary raw materials satisfy over 30 % of total demand for materials (e.g. copper and nickel). However, for a large number of materials, including almost all critical raw materials, the contribution of re</w:t>
      </w:r>
      <w:r>
        <w:rPr>
          <w:rFonts w:cs="Times New Roman"/>
          <w:noProof/>
          <w:color w:val="000000"/>
          <w:position w:val="-2"/>
          <w:szCs w:val="24"/>
        </w:rPr>
        <w:t xml:space="preserve">cycled materials to satisfying the demand for raw materials is still small to negligible. This may be because </w:t>
      </w:r>
      <w:r>
        <w:rPr>
          <w:rFonts w:eastAsia="Cambria" w:cs="Times New Roman"/>
          <w:noProof/>
          <w:color w:val="000000"/>
          <w:position w:val="-2"/>
          <w:szCs w:val="24"/>
          <w:lang w:eastAsia="en-GB"/>
        </w:rPr>
        <w:t>it is not profitable to recycle them, the technologies to recycle them are lacking, or the materials are embedded in products kept in use for a lo</w:t>
      </w:r>
      <w:r>
        <w:rPr>
          <w:rFonts w:eastAsia="Cambria" w:cs="Times New Roman"/>
          <w:noProof/>
          <w:color w:val="000000"/>
          <w:position w:val="-2"/>
          <w:szCs w:val="24"/>
          <w:lang w:eastAsia="en-GB"/>
        </w:rPr>
        <w:t xml:space="preserve">ng time (e.g. rare earth elements used in wind turbines). </w:t>
      </w:r>
    </w:p>
    <w:p w:rsidR="00C662F9" w:rsidRDefault="00C662F9">
      <w:pPr>
        <w:spacing w:after="0"/>
        <w:jc w:val="both"/>
        <w:rPr>
          <w:rFonts w:eastAsia="Cambria" w:cs="Times New Roman"/>
          <w:noProof/>
          <w:color w:val="000000"/>
          <w:position w:val="-2"/>
          <w:szCs w:val="24"/>
          <w:lang w:eastAsia="en-GB"/>
        </w:rPr>
      </w:pPr>
    </w:p>
    <w:p w:rsidR="00C662F9" w:rsidRDefault="00D44DDF">
      <w:pPr>
        <w:contextualSpacing/>
        <w:jc w:val="both"/>
        <w:rPr>
          <w:rFonts w:eastAsia="Cambria" w:cs="Times New Roman"/>
          <w:noProof/>
          <w:color w:val="000000"/>
          <w:position w:val="-2"/>
          <w:szCs w:val="24"/>
          <w:lang w:eastAsia="en-GB"/>
        </w:rPr>
      </w:pPr>
      <w:r>
        <w:rPr>
          <w:rFonts w:eastAsia="Cambria" w:cs="Times New Roman"/>
          <w:noProof/>
          <w:color w:val="000000"/>
          <w:position w:val="-2"/>
          <w:szCs w:val="24"/>
          <w:lang w:eastAsia="en-GB"/>
        </w:rPr>
        <w:t xml:space="preserve">Furthermore, the indicator on trade in recyclable waste shows that </w:t>
      </w:r>
      <w:r>
        <w:rPr>
          <w:rFonts w:eastAsia="Cambria" w:cs="Times New Roman"/>
          <w:b/>
          <w:noProof/>
          <w:color w:val="000000"/>
          <w:position w:val="-2"/>
          <w:szCs w:val="24"/>
          <w:lang w:eastAsia="en-GB"/>
        </w:rPr>
        <w:t>the EU is a net exporter of several major recyclable waste streams</w:t>
      </w:r>
      <w:r>
        <w:rPr>
          <w:rFonts w:eastAsia="Cambria" w:cs="Times New Roman"/>
          <w:noProof/>
          <w:color w:val="000000"/>
          <w:position w:val="-2"/>
          <w:szCs w:val="24"/>
          <w:lang w:eastAsia="en-GB"/>
        </w:rPr>
        <w:t xml:space="preserve"> such as plastics, paper and cardboard, iron and steel, copper, aluminium and nickel. </w:t>
      </w:r>
      <w:r>
        <w:rPr>
          <w:rFonts w:eastAsia="Cambria" w:cs="Times New Roman"/>
          <w:b/>
          <w:noProof/>
          <w:color w:val="000000"/>
          <w:position w:val="-2"/>
          <w:szCs w:val="24"/>
          <w:lang w:eastAsia="en-GB"/>
        </w:rPr>
        <w:t>Trade within the EU</w:t>
      </w:r>
      <w:r>
        <w:rPr>
          <w:rFonts w:eastAsia="Cambria" w:cs="Times New Roman"/>
          <w:noProof/>
          <w:color w:val="000000"/>
          <w:position w:val="-2"/>
          <w:szCs w:val="24"/>
          <w:lang w:eastAsia="en-GB"/>
        </w:rPr>
        <w:t xml:space="preserve"> of plastics, paper and cardboard, copper, aluminium, nickel and precious metals waste </w:t>
      </w:r>
      <w:r>
        <w:rPr>
          <w:rFonts w:eastAsia="Cambria" w:cs="Times New Roman"/>
          <w:b/>
          <w:noProof/>
          <w:color w:val="000000"/>
          <w:position w:val="-2"/>
          <w:szCs w:val="24"/>
          <w:lang w:eastAsia="en-GB"/>
        </w:rPr>
        <w:t>increased considerably</w:t>
      </w:r>
      <w:r>
        <w:rPr>
          <w:rFonts w:eastAsia="Cambria" w:cs="Times New Roman"/>
          <w:noProof/>
          <w:color w:val="000000"/>
          <w:position w:val="-2"/>
          <w:szCs w:val="24"/>
          <w:lang w:eastAsia="en-GB"/>
        </w:rPr>
        <w:t xml:space="preserve"> between 2004 and 2016, allowing economic </w:t>
      </w:r>
      <w:r>
        <w:rPr>
          <w:rFonts w:eastAsia="Cambria" w:cs="Times New Roman"/>
          <w:noProof/>
          <w:color w:val="000000"/>
          <w:position w:val="-2"/>
          <w:szCs w:val="24"/>
          <w:lang w:eastAsia="en-GB"/>
        </w:rPr>
        <w:t>operators to reap the benefits of the EU internal market for secondary raw materials.</w:t>
      </w:r>
    </w:p>
    <w:p w:rsidR="00C662F9" w:rsidRDefault="00C662F9">
      <w:pPr>
        <w:spacing w:after="120"/>
        <w:contextualSpacing/>
        <w:jc w:val="both"/>
        <w:rPr>
          <w:rFonts w:cs="Times New Roman"/>
          <w:b/>
          <w:i/>
          <w:noProof/>
          <w:szCs w:val="24"/>
        </w:rPr>
      </w:pPr>
    </w:p>
    <w:p w:rsidR="00C662F9" w:rsidRDefault="00D44DDF">
      <w:pPr>
        <w:spacing w:after="120"/>
        <w:jc w:val="both"/>
        <w:rPr>
          <w:rFonts w:cs="Times New Roman"/>
          <w:b/>
          <w:i/>
          <w:noProof/>
          <w:szCs w:val="24"/>
        </w:rPr>
      </w:pPr>
      <w:r>
        <w:rPr>
          <w:rFonts w:cs="Times New Roman"/>
          <w:b/>
          <w:i/>
          <w:noProof/>
          <w:szCs w:val="24"/>
        </w:rPr>
        <w:t>Competitiveness and innovation</w:t>
      </w:r>
    </w:p>
    <w:tbl>
      <w:tblPr>
        <w:tblStyle w:val="TableGrid"/>
        <w:tblW w:w="0" w:type="auto"/>
        <w:tblInd w:w="108" w:type="dxa"/>
        <w:shd w:val="clear" w:color="auto" w:fill="F2F2F2" w:themeFill="background1" w:themeFillShade="F2"/>
        <w:tblLook w:val="04A0" w:firstRow="1" w:lastRow="0" w:firstColumn="1" w:lastColumn="0" w:noHBand="0" w:noVBand="1"/>
      </w:tblPr>
      <w:tblGrid>
        <w:gridCol w:w="9072"/>
      </w:tblGrid>
      <w:tr w:rsidR="00C662F9">
        <w:tc>
          <w:tcPr>
            <w:tcW w:w="9072" w:type="dxa"/>
            <w:shd w:val="clear" w:color="auto" w:fill="F2F2F2" w:themeFill="background1" w:themeFillShade="F2"/>
          </w:tcPr>
          <w:p w:rsidR="00C662F9" w:rsidRDefault="00D44DDF">
            <w:pPr>
              <w:spacing w:before="120" w:after="120"/>
              <w:jc w:val="both"/>
              <w:rPr>
                <w:rFonts w:ascii="Times New Roman" w:hAnsi="Times New Roman" w:cs="Times New Roman"/>
                <w:noProof/>
                <w:sz w:val="24"/>
              </w:rPr>
            </w:pPr>
            <w:r>
              <w:rPr>
                <w:rFonts w:ascii="Times New Roman" w:hAnsi="Times New Roman" w:cs="Times New Roman"/>
                <w:noProof/>
                <w:sz w:val="24"/>
              </w:rPr>
              <w:t xml:space="preserve">The transition to a circular economy increases investments, value added and jobs, and stimulates innovation. </w:t>
            </w:r>
          </w:p>
        </w:tc>
      </w:tr>
    </w:tbl>
    <w:p w:rsidR="00C662F9" w:rsidRDefault="00C662F9">
      <w:pPr>
        <w:spacing w:after="0"/>
        <w:jc w:val="both"/>
        <w:rPr>
          <w:rFonts w:cs="Times New Roman"/>
          <w:noProof/>
          <w:color w:val="000000"/>
          <w:position w:val="-2"/>
          <w:szCs w:val="24"/>
        </w:rPr>
      </w:pPr>
    </w:p>
    <w:p w:rsidR="00C662F9" w:rsidRDefault="00D44DDF">
      <w:pPr>
        <w:jc w:val="both"/>
        <w:rPr>
          <w:rFonts w:cs="Times New Roman"/>
          <w:noProof/>
          <w:color w:val="000000"/>
          <w:position w:val="-2"/>
          <w:szCs w:val="24"/>
        </w:rPr>
      </w:pPr>
      <w:r>
        <w:rPr>
          <w:noProof/>
          <w:lang w:eastAsia="en-GB"/>
        </w:rPr>
        <w:drawing>
          <wp:inline distT="0" distB="0" distL="0" distR="0">
            <wp:extent cx="5768502" cy="1522787"/>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7366" cy="1522487"/>
                    </a:xfrm>
                    <a:prstGeom prst="rect">
                      <a:avLst/>
                    </a:prstGeom>
                  </pic:spPr>
                </pic:pic>
              </a:graphicData>
            </a:graphic>
          </wp:inline>
        </w:drawing>
      </w:r>
    </w:p>
    <w:p w:rsidR="00C662F9" w:rsidRDefault="00D44DDF">
      <w:pPr>
        <w:jc w:val="both"/>
        <w:rPr>
          <w:rFonts w:cs="Times New Roman"/>
          <w:noProof/>
          <w:color w:val="000000"/>
          <w:position w:val="-2"/>
          <w:sz w:val="22"/>
        </w:rPr>
      </w:pPr>
      <w:r>
        <w:rPr>
          <w:rFonts w:cs="Times New Roman"/>
          <w:noProof/>
          <w:color w:val="000000"/>
          <w:position w:val="-2"/>
          <w:sz w:val="22"/>
        </w:rPr>
        <w:t>Source: Eurostat</w:t>
      </w:r>
    </w:p>
    <w:p w:rsidR="00C662F9" w:rsidRDefault="00D44DDF">
      <w:pPr>
        <w:jc w:val="both"/>
        <w:rPr>
          <w:rFonts w:cs="Times New Roman"/>
          <w:noProof/>
          <w:color w:val="000000"/>
          <w:position w:val="-2"/>
          <w:szCs w:val="24"/>
        </w:rPr>
      </w:pPr>
      <w:r>
        <w:rPr>
          <w:rFonts w:cs="Times New Roman"/>
          <w:noProof/>
          <w:color w:val="000000"/>
          <w:position w:val="-2"/>
          <w:szCs w:val="24"/>
        </w:rPr>
        <w:t>In 2014</w:t>
      </w:r>
      <w:r>
        <w:rPr>
          <w:rFonts w:cs="Times New Roman"/>
          <w:noProof/>
          <w:color w:val="000000"/>
          <w:position w:val="-2"/>
          <w:szCs w:val="24"/>
        </w:rPr>
        <w:t xml:space="preserve">, </w:t>
      </w:r>
      <w:r>
        <w:rPr>
          <w:rFonts w:cs="Times New Roman"/>
          <w:b/>
          <w:noProof/>
          <w:color w:val="000000"/>
          <w:position w:val="-2"/>
          <w:szCs w:val="24"/>
        </w:rPr>
        <w:t>private investments</w:t>
      </w:r>
      <w:r>
        <w:rPr>
          <w:rFonts w:cs="Times New Roman"/>
          <w:noProof/>
          <w:color w:val="000000"/>
          <w:position w:val="-2"/>
          <w:szCs w:val="24"/>
        </w:rPr>
        <w:t xml:space="preserve"> in a subset of economic sectors relevant to the circular economy</w:t>
      </w:r>
      <w:r>
        <w:rPr>
          <w:rStyle w:val="FootnoteReference"/>
          <w:rFonts w:cs="Times New Roman"/>
          <w:noProof/>
          <w:color w:val="000000"/>
          <w:position w:val="-2"/>
          <w:szCs w:val="24"/>
        </w:rPr>
        <w:footnoteReference w:id="28"/>
      </w:r>
      <w:r>
        <w:rPr>
          <w:rFonts w:cs="Times New Roman"/>
          <w:noProof/>
          <w:color w:val="000000"/>
          <w:position w:val="-2"/>
          <w:szCs w:val="24"/>
        </w:rPr>
        <w:t xml:space="preserve"> are estimated to have been around </w:t>
      </w:r>
      <w:r>
        <w:rPr>
          <w:rFonts w:cs="Times New Roman"/>
          <w:b/>
          <w:noProof/>
          <w:color w:val="000000"/>
          <w:position w:val="-2"/>
          <w:szCs w:val="24"/>
        </w:rPr>
        <w:t>EUR</w:t>
      </w:r>
      <w:r>
        <w:rPr>
          <w:rFonts w:cs="Times New Roman"/>
          <w:noProof/>
          <w:color w:val="000000"/>
          <w:position w:val="-2"/>
          <w:szCs w:val="24"/>
        </w:rPr>
        <w:t xml:space="preserve"> </w:t>
      </w:r>
      <w:r>
        <w:rPr>
          <w:rFonts w:cs="Times New Roman"/>
          <w:b/>
          <w:noProof/>
          <w:color w:val="000000"/>
          <w:position w:val="-2"/>
          <w:szCs w:val="24"/>
        </w:rPr>
        <w:t>15 billion</w:t>
      </w:r>
      <w:r>
        <w:rPr>
          <w:rFonts w:cs="Times New Roman"/>
          <w:noProof/>
          <w:color w:val="000000"/>
          <w:position w:val="-2"/>
          <w:szCs w:val="24"/>
        </w:rPr>
        <w:t xml:space="preserve"> in the EU (i.e. 0.1 % GDP). The same year there were more than 3.9 million </w:t>
      </w:r>
      <w:r>
        <w:rPr>
          <w:rFonts w:cs="Times New Roman"/>
          <w:b/>
          <w:noProof/>
          <w:color w:val="000000"/>
          <w:position w:val="-2"/>
          <w:szCs w:val="24"/>
        </w:rPr>
        <w:t>jobs</w:t>
      </w:r>
      <w:r>
        <w:rPr>
          <w:rFonts w:cs="Times New Roman"/>
          <w:noProof/>
          <w:color w:val="000000"/>
          <w:position w:val="-2"/>
          <w:szCs w:val="24"/>
        </w:rPr>
        <w:t xml:space="preserve"> in these sectors, an </w:t>
      </w:r>
      <w:r>
        <w:rPr>
          <w:rFonts w:cs="Times New Roman"/>
          <w:b/>
          <w:noProof/>
          <w:color w:val="000000"/>
          <w:position w:val="-2"/>
          <w:szCs w:val="24"/>
        </w:rPr>
        <w:t>increase of 2.3 %</w:t>
      </w:r>
      <w:r>
        <w:rPr>
          <w:rFonts w:cs="Times New Roman"/>
          <w:noProof/>
          <w:color w:val="000000"/>
          <w:position w:val="-2"/>
          <w:szCs w:val="24"/>
        </w:rPr>
        <w:t xml:space="preserve"> compared to 2012. In spite of the economic and financial crisis, these circular economy sectors created around EUR 141 billion of </w:t>
      </w:r>
      <w:r>
        <w:rPr>
          <w:rFonts w:cs="Times New Roman"/>
          <w:b/>
          <w:noProof/>
          <w:color w:val="000000"/>
          <w:position w:val="-2"/>
          <w:szCs w:val="24"/>
        </w:rPr>
        <w:t>value added</w:t>
      </w:r>
      <w:r>
        <w:rPr>
          <w:rFonts w:cs="Times New Roman"/>
          <w:noProof/>
          <w:color w:val="000000"/>
          <w:position w:val="-2"/>
          <w:szCs w:val="24"/>
        </w:rPr>
        <w:t xml:space="preserve"> in 2014, which represents an </w:t>
      </w:r>
      <w:r>
        <w:rPr>
          <w:rFonts w:cs="Times New Roman"/>
          <w:b/>
          <w:noProof/>
          <w:color w:val="000000"/>
          <w:position w:val="-2"/>
          <w:szCs w:val="24"/>
        </w:rPr>
        <w:t>increase of 6.1 %</w:t>
      </w:r>
      <w:r>
        <w:rPr>
          <w:rFonts w:cs="Times New Roman"/>
          <w:noProof/>
          <w:color w:val="000000"/>
          <w:position w:val="-2"/>
          <w:szCs w:val="24"/>
        </w:rPr>
        <w:t xml:space="preserve"> compared to 2012. Several EU funding programmes are available to s</w:t>
      </w:r>
      <w:r>
        <w:rPr>
          <w:rFonts w:cs="Times New Roman"/>
          <w:noProof/>
          <w:color w:val="000000"/>
          <w:position w:val="-2"/>
          <w:szCs w:val="24"/>
        </w:rPr>
        <w:t>upport the transition to a circular economy, such as the European Fund for Strategic Investments, the European Structural and Investment Funds, Horizon 2020 and the LIFE programme. In addition, in January 2017 a Circular Economy Finance Support Platform wa</w:t>
      </w:r>
      <w:r>
        <w:rPr>
          <w:rFonts w:cs="Times New Roman"/>
          <w:noProof/>
          <w:color w:val="000000"/>
          <w:position w:val="-2"/>
          <w:szCs w:val="24"/>
        </w:rPr>
        <w:t xml:space="preserve">s launched. </w:t>
      </w:r>
    </w:p>
    <w:p w:rsidR="00C662F9" w:rsidRDefault="00D44DDF">
      <w:pPr>
        <w:jc w:val="both"/>
        <w:rPr>
          <w:rFonts w:cs="Times New Roman"/>
          <w:noProof/>
          <w:color w:val="000000"/>
          <w:position w:val="-2"/>
          <w:szCs w:val="24"/>
        </w:rPr>
      </w:pPr>
      <w:r>
        <w:rPr>
          <w:rFonts w:cs="Times New Roman"/>
          <w:noProof/>
          <w:color w:val="000000"/>
          <w:position w:val="-2"/>
          <w:szCs w:val="24"/>
        </w:rPr>
        <w:t xml:space="preserve">For </w:t>
      </w:r>
      <w:r>
        <w:rPr>
          <w:rFonts w:cs="Times New Roman"/>
          <w:b/>
          <w:noProof/>
          <w:color w:val="000000"/>
          <w:position w:val="-2"/>
          <w:szCs w:val="24"/>
        </w:rPr>
        <w:t>patents</w:t>
      </w:r>
      <w:r>
        <w:rPr>
          <w:rFonts w:cs="Times New Roman"/>
          <w:noProof/>
          <w:color w:val="000000"/>
          <w:position w:val="-2"/>
          <w:szCs w:val="24"/>
        </w:rPr>
        <w:t xml:space="preserve"> on recycling and secondary raw materials, the data show an </w:t>
      </w:r>
      <w:r>
        <w:rPr>
          <w:rFonts w:cs="Times New Roman"/>
          <w:b/>
          <w:noProof/>
          <w:color w:val="000000"/>
          <w:position w:val="-2"/>
          <w:szCs w:val="24"/>
        </w:rPr>
        <w:t>increase of 35 %</w:t>
      </w:r>
      <w:r>
        <w:rPr>
          <w:rFonts w:cs="Times New Roman"/>
          <w:noProof/>
          <w:color w:val="000000"/>
          <w:position w:val="-2"/>
          <w:szCs w:val="24"/>
        </w:rPr>
        <w:t xml:space="preserve"> between 2000 and 2013. EU patents for glass recycling represent 44 % of the world total for such patents, while the EU’s share is 18 % for plastics and 23 </w:t>
      </w:r>
      <w:r>
        <w:rPr>
          <w:rFonts w:cs="Times New Roman"/>
          <w:noProof/>
          <w:color w:val="000000"/>
          <w:position w:val="-2"/>
          <w:szCs w:val="24"/>
        </w:rPr>
        <w:t>% for paper.</w:t>
      </w:r>
    </w:p>
    <w:p w:rsidR="00C662F9" w:rsidRDefault="00D44DDF">
      <w:pPr>
        <w:pStyle w:val="Heading1"/>
        <w:keepNext/>
        <w:rPr>
          <w:rFonts w:cs="Times New Roman"/>
          <w:noProof/>
          <w:szCs w:val="24"/>
        </w:rPr>
      </w:pPr>
      <w:r>
        <w:rPr>
          <w:rFonts w:cs="Times New Roman"/>
          <w:noProof/>
          <w:szCs w:val="24"/>
        </w:rPr>
        <w:t>Conclusions</w:t>
      </w:r>
    </w:p>
    <w:p w:rsidR="00C662F9" w:rsidRDefault="00D44DDF">
      <w:pPr>
        <w:jc w:val="both"/>
        <w:rPr>
          <w:rFonts w:cs="Times New Roman"/>
          <w:noProof/>
          <w:szCs w:val="24"/>
        </w:rPr>
      </w:pPr>
      <w:r>
        <w:rPr>
          <w:rFonts w:cs="Times New Roman"/>
          <w:noProof/>
          <w:szCs w:val="24"/>
        </w:rPr>
        <w:t>This monitoring framework</w:t>
      </w:r>
      <w:r>
        <w:rPr>
          <w:noProof/>
        </w:rPr>
        <w:t xml:space="preserve"> </w:t>
      </w:r>
      <w:r>
        <w:rPr>
          <w:rFonts w:cs="Times New Roman"/>
          <w:noProof/>
          <w:szCs w:val="24"/>
        </w:rPr>
        <w:t xml:space="preserve">captures, in a concise set of indicators, the main elements of the circular economy, including the lifecycle of products and materials, the priority areas and sectors, and the impacts on competitiveness, </w:t>
      </w:r>
      <w:r>
        <w:rPr>
          <w:rFonts w:cs="Times New Roman"/>
          <w:noProof/>
          <w:szCs w:val="24"/>
        </w:rPr>
        <w:t xml:space="preserve">innovation and jobs. It will thus be a tool to follow key trends in the transition, to assess whether measures in place and the engagement of all the actors have been sufficiently effective, and to help identify best practices in Member States that can be </w:t>
      </w:r>
      <w:r>
        <w:rPr>
          <w:rFonts w:cs="Times New Roman"/>
          <w:noProof/>
          <w:szCs w:val="24"/>
        </w:rPr>
        <w:t>disseminated.</w:t>
      </w:r>
    </w:p>
    <w:p w:rsidR="00C662F9" w:rsidRDefault="00D44DDF">
      <w:pPr>
        <w:jc w:val="both"/>
        <w:rPr>
          <w:rFonts w:cs="Times New Roman"/>
          <w:noProof/>
          <w:szCs w:val="24"/>
        </w:rPr>
      </w:pPr>
      <w:r>
        <w:rPr>
          <w:noProof/>
        </w:rPr>
        <w:t>The indicators will be continuously updated on the website dedicated to the monitoring framework</w:t>
      </w:r>
      <w:r>
        <w:rPr>
          <w:rStyle w:val="FootnoteReference"/>
          <w:rFonts w:cs="Times New Roman"/>
          <w:noProof/>
          <w:szCs w:val="24"/>
        </w:rPr>
        <w:footnoteReference w:id="29"/>
      </w:r>
      <w:r>
        <w:rPr>
          <w:noProof/>
        </w:rPr>
        <w:t xml:space="preserve">. </w:t>
      </w:r>
      <w:r>
        <w:rPr>
          <w:rFonts w:cs="Times New Roman"/>
          <w:noProof/>
          <w:szCs w:val="24"/>
        </w:rPr>
        <w:t>This website also includes tools to monitor progress and documents the methodologies for the indicators, data sources, definitions and publishi</w:t>
      </w:r>
      <w:r>
        <w:rPr>
          <w:rFonts w:cs="Times New Roman"/>
          <w:noProof/>
          <w:szCs w:val="24"/>
        </w:rPr>
        <w:t>ng standards. The Commission will continue to elaborate the indicators which need further development, in particular on food waste and green public procurement.</w:t>
      </w:r>
    </w:p>
    <w:p w:rsidR="00C662F9" w:rsidRDefault="00D44DDF">
      <w:pPr>
        <w:jc w:val="both"/>
        <w:rPr>
          <w:rFonts w:cs="Times New Roman"/>
          <w:noProof/>
          <w:szCs w:val="24"/>
        </w:rPr>
      </w:pPr>
      <w:r>
        <w:rPr>
          <w:noProof/>
        </w:rPr>
        <w:t xml:space="preserve">A dialogue with Member States and stakeholders will help to further improve the framework. </w:t>
      </w:r>
      <w:r>
        <w:rPr>
          <w:rFonts w:cs="Times New Roman"/>
          <w:noProof/>
          <w:szCs w:val="24"/>
        </w:rPr>
        <w:t>In p</w:t>
      </w:r>
      <w:r>
        <w:rPr>
          <w:rFonts w:cs="Times New Roman"/>
          <w:noProof/>
          <w:szCs w:val="24"/>
        </w:rPr>
        <w:t>articular, the framework relies to a large extent on high quality statistics that the Member States provide to Eurostat. The Commission would also welcome the involvement of all EU institutions.</w:t>
      </w:r>
    </w:p>
    <w:p w:rsidR="00C662F9" w:rsidRDefault="00C662F9">
      <w:pPr>
        <w:rPr>
          <w:noProof/>
        </w:rPr>
      </w:pPr>
    </w:p>
    <w:sectPr w:rsidR="00C662F9">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E474710" w15:done="0"/>
  <w15:commentEx w15:paraId="3F7E23D4" w15:done="0"/>
  <w15:commentEx w15:paraId="65314EF6" w15:done="0"/>
  <w15:commentEx w15:paraId="2FAF1021" w15:done="0"/>
  <w15:commentEx w15:paraId="6A0A96E1" w15:done="0"/>
  <w15:commentEx w15:paraId="334B2E39" w15:done="0"/>
  <w15:commentEx w15:paraId="66391D8B" w15:done="0"/>
  <w15:commentEx w15:paraId="2A96B26A" w15:done="0"/>
  <w15:commentEx w15:paraId="382F395C" w15:done="0"/>
  <w15:commentEx w15:paraId="06B84C6D" w15:done="0"/>
  <w15:commentEx w15:paraId="6758A871" w15:done="0"/>
  <w15:commentEx w15:paraId="4F42F5C1" w15:done="0"/>
  <w15:commentEx w15:paraId="56DACCDF" w15:done="0"/>
  <w15:commentEx w15:paraId="22F26619" w15:done="0"/>
  <w15:commentEx w15:paraId="484393D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474710" w16cid:durableId="1DCACE53"/>
  <w16cid:commentId w16cid:paraId="3F7E23D4" w16cid:durableId="1DCACE54"/>
  <w16cid:commentId w16cid:paraId="65314EF6" w16cid:durableId="1DCACE55"/>
  <w16cid:commentId w16cid:paraId="2FAF1021" w16cid:durableId="1DCACE56"/>
  <w16cid:commentId w16cid:paraId="6A0A96E1" w16cid:durableId="1DCACE57"/>
  <w16cid:commentId w16cid:paraId="334B2E39" w16cid:durableId="1DCACE58"/>
  <w16cid:commentId w16cid:paraId="66391D8B" w16cid:durableId="1DCACE59"/>
  <w16cid:commentId w16cid:paraId="2A96B26A" w16cid:durableId="1DCAD2DD"/>
  <w16cid:commentId w16cid:paraId="382F395C" w16cid:durableId="1DCACE5A"/>
  <w16cid:commentId w16cid:paraId="06B84C6D" w16cid:durableId="1DCACE5B"/>
  <w16cid:commentId w16cid:paraId="6758A871" w16cid:durableId="1DCACE5C"/>
  <w16cid:commentId w16cid:paraId="4F42F5C1" w16cid:durableId="1DCACE5D"/>
  <w16cid:commentId w16cid:paraId="56DACCDF" w16cid:durableId="1DCACE5E"/>
  <w16cid:commentId w16cid:paraId="22F26619" w16cid:durableId="1DCACE5F"/>
  <w16cid:commentId w16cid:paraId="484393D0" w16cid:durableId="1DCACE6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2F9" w:rsidRDefault="00D44DDF">
      <w:pPr>
        <w:spacing w:after="0" w:line="240" w:lineRule="auto"/>
      </w:pPr>
      <w:r>
        <w:separator/>
      </w:r>
    </w:p>
  </w:endnote>
  <w:endnote w:type="continuationSeparator" w:id="0">
    <w:p w:rsidR="00C662F9" w:rsidRDefault="00D44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C Square Sans Cond Pro">
    <w:altName w:val="Segoe UI"/>
    <w:panose1 w:val="020B0506040000020004"/>
    <w:charset w:val="00"/>
    <w:family w:val="swiss"/>
    <w:pitch w:val="variable"/>
    <w:sig w:usb0="A00002BF" w:usb1="500000D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2F9" w:rsidRDefault="00C662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2F9" w:rsidRDefault="00D44DDF">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2F9" w:rsidRDefault="00C662F9">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2F9" w:rsidRDefault="00C662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097340"/>
      <w:docPartObj>
        <w:docPartGallery w:val="Page Numbers (Bottom of Page)"/>
        <w:docPartUnique/>
      </w:docPartObj>
    </w:sdtPr>
    <w:sdtEndPr/>
    <w:sdtContent>
      <w:p w:rsidR="00C662F9" w:rsidRDefault="00D44DDF">
        <w:pPr>
          <w:pStyle w:val="Footer"/>
          <w:jc w:val="right"/>
        </w:pPr>
        <w:r>
          <w:fldChar w:fldCharType="begin"/>
        </w:r>
        <w:r>
          <w:instrText xml:space="preserve"> PAGE   \* MERGEFORMAT </w:instrText>
        </w:r>
        <w:r>
          <w:fldChar w:fldCharType="separate"/>
        </w:r>
        <w:r>
          <w:rPr>
            <w:noProof/>
          </w:rPr>
          <w:t>5</w:t>
        </w:r>
        <w:r>
          <w:fldChar w:fldCharType="end"/>
        </w:r>
      </w:p>
    </w:sdtContent>
  </w:sdt>
  <w:p w:rsidR="00C662F9" w:rsidRDefault="00C662F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2F9" w:rsidRDefault="00C662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2F9" w:rsidRDefault="00D44DDF">
      <w:pPr>
        <w:spacing w:after="0" w:line="240" w:lineRule="auto"/>
      </w:pPr>
      <w:r>
        <w:separator/>
      </w:r>
    </w:p>
  </w:footnote>
  <w:footnote w:type="continuationSeparator" w:id="0">
    <w:p w:rsidR="00C662F9" w:rsidRDefault="00D44DDF">
      <w:pPr>
        <w:spacing w:after="0" w:line="240" w:lineRule="auto"/>
      </w:pPr>
      <w:r>
        <w:continuationSeparator/>
      </w:r>
    </w:p>
  </w:footnote>
  <w:footnote w:id="1">
    <w:p w:rsidR="00C662F9" w:rsidRDefault="00D44DDF">
      <w:pPr>
        <w:pStyle w:val="FootnoteText"/>
        <w:rPr>
          <w:lang w:val="pt-PT"/>
        </w:rPr>
      </w:pPr>
      <w:r>
        <w:rPr>
          <w:rStyle w:val="FootnoteReference"/>
        </w:rPr>
        <w:footnoteRef/>
      </w:r>
      <w:r>
        <w:rPr>
          <w:lang w:val="pt-PT"/>
        </w:rPr>
        <w:t xml:space="preserve"> COM(2017) 479.</w:t>
      </w:r>
    </w:p>
  </w:footnote>
  <w:footnote w:id="2">
    <w:p w:rsidR="00C662F9" w:rsidRDefault="00D44DDF">
      <w:pPr>
        <w:pStyle w:val="FootnoteText"/>
        <w:rPr>
          <w:lang w:val="pt-PT"/>
        </w:rPr>
      </w:pPr>
      <w:r>
        <w:rPr>
          <w:rStyle w:val="FootnoteReference"/>
        </w:rPr>
        <w:footnoteRef/>
      </w:r>
      <w:r>
        <w:rPr>
          <w:lang w:val="pt-PT"/>
        </w:rPr>
        <w:t xml:space="preserve"> </w:t>
      </w:r>
      <w:hyperlink r:id="rId1" w:history="1">
        <w:r>
          <w:rPr>
            <w:rStyle w:val="Hyperlink"/>
            <w:lang w:val="pt-PT"/>
          </w:rPr>
          <w:t>https://ec.europa.eu/info/strategy/international-strategies/global-topics/sustainable-development-</w:t>
        </w:r>
        <w:r>
          <w:rPr>
            <w:rStyle w:val="Hyperlink"/>
            <w:lang w:val="pt-PT"/>
          </w:rPr>
          <w:t>goals/eu-approach-sustainable-development_en</w:t>
        </w:r>
      </w:hyperlink>
      <w:r>
        <w:rPr>
          <w:lang w:val="pt-PT"/>
        </w:rPr>
        <w:t xml:space="preserve"> </w:t>
      </w:r>
    </w:p>
  </w:footnote>
  <w:footnote w:id="3">
    <w:p w:rsidR="00C662F9" w:rsidRDefault="00D44DDF">
      <w:pPr>
        <w:pStyle w:val="FootnoteText"/>
        <w:rPr>
          <w:lang w:val="pt-PT"/>
        </w:rPr>
      </w:pPr>
      <w:r>
        <w:rPr>
          <w:rStyle w:val="FootnoteReference"/>
        </w:rPr>
        <w:footnoteRef/>
      </w:r>
      <w:r>
        <w:rPr>
          <w:lang w:val="pt-PT"/>
        </w:rPr>
        <w:t xml:space="preserve"> COM(2015) 614.</w:t>
      </w:r>
    </w:p>
  </w:footnote>
  <w:footnote w:id="4">
    <w:p w:rsidR="00C662F9" w:rsidRDefault="00D44DDF">
      <w:pPr>
        <w:pStyle w:val="FootnoteText"/>
        <w:rPr>
          <w:lang w:val="pt-PT"/>
        </w:rPr>
      </w:pPr>
      <w:r>
        <w:rPr>
          <w:rStyle w:val="FootnoteReference"/>
        </w:rPr>
        <w:footnoteRef/>
      </w:r>
      <w:r>
        <w:rPr>
          <w:lang w:val="pt-PT"/>
        </w:rPr>
        <w:t xml:space="preserve"> </w:t>
      </w:r>
      <w:hyperlink r:id="rId2" w:history="1">
        <w:r>
          <w:rPr>
            <w:rStyle w:val="Hyperlink"/>
            <w:lang w:val="sl-SI"/>
          </w:rPr>
          <w:t>http://www.consilium.europa</w:t>
        </w:r>
        <w:r>
          <w:rPr>
            <w:rStyle w:val="Hyperlink"/>
            <w:lang w:val="sl-SI"/>
          </w:rPr>
          <w:t>.</w:t>
        </w:r>
        <w:r>
          <w:rPr>
            <w:rStyle w:val="Hyperlink"/>
            <w:lang w:val="sl-SI"/>
          </w:rPr>
          <w:t>eu/en/press/press-releases/2016/06/20/envi-conclusions-circular-economy/pdf</w:t>
        </w:r>
      </w:hyperlink>
    </w:p>
  </w:footnote>
  <w:footnote w:id="5">
    <w:p w:rsidR="00C662F9" w:rsidRDefault="00D44DDF">
      <w:pPr>
        <w:pStyle w:val="FootnoteText"/>
      </w:pPr>
      <w:r>
        <w:rPr>
          <w:rStyle w:val="FootnoteReference"/>
        </w:rPr>
        <w:footnoteRef/>
      </w:r>
      <w:r>
        <w:t xml:space="preserve"> European Parliament Resolution of 9 July 2015 on resource efficiency: moving towards a circular economy (</w:t>
      </w:r>
      <w:hyperlink r:id="rId3" w:history="1">
        <w:r>
          <w:rPr>
            <w:rStyle w:val="Hyperlink"/>
          </w:rPr>
          <w:t>2014/2208(INI)</w:t>
        </w:r>
      </w:hyperlink>
      <w:r>
        <w:t>).</w:t>
      </w:r>
    </w:p>
  </w:footnote>
  <w:footnote w:id="6">
    <w:p w:rsidR="00C662F9" w:rsidRDefault="00D44DDF">
      <w:pPr>
        <w:pStyle w:val="FootnoteText"/>
      </w:pPr>
      <w:r>
        <w:rPr>
          <w:rStyle w:val="FootnoteReference"/>
        </w:rPr>
        <w:footnoteRef/>
      </w:r>
      <w:r>
        <w:t xml:space="preserve"> </w:t>
      </w:r>
      <w:hyperlink r:id="rId4" w:history="1">
        <w:r>
          <w:rPr>
            <w:rStyle w:val="Hyperlink"/>
          </w:rPr>
          <w:t>http://ec.europa.eu/environment/resource_efficiency/targets_indicators/scoreboard/index_en.htm</w:t>
        </w:r>
      </w:hyperlink>
      <w:r>
        <w:t>.</w:t>
      </w:r>
    </w:p>
  </w:footnote>
  <w:footnote w:id="7">
    <w:p w:rsidR="00C662F9" w:rsidRDefault="00D44DDF">
      <w:pPr>
        <w:pStyle w:val="FootnoteText"/>
      </w:pPr>
      <w:r>
        <w:rPr>
          <w:rStyle w:val="FootnoteReference"/>
        </w:rPr>
        <w:footnoteRef/>
      </w:r>
      <w:r>
        <w:t xml:space="preserve"> </w:t>
      </w:r>
      <w:hyperlink r:id="rId5" w:history="1">
        <w:r>
          <w:rPr>
            <w:rStyle w:val="Hyperlink"/>
          </w:rPr>
          <w:t>https://publications.europa.eu/en/publication-detail/-/publication/1ee65e21-9ac4-11e6-868c-01aa75ed71a1</w:t>
        </w:r>
      </w:hyperlink>
      <w:r>
        <w:t>.</w:t>
      </w:r>
    </w:p>
  </w:footnote>
  <w:footnote w:id="8">
    <w:p w:rsidR="00C662F9" w:rsidRDefault="00D44DDF">
      <w:pPr>
        <w:pStyle w:val="FootnoteText"/>
      </w:pPr>
      <w:r>
        <w:rPr>
          <w:rStyle w:val="FootnoteReference"/>
        </w:rPr>
        <w:footnoteRef/>
      </w:r>
      <w:r>
        <w:t xml:space="preserve"> </w:t>
      </w:r>
      <w:hyperlink r:id="rId6" w:history="1">
        <w:r>
          <w:rPr>
            <w:rStyle w:val="Hyperlink"/>
          </w:rPr>
          <w:t>http://ec.europa.eu/eurostat</w:t>
        </w:r>
        <w:r>
          <w:rPr>
            <w:rStyle w:val="Hyperlink"/>
          </w:rPr>
          <w:t>/web/circular-economy</w:t>
        </w:r>
      </w:hyperlink>
      <w:r>
        <w:t xml:space="preserve"> </w:t>
      </w:r>
    </w:p>
  </w:footnote>
  <w:footnote w:id="9">
    <w:p w:rsidR="00C662F9" w:rsidRDefault="00D44DDF">
      <w:pPr>
        <w:pStyle w:val="FootnoteText"/>
        <w:rPr>
          <w:sz w:val="16"/>
        </w:rPr>
      </w:pPr>
      <w:r>
        <w:rPr>
          <w:rStyle w:val="FootnoteReference"/>
        </w:rPr>
        <w:footnoteRef/>
      </w:r>
      <w:r>
        <w:rPr>
          <w:sz w:val="16"/>
        </w:rPr>
        <w:t xml:space="preserve"> </w:t>
      </w:r>
      <w:r>
        <w:t>Source: Andreas Mayer, Willi Haas, Dominik Wiedenhofer, Fridolin Krausmann, Philip Nuss, Gian Andrea Blengini (forthcoming): Monitoring the circular economy in the EU28 - A mass-balanced assessment of economy wide material flows, w</w:t>
      </w:r>
      <w:r>
        <w:t>aste and emissions from official statistics. In: Journal of Industrial Ecology</w:t>
      </w:r>
    </w:p>
  </w:footnote>
  <w:footnote w:id="10">
    <w:p w:rsidR="00C662F9" w:rsidRDefault="00D44DDF">
      <w:pPr>
        <w:pStyle w:val="FootnoteText"/>
      </w:pPr>
      <w:r>
        <w:rPr>
          <w:rStyle w:val="FootnoteReference"/>
        </w:rPr>
        <w:footnoteRef/>
      </w:r>
      <w:r>
        <w:t xml:space="preserve"> Energetic use covers raw materials used for combustion or production of food and feed.</w:t>
      </w:r>
    </w:p>
  </w:footnote>
  <w:footnote w:id="11">
    <w:p w:rsidR="00C662F9" w:rsidRDefault="00D44DDF">
      <w:pPr>
        <w:pStyle w:val="FootnoteText"/>
      </w:pPr>
      <w:r>
        <w:rPr>
          <w:rStyle w:val="FootnoteReference"/>
        </w:rPr>
        <w:footnoteRef/>
      </w:r>
      <w:r>
        <w:t xml:space="preserve"> </w:t>
      </w:r>
      <w:hyperlink r:id="rId7" w:history="1">
        <w:r>
          <w:rPr>
            <w:rStyle w:val="Hyperlink"/>
          </w:rPr>
          <w:t>https://ec.europa.eu/info/law/better-regulation/initiatives/ares-2017-1830357_en</w:t>
        </w:r>
      </w:hyperlink>
      <w:r>
        <w:t xml:space="preserve"> .</w:t>
      </w:r>
    </w:p>
  </w:footnote>
  <w:footnote w:id="12">
    <w:p w:rsidR="00C662F9" w:rsidRDefault="00D44DDF">
      <w:pPr>
        <w:pStyle w:val="FootnoteText"/>
      </w:pPr>
      <w:r>
        <w:rPr>
          <w:rStyle w:val="FootnoteReference"/>
        </w:rPr>
        <w:footnoteRef/>
      </w:r>
      <w:r>
        <w:t xml:space="preserve"> Producers of official statistics on environmental accounts and experts on resource efficiency/integrated product policy and on raw materials policy: </w:t>
      </w:r>
      <w:hyperlink r:id="rId8" w:history="1">
        <w:r>
          <w:rPr>
            <w:rStyle w:val="Hyperlink"/>
          </w:rPr>
          <w:t>http://ec.europa.eu/transparency/regexpert/index.cfm?do=groupDetail.groupDetail&amp;groupID=2673</w:t>
        </w:r>
      </w:hyperlink>
      <w:r>
        <w:t xml:space="preserve">, </w:t>
      </w:r>
      <w:hyperlink r:id="rId9" w:history="1">
        <w:r>
          <w:rPr>
            <w:rStyle w:val="Hyperlink"/>
          </w:rPr>
          <w:t>http://ec.europa.eu/transparency/regexpert/index.cfm?do=groupDetail.groupDetail&amp;groupID=470</w:t>
        </w:r>
      </w:hyperlink>
      <w:r>
        <w:t xml:space="preserve">, </w:t>
      </w:r>
      <w:hyperlink r:id="rId10" w:history="1">
        <w:r>
          <w:rPr>
            <w:rStyle w:val="Hyperlink"/>
          </w:rPr>
          <w:t>http://ec.</w:t>
        </w:r>
        <w:r>
          <w:rPr>
            <w:rStyle w:val="Hyperlink"/>
          </w:rPr>
          <w:t>europa.eu/transparency/regexpert/index.cfm?do=groupDetail.groupDetail&amp;groupID=2812</w:t>
        </w:r>
      </w:hyperlink>
      <w:r>
        <w:t xml:space="preserve">,   </w:t>
      </w:r>
      <w:hyperlink r:id="rId11" w:history="1">
        <w:r>
          <w:rPr>
            <w:rStyle w:val="Hyperlink"/>
          </w:rPr>
          <w:t>http://ec.europa.eu/transparency/regexpert/index.cfm?do=group</w:t>
        </w:r>
        <w:r>
          <w:rPr>
            <w:rStyle w:val="Hyperlink"/>
          </w:rPr>
          <w:t>Detail.groupDetail&amp;groupID=1353</w:t>
        </w:r>
      </w:hyperlink>
      <w:r>
        <w:t>.</w:t>
      </w:r>
    </w:p>
  </w:footnote>
  <w:footnote w:id="13">
    <w:p w:rsidR="00C662F9" w:rsidRDefault="00D44DDF">
      <w:pPr>
        <w:pStyle w:val="FootnoteText"/>
        <w:rPr>
          <w:lang w:val="pt-PT"/>
        </w:rPr>
      </w:pPr>
      <w:r>
        <w:rPr>
          <w:rStyle w:val="FootnoteReference"/>
        </w:rPr>
        <w:footnoteRef/>
      </w:r>
      <w:r>
        <w:rPr>
          <w:lang w:val="pt-PT"/>
        </w:rPr>
        <w:t xml:space="preserve"> </w:t>
      </w:r>
      <w:r>
        <w:rPr>
          <w:rFonts w:cs="Times New Roman"/>
          <w:szCs w:val="24"/>
          <w:lang w:val="pt-PT"/>
        </w:rPr>
        <w:t>COM(2015) 595 final</w:t>
      </w:r>
    </w:p>
  </w:footnote>
  <w:footnote w:id="14">
    <w:p w:rsidR="00C662F9" w:rsidRDefault="00D44DDF">
      <w:pPr>
        <w:pStyle w:val="FootnoteText"/>
        <w:rPr>
          <w:lang w:val="pt-PT"/>
        </w:rPr>
      </w:pPr>
      <w:r>
        <w:rPr>
          <w:rStyle w:val="FootnoteReference"/>
        </w:rPr>
        <w:footnoteRef/>
      </w:r>
      <w:r>
        <w:rPr>
          <w:lang w:val="pt-PT"/>
        </w:rPr>
        <w:t xml:space="preserve"> </w:t>
      </w:r>
      <w:hyperlink r:id="rId12" w:history="1">
        <w:r>
          <w:rPr>
            <w:rStyle w:val="Hyperlink"/>
            <w:lang w:val="pt-PT"/>
          </w:rPr>
          <w:t>COM(2015) 596 final</w:t>
        </w:r>
      </w:hyperlink>
      <w:r>
        <w:rPr>
          <w:rStyle w:val="Hyperlink"/>
          <w:lang w:val="pt-PT"/>
        </w:rPr>
        <w:t>.</w:t>
      </w:r>
    </w:p>
  </w:footnote>
  <w:footnote w:id="15">
    <w:p w:rsidR="00C662F9" w:rsidRDefault="00D44DDF">
      <w:pPr>
        <w:pStyle w:val="FootnoteText"/>
        <w:rPr>
          <w:lang w:val="pt-PT"/>
        </w:rPr>
      </w:pPr>
      <w:r>
        <w:rPr>
          <w:rStyle w:val="FootnoteReference"/>
        </w:rPr>
        <w:footnoteRef/>
      </w:r>
      <w:r>
        <w:rPr>
          <w:lang w:val="pt-PT"/>
        </w:rPr>
        <w:t xml:space="preserve"> </w:t>
      </w:r>
      <w:hyperlink r:id="rId13" w:history="1">
        <w:r>
          <w:rPr>
            <w:rStyle w:val="Hyperlink"/>
            <w:lang w:val="pt-PT"/>
          </w:rPr>
          <w:t>http://rmis.jrc.ec.europa.eu/</w:t>
        </w:r>
      </w:hyperlink>
    </w:p>
  </w:footnote>
  <w:footnote w:id="16">
    <w:p w:rsidR="00C662F9" w:rsidRDefault="00D44DDF">
      <w:pPr>
        <w:pStyle w:val="FootnoteText"/>
      </w:pPr>
      <w:r>
        <w:rPr>
          <w:rStyle w:val="FootnoteReference"/>
        </w:rPr>
        <w:footnoteRef/>
      </w:r>
      <w:r>
        <w:t xml:space="preserve"> COM(2017) 490.</w:t>
      </w:r>
    </w:p>
  </w:footnote>
  <w:footnote w:id="17">
    <w:p w:rsidR="00C662F9" w:rsidRDefault="00D44DDF">
      <w:pPr>
        <w:pStyle w:val="FootnoteText"/>
      </w:pPr>
      <w:r>
        <w:rPr>
          <w:rStyle w:val="FootnoteReference"/>
        </w:rPr>
        <w:footnoteRef/>
      </w:r>
      <w:r>
        <w:t xml:space="preserve"> E.g. cobalt for batteries used in electric cars, silicon for solar panels. </w:t>
      </w:r>
    </w:p>
  </w:footnote>
  <w:footnote w:id="18">
    <w:p w:rsidR="00C662F9" w:rsidRDefault="00D44DDF">
      <w:pPr>
        <w:pStyle w:val="FootnoteText"/>
      </w:pPr>
      <w:r>
        <w:rPr>
          <w:rStyle w:val="FootnoteReference"/>
        </w:rPr>
        <w:footnoteRef/>
      </w:r>
      <w:r>
        <w:t xml:space="preserve"> </w:t>
      </w:r>
      <w:hyperlink r:id="rId14" w:history="1">
        <w:r>
          <w:rPr>
            <w:rStyle w:val="Hyperlink"/>
          </w:rPr>
          <w:t>http://ec.europa.eu/environment/gpp/index_en.htm</w:t>
        </w:r>
      </w:hyperlink>
      <w:r>
        <w:t xml:space="preserve"> </w:t>
      </w:r>
    </w:p>
  </w:footnote>
  <w:footnote w:id="19">
    <w:p w:rsidR="00C662F9" w:rsidRDefault="00D44DDF">
      <w:pPr>
        <w:pStyle w:val="FootnoteText"/>
      </w:pPr>
      <w:r>
        <w:rPr>
          <w:rStyle w:val="FootnoteReference"/>
        </w:rPr>
        <w:footnoteRef/>
      </w:r>
      <w:r>
        <w:t xml:space="preserve"> Waste from households and in public spaces </w:t>
      </w:r>
      <w:r>
        <w:t>and similar waste from other sources.</w:t>
      </w:r>
    </w:p>
  </w:footnote>
  <w:footnote w:id="20">
    <w:p w:rsidR="00C662F9" w:rsidRDefault="00D44DDF">
      <w:pPr>
        <w:pStyle w:val="FootnoteText"/>
      </w:pPr>
      <w:r>
        <w:rPr>
          <w:rStyle w:val="FootnoteReference"/>
        </w:rPr>
        <w:footnoteRef/>
      </w:r>
      <w:r>
        <w:t xml:space="preserve"> Differences in the way Member States measure waste generation can explain some of the differences.</w:t>
      </w:r>
    </w:p>
  </w:footnote>
  <w:footnote w:id="21">
    <w:p w:rsidR="00C662F9" w:rsidRDefault="00D44DDF">
      <w:pPr>
        <w:pStyle w:val="FootnoteText"/>
      </w:pPr>
      <w:r>
        <w:rPr>
          <w:rStyle w:val="FootnoteReference"/>
        </w:rPr>
        <w:footnoteRef/>
      </w:r>
      <w:r>
        <w:t xml:space="preserve"> </w:t>
      </w:r>
      <w:hyperlink r:id="rId15" w:history="1">
        <w:r>
          <w:rPr>
            <w:rStyle w:val="Hyperlink"/>
          </w:rPr>
          <w:t>https://ec.europa.eu/food/safety/food_was</w:t>
        </w:r>
        <w:r>
          <w:rPr>
            <w:rStyle w:val="Hyperlink"/>
          </w:rPr>
          <w:t>te/eu_actions_en</w:t>
        </w:r>
      </w:hyperlink>
      <w:r>
        <w:t xml:space="preserve"> </w:t>
      </w:r>
    </w:p>
  </w:footnote>
  <w:footnote w:id="22">
    <w:p w:rsidR="00C662F9" w:rsidRDefault="00D44DDF">
      <w:pPr>
        <w:pStyle w:val="FootnoteText"/>
      </w:pPr>
      <w:r>
        <w:rPr>
          <w:rStyle w:val="FootnoteReference"/>
        </w:rPr>
        <w:footnoteRef/>
      </w:r>
      <w:r>
        <w:t xml:space="preserve"> </w:t>
      </w:r>
      <w:r>
        <w:rPr>
          <w:rFonts w:cs="Times New Roman"/>
          <w:szCs w:val="24"/>
        </w:rPr>
        <w:t>COM(2015) 595 final .</w:t>
      </w:r>
    </w:p>
  </w:footnote>
  <w:footnote w:id="23">
    <w:p w:rsidR="00C662F9" w:rsidRDefault="00D44DDF">
      <w:pPr>
        <w:pStyle w:val="FootnoteText"/>
      </w:pPr>
      <w:r>
        <w:rPr>
          <w:rStyle w:val="FootnoteReference"/>
        </w:rPr>
        <w:footnoteRef/>
      </w:r>
      <w:r>
        <w:t xml:space="preserve"> Member States are using different methods to calculate recycling rates, which can explain part of the differences. The Commission has proposed a common method in its legislative proposal on waste.</w:t>
      </w:r>
    </w:p>
  </w:footnote>
  <w:footnote w:id="24">
    <w:p w:rsidR="00C662F9" w:rsidRDefault="00D44DDF">
      <w:pPr>
        <w:pStyle w:val="FootnoteText"/>
      </w:pPr>
      <w:r>
        <w:rPr>
          <w:rStyle w:val="FootnoteReference"/>
        </w:rPr>
        <w:footnoteRef/>
      </w:r>
      <w:r>
        <w:t xml:space="preserve"> </w:t>
      </w:r>
      <w:hyperlink r:id="rId16" w:history="1">
        <w:r>
          <w:rPr>
            <w:rStyle w:val="Hyperlink"/>
          </w:rPr>
          <w:t>COM(2015) 596 final</w:t>
        </w:r>
      </w:hyperlink>
      <w:r>
        <w:rPr>
          <w:rStyle w:val="Hyperlink"/>
        </w:rPr>
        <w:t>.</w:t>
      </w:r>
    </w:p>
  </w:footnote>
  <w:footnote w:id="25">
    <w:p w:rsidR="00C662F9" w:rsidRDefault="00D44DDF">
      <w:pPr>
        <w:pStyle w:val="FootnoteText"/>
      </w:pPr>
      <w:r>
        <w:rPr>
          <w:rStyle w:val="FootnoteReference"/>
        </w:rPr>
        <w:footnoteRef/>
      </w:r>
      <w:r>
        <w:t xml:space="preserve"> or prepared for reuse</w:t>
      </w:r>
    </w:p>
  </w:footnote>
  <w:footnote w:id="26">
    <w:p w:rsidR="00C662F9" w:rsidRDefault="00D44DDF">
      <w:pPr>
        <w:pStyle w:val="FootnoteText"/>
      </w:pPr>
      <w:r>
        <w:rPr>
          <w:rStyle w:val="FootnoteReference"/>
        </w:rPr>
        <w:footnoteRef/>
      </w:r>
      <w:r>
        <w:t xml:space="preserve"> The target covers not only recycling but also re-use and other material recovery, including backfilling of non-hazardous construction and</w:t>
      </w:r>
      <w:r>
        <w:t xml:space="preserve"> demolition waste excluding naturally occurring material</w:t>
      </w:r>
    </w:p>
  </w:footnote>
  <w:footnote w:id="27">
    <w:p w:rsidR="00C662F9" w:rsidRDefault="00D44DDF">
      <w:pPr>
        <w:pStyle w:val="FootnoteText"/>
      </w:pPr>
      <w:r>
        <w:rPr>
          <w:rStyle w:val="FootnoteReference"/>
        </w:rPr>
        <w:footnoteRef/>
      </w:r>
      <w:r>
        <w:t xml:space="preserve"> A recovery operation where suitable waste is used for the purposes of reclamation in excavated areas or for engineering purposes in landscaping.</w:t>
      </w:r>
    </w:p>
  </w:footnote>
  <w:footnote w:id="28">
    <w:p w:rsidR="00C662F9" w:rsidRDefault="00D44DDF">
      <w:pPr>
        <w:pStyle w:val="FootnoteText"/>
      </w:pPr>
      <w:r>
        <w:rPr>
          <w:rStyle w:val="FootnoteReference"/>
        </w:rPr>
        <w:footnoteRef/>
      </w:r>
      <w:r>
        <w:t xml:space="preserve"> I.e. reuse and recycling activities. Renting and l</w:t>
      </w:r>
      <w:r>
        <w:t>easing activities can also contribute to circular economy, but are for now not included because current statistics may not distinguish with sufficient granularity those activities that clearly contribute to circular economy from those that do not. For furt</w:t>
      </w:r>
      <w:r>
        <w:t>her details, see the Staff Working Document.</w:t>
      </w:r>
    </w:p>
  </w:footnote>
  <w:footnote w:id="29">
    <w:p w:rsidR="00C662F9" w:rsidRDefault="00D44DDF">
      <w:pPr>
        <w:pStyle w:val="FootnoteText"/>
      </w:pPr>
      <w:r>
        <w:rPr>
          <w:rStyle w:val="FootnoteReference"/>
        </w:rPr>
        <w:footnoteRef/>
      </w:r>
      <w:r>
        <w:t xml:space="preserve"> </w:t>
      </w:r>
      <w:hyperlink r:id="rId17" w:history="1">
        <w:r>
          <w:rPr>
            <w:rStyle w:val="Hyperlink"/>
          </w:rPr>
          <w:t>http://ec.europa.eu/eurostat/web/circular-economy</w:t>
        </w:r>
      </w:hyperlink>
      <w:r>
        <w:rPr>
          <w:rStyle w:val="Hyperlink"/>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2F9" w:rsidRDefault="00C662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2F9" w:rsidRDefault="00C662F9">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2F9" w:rsidRDefault="00C662F9">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2F9" w:rsidRDefault="00C662F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2F9" w:rsidRDefault="00C662F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2F9" w:rsidRDefault="00C662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B1868"/>
    <w:multiLevelType w:val="hybridMultilevel"/>
    <w:tmpl w:val="02501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0119D5"/>
    <w:multiLevelType w:val="hybridMultilevel"/>
    <w:tmpl w:val="882810D6"/>
    <w:lvl w:ilvl="0" w:tplc="640A2BD4">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CD17B9D"/>
    <w:multiLevelType w:val="hybridMultilevel"/>
    <w:tmpl w:val="064CD4BA"/>
    <w:lvl w:ilvl="0" w:tplc="4BA2E96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gnus Gislev">
    <w15:presenceInfo w15:providerId="None" w15:userId="Magnus Gisl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4C21F207-678A-4F45-A633-33F4802C7604"/>
    <w:docVar w:name="LW_COVERPAGE_TYPE" w:val="1"/>
    <w:docVar w:name="LW_CROSSREFERENCE" w:val="{SWD(2018) 17 final}"/>
    <w:docVar w:name="LW_DocType" w:val="NORMAL"/>
    <w:docVar w:name="LW_EMISSION" w:val="16.1.2018"/>
    <w:docVar w:name="LW_EMISSION_ISODATE" w:val="2018-01-16"/>
    <w:docVar w:name="LW_EMISSION_LOCATION" w:val="STR"/>
    <w:docVar w:name="LW_EMISSION_PREFIX" w:val="Strasbourg, "/>
    <w:docVar w:name="LW_EMISSION_SUFFIX" w:val="&lt;EMPTY&gt;"/>
    <w:docVar w:name="LW_ID_DOCTYPE_NONLW" w:val="CP-014"/>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8) 2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on a monitoring framework for the circular economy"/>
    <w:docVar w:name="LW_TYPE.DOC.CP" w:val="COMMUNICATION FROM THE COMMISSION TO THE EUROPEAN PARLIAMENT, THE COUNCIL, THE EUROPEAN ECONOMIC AND SOCIAL COMMITTEE AND THE COMMITTEE OF THE REGIONS"/>
    <w:docVar w:name="LW_TYPE.DOC.CP.USERTEXT" w:val="&lt;EMPTY&gt;"/>
    <w:docVar w:name="Stamp" w:val="\\dossiers.dgt.cec.eu.int\dossiers\ENV\ENV-2017-00787\ENV-2017-00787-00-00-EN-REV-00.201710201550353413389.DOCX"/>
  </w:docVars>
  <w:rsids>
    <w:rsidRoot w:val="00C662F9"/>
    <w:rsid w:val="00C662F9"/>
    <w:rsid w:val="00D44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pPr>
      <w:numPr>
        <w:numId w:val="1"/>
      </w:numPr>
      <w:spacing w:after="120"/>
      <w:ind w:left="425" w:hanging="357"/>
      <w:contextualSpacing w:val="0"/>
      <w:jc w:val="both"/>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b/>
    </w:rPr>
  </w:style>
  <w:style w:type="paragraph" w:customStyle="1" w:styleId="Pagedecouverture">
    <w:name w:val="Page de couverture"/>
    <w:basedOn w:val="Normal"/>
    <w:next w:val="Normal"/>
    <w:pPr>
      <w:spacing w:after="0" w:line="240" w:lineRule="auto"/>
      <w:jc w:val="both"/>
    </w:pPr>
    <w:rPr>
      <w:rFonts w:cs="Times New Roman"/>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line="240" w:lineRule="auto"/>
      <w:jc w:val="both"/>
    </w:pPr>
  </w:style>
  <w:style w:type="character" w:customStyle="1" w:styleId="HeaderCoverPageChar">
    <w:name w:val="Header Cover Page Char"/>
    <w:basedOn w:val="DefaultParagraphFont"/>
    <w:link w:val="HeaderCoverPage"/>
  </w:style>
  <w:style w:type="paragraph" w:styleId="FootnoteText">
    <w:name w:val="footnote text"/>
    <w:aliases w:val="footnote,Footnote text,fn,Schriftart: 9 pt,Schriftart: 10 pt,Schriftart: 8 pt,WB-Fußnotentext,Footnote Text_EP-LCA,Text_EP-LCA,Char5,Text,Reference,Fußnote,Footnote Text Char Char,Footnote Text Char Char Char Char,Footnote Text1,o,Fußn,f"/>
    <w:basedOn w:val="Normal"/>
    <w:uiPriority w:val="99"/>
    <w:unhideWhenUsed/>
    <w:qFormat/>
    <w:pPr>
      <w:spacing w:after="0" w:line="240" w:lineRule="auto"/>
    </w:pPr>
    <w:rPr>
      <w:sz w:val="20"/>
      <w:szCs w:val="20"/>
    </w:rPr>
  </w:style>
  <w:style w:type="character" w:customStyle="1" w:styleId="FootnoteTextChar">
    <w:name w:val="Footnote Text Char"/>
    <w:aliases w:val="footnote Char,Footnote text Char,fn Char,Schriftart: 9 pt Char,Schriftart: 10 pt Char,Schriftart: 8 pt Char,WB-Fußnotentext Char,Footnote Text_EP-LCA Char,Text_EP-LCA Char,Char5 Char,Text Char,Reference Char,Fußnote Char,o Char,f Char"/>
    <w:basedOn w:val="DefaultParagraphFont"/>
    <w:uiPriority w:val="99"/>
    <w:rPr>
      <w:sz w:val="20"/>
      <w:szCs w:val="20"/>
    </w:rPr>
  </w:style>
  <w:style w:type="character" w:styleId="FootnoteReference">
    <w:name w:val="footnote reference"/>
    <w:aliases w:val="Footnote symbol,Footnote reference number,Footnote,Times 10 Point,Exposant 3 Point,Ref,de nota al pie,note TESI,SUPERS,EN Footnote Reference,EN Footnote text,number,no...,(Footnote Reference),Footnote Reference_EP-LCA"/>
    <w:basedOn w:val="DefaultParagraphFont"/>
    <w:unhideWhenUsed/>
    <w:rPr>
      <w:vertAlign w:val="superscript"/>
    </w:rPr>
  </w:style>
  <w:style w:type="paragraph" w:customStyle="1" w:styleId="Figurecaption">
    <w:name w:val="Figure caption"/>
    <w:basedOn w:val="Normal"/>
    <w:link w:val="FigurecaptionChar"/>
    <w:qFormat/>
    <w:pPr>
      <w:spacing w:after="120"/>
    </w:pPr>
    <w:rPr>
      <w:rFonts w:cs="Arial"/>
      <w:b/>
      <w:sz w:val="20"/>
      <w:szCs w:val="20"/>
    </w:rPr>
  </w:style>
  <w:style w:type="character" w:customStyle="1" w:styleId="FigurecaptionChar">
    <w:name w:val="Figure caption Char"/>
    <w:basedOn w:val="DefaultParagraphFont"/>
    <w:link w:val="Figurecaption"/>
    <w:rPr>
      <w:rFonts w:cs="Arial"/>
      <w:b/>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table" w:styleId="TableGrid">
    <w:name w:val="Table Grid"/>
    <w:basedOn w:val="TableNormal"/>
    <w:uiPriority w:val="3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qFormat/>
    <w:pPr>
      <w:widowControl w:val="0"/>
      <w:autoSpaceDE w:val="0"/>
      <w:autoSpaceDN w:val="0"/>
      <w:adjustRightInd w:val="0"/>
      <w:spacing w:after="113" w:line="236" w:lineRule="atLeast"/>
      <w:jc w:val="both"/>
      <w:textAlignment w:val="center"/>
    </w:pPr>
    <w:rPr>
      <w:rFonts w:ascii="Arial" w:eastAsia="Cambria" w:hAnsi="Arial" w:cs="Times-Roman"/>
      <w:color w:val="000000"/>
      <w:sz w:val="19"/>
      <w:szCs w:val="16"/>
      <w:lang w:eastAsia="en-GB"/>
    </w:rPr>
  </w:style>
  <w:style w:type="character" w:customStyle="1" w:styleId="BodyChar">
    <w:name w:val="Body Char"/>
    <w:link w:val="Body"/>
    <w:rPr>
      <w:rFonts w:ascii="Arial" w:eastAsia="Cambria" w:hAnsi="Arial" w:cs="Times-Roman"/>
      <w:color w:val="000000"/>
      <w:sz w:val="19"/>
      <w:szCs w:val="16"/>
      <w:lang w:eastAsia="en-GB"/>
    </w:rPr>
  </w:style>
  <w:style w:type="character" w:styleId="Hyperlink">
    <w:name w:val="Hyperlink"/>
    <w:basedOn w:val="DefaultParagraphFont"/>
    <w:uiPriority w:val="99"/>
    <w:unhideWhenUsed/>
    <w:rPr>
      <w:color w:val="0000FF"/>
      <w:u w:val="single"/>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Heading1Char"/>
    <w:link w:val="FooterSensitivity"/>
    <w:rPr>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Heading1Char"/>
    <w:link w:val="HeaderSensitivity"/>
    <w:rPr>
      <w:b/>
      <w:sz w:val="32"/>
    </w:rPr>
  </w:style>
  <w:style w:type="character" w:styleId="FollowedHyperlink">
    <w:name w:val="FollowedHyperlink"/>
    <w:basedOn w:val="DefaultParagraphFont"/>
    <w:uiPriority w:val="99"/>
    <w:semiHidden/>
    <w:unhideWhenUsed/>
    <w:rsid w:val="00D44DD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pPr>
      <w:numPr>
        <w:numId w:val="1"/>
      </w:numPr>
      <w:spacing w:after="120"/>
      <w:ind w:left="425" w:hanging="357"/>
      <w:contextualSpacing w:val="0"/>
      <w:jc w:val="both"/>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b/>
    </w:rPr>
  </w:style>
  <w:style w:type="paragraph" w:customStyle="1" w:styleId="Pagedecouverture">
    <w:name w:val="Page de couverture"/>
    <w:basedOn w:val="Normal"/>
    <w:next w:val="Normal"/>
    <w:pPr>
      <w:spacing w:after="0" w:line="240" w:lineRule="auto"/>
      <w:jc w:val="both"/>
    </w:pPr>
    <w:rPr>
      <w:rFonts w:cs="Times New Roman"/>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line="240" w:lineRule="auto"/>
      <w:jc w:val="both"/>
    </w:pPr>
  </w:style>
  <w:style w:type="character" w:customStyle="1" w:styleId="HeaderCoverPageChar">
    <w:name w:val="Header Cover Page Char"/>
    <w:basedOn w:val="DefaultParagraphFont"/>
    <w:link w:val="HeaderCoverPage"/>
  </w:style>
  <w:style w:type="paragraph" w:styleId="FootnoteText">
    <w:name w:val="footnote text"/>
    <w:aliases w:val="footnote,Footnote text,fn,Schriftart: 9 pt,Schriftart: 10 pt,Schriftart: 8 pt,WB-Fußnotentext,Footnote Text_EP-LCA,Text_EP-LCA,Char5,Text,Reference,Fußnote,Footnote Text Char Char,Footnote Text Char Char Char Char,Footnote Text1,o,Fußn,f"/>
    <w:basedOn w:val="Normal"/>
    <w:uiPriority w:val="99"/>
    <w:unhideWhenUsed/>
    <w:qFormat/>
    <w:pPr>
      <w:spacing w:after="0" w:line="240" w:lineRule="auto"/>
    </w:pPr>
    <w:rPr>
      <w:sz w:val="20"/>
      <w:szCs w:val="20"/>
    </w:rPr>
  </w:style>
  <w:style w:type="character" w:customStyle="1" w:styleId="FootnoteTextChar">
    <w:name w:val="Footnote Text Char"/>
    <w:aliases w:val="footnote Char,Footnote text Char,fn Char,Schriftart: 9 pt Char,Schriftart: 10 pt Char,Schriftart: 8 pt Char,WB-Fußnotentext Char,Footnote Text_EP-LCA Char,Text_EP-LCA Char,Char5 Char,Text Char,Reference Char,Fußnote Char,o Char,f Char"/>
    <w:basedOn w:val="DefaultParagraphFont"/>
    <w:uiPriority w:val="99"/>
    <w:rPr>
      <w:sz w:val="20"/>
      <w:szCs w:val="20"/>
    </w:rPr>
  </w:style>
  <w:style w:type="character" w:styleId="FootnoteReference">
    <w:name w:val="footnote reference"/>
    <w:aliases w:val="Footnote symbol,Footnote reference number,Footnote,Times 10 Point,Exposant 3 Point,Ref,de nota al pie,note TESI,SUPERS,EN Footnote Reference,EN Footnote text,number,no...,(Footnote Reference),Footnote Reference_EP-LCA"/>
    <w:basedOn w:val="DefaultParagraphFont"/>
    <w:unhideWhenUsed/>
    <w:rPr>
      <w:vertAlign w:val="superscript"/>
    </w:rPr>
  </w:style>
  <w:style w:type="paragraph" w:customStyle="1" w:styleId="Figurecaption">
    <w:name w:val="Figure caption"/>
    <w:basedOn w:val="Normal"/>
    <w:link w:val="FigurecaptionChar"/>
    <w:qFormat/>
    <w:pPr>
      <w:spacing w:after="120"/>
    </w:pPr>
    <w:rPr>
      <w:rFonts w:cs="Arial"/>
      <w:b/>
      <w:sz w:val="20"/>
      <w:szCs w:val="20"/>
    </w:rPr>
  </w:style>
  <w:style w:type="character" w:customStyle="1" w:styleId="FigurecaptionChar">
    <w:name w:val="Figure caption Char"/>
    <w:basedOn w:val="DefaultParagraphFont"/>
    <w:link w:val="Figurecaption"/>
    <w:rPr>
      <w:rFonts w:cs="Arial"/>
      <w:b/>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table" w:styleId="TableGrid">
    <w:name w:val="Table Grid"/>
    <w:basedOn w:val="TableNormal"/>
    <w:uiPriority w:val="3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qFormat/>
    <w:pPr>
      <w:widowControl w:val="0"/>
      <w:autoSpaceDE w:val="0"/>
      <w:autoSpaceDN w:val="0"/>
      <w:adjustRightInd w:val="0"/>
      <w:spacing w:after="113" w:line="236" w:lineRule="atLeast"/>
      <w:jc w:val="both"/>
      <w:textAlignment w:val="center"/>
    </w:pPr>
    <w:rPr>
      <w:rFonts w:ascii="Arial" w:eastAsia="Cambria" w:hAnsi="Arial" w:cs="Times-Roman"/>
      <w:color w:val="000000"/>
      <w:sz w:val="19"/>
      <w:szCs w:val="16"/>
      <w:lang w:eastAsia="en-GB"/>
    </w:rPr>
  </w:style>
  <w:style w:type="character" w:customStyle="1" w:styleId="BodyChar">
    <w:name w:val="Body Char"/>
    <w:link w:val="Body"/>
    <w:rPr>
      <w:rFonts w:ascii="Arial" w:eastAsia="Cambria" w:hAnsi="Arial" w:cs="Times-Roman"/>
      <w:color w:val="000000"/>
      <w:sz w:val="19"/>
      <w:szCs w:val="16"/>
      <w:lang w:eastAsia="en-GB"/>
    </w:rPr>
  </w:style>
  <w:style w:type="character" w:styleId="Hyperlink">
    <w:name w:val="Hyperlink"/>
    <w:basedOn w:val="DefaultParagraphFont"/>
    <w:uiPriority w:val="99"/>
    <w:unhideWhenUsed/>
    <w:rPr>
      <w:color w:val="0000FF"/>
      <w:u w:val="single"/>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Heading1Char"/>
    <w:link w:val="FooterSensitivity"/>
    <w:rPr>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Heading1Char"/>
    <w:link w:val="HeaderSensitivity"/>
    <w:rPr>
      <w:b/>
      <w:sz w:val="32"/>
    </w:rPr>
  </w:style>
  <w:style w:type="character" w:styleId="FollowedHyperlink">
    <w:name w:val="FollowedHyperlink"/>
    <w:basedOn w:val="DefaultParagraphFont"/>
    <w:uiPriority w:val="99"/>
    <w:semiHidden/>
    <w:unhideWhenUsed/>
    <w:rsid w:val="00D44D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846489">
      <w:bodyDiv w:val="1"/>
      <w:marLeft w:val="0"/>
      <w:marRight w:val="0"/>
      <w:marTop w:val="0"/>
      <w:marBottom w:val="0"/>
      <w:divBdr>
        <w:top w:val="none" w:sz="0" w:space="0" w:color="auto"/>
        <w:left w:val="none" w:sz="0" w:space="0" w:color="auto"/>
        <w:bottom w:val="none" w:sz="0" w:space="0" w:color="auto"/>
        <w:right w:val="none" w:sz="0" w:space="0" w:color="auto"/>
      </w:divBdr>
    </w:div>
    <w:div w:id="1723405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fontTable" Target="fontTable.xml"/><Relationship Id="rId30" Type="http://schemas.microsoft.com/office/2011/relationships/commentsExtended" Target="commentsExtended.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transparency/regexpert/index.cfm?do=groupDetail.groupDetail&amp;groupID=2673" TargetMode="External"/><Relationship Id="rId13" Type="http://schemas.openxmlformats.org/officeDocument/2006/relationships/hyperlink" Target="http://rmis.jrc.ec.europa.eu/" TargetMode="External"/><Relationship Id="rId3" Type="http://schemas.openxmlformats.org/officeDocument/2006/relationships/hyperlink" Target="http://www.europarl.europa.eu/oeil/popups/ficheprocedure.do?lang=en&amp;reference=2014/2208%28INI%29" TargetMode="External"/><Relationship Id="rId7" Type="http://schemas.openxmlformats.org/officeDocument/2006/relationships/hyperlink" Target="https://ec.europa.eu/info/law/better-regulation/initiatives/ares-2017-1830357_en" TargetMode="External"/><Relationship Id="rId12" Type="http://schemas.openxmlformats.org/officeDocument/2006/relationships/hyperlink" Target="http://eur-lex.europa.eu/legal-content/EN/TXT/?uri=CELEX:52015PC0596" TargetMode="External"/><Relationship Id="rId17" Type="http://schemas.openxmlformats.org/officeDocument/2006/relationships/hyperlink" Target="http://ec.europa.eu/eurostat/web/circular-economy" TargetMode="External"/><Relationship Id="rId2" Type="http://schemas.openxmlformats.org/officeDocument/2006/relationships/hyperlink" Target="http://www.consilium.europa.eu/en/press/press-releases/2016/06/20/envi-conclusions-circular-economy/pdf" TargetMode="External"/><Relationship Id="rId16" Type="http://schemas.openxmlformats.org/officeDocument/2006/relationships/hyperlink" Target="http://eur-lex.europa.eu/legal-content/EN/TXT/?uri=CELEX:52015PC0596" TargetMode="External"/><Relationship Id="rId1" Type="http://schemas.openxmlformats.org/officeDocument/2006/relationships/hyperlink" Target="https://ec.europa.eu/info/strategy/international-strategies/global-topics/sustainable-development-goals/eu-approach-sustainable-development_en" TargetMode="External"/><Relationship Id="rId6" Type="http://schemas.openxmlformats.org/officeDocument/2006/relationships/hyperlink" Target="http://ec.europa.eu/eurostat/web/circular-economy" TargetMode="External"/><Relationship Id="rId11" Type="http://schemas.openxmlformats.org/officeDocument/2006/relationships/hyperlink" Target="http://ec.europa.eu/transparency/regexpert/index.cfm?do=groupDetail.groupDetail&amp;groupID=1353" TargetMode="External"/><Relationship Id="rId5" Type="http://schemas.openxmlformats.org/officeDocument/2006/relationships/hyperlink" Target="https://publications.europa.eu/en/publication-detail/-/publication/1ee65e21-9ac4-11e6-868c-01aa75ed71a1" TargetMode="External"/><Relationship Id="rId15" Type="http://schemas.openxmlformats.org/officeDocument/2006/relationships/hyperlink" Target="https://ec.europa.eu/food/safety/food_waste/eu_actions_en" TargetMode="External"/><Relationship Id="rId10" Type="http://schemas.openxmlformats.org/officeDocument/2006/relationships/hyperlink" Target="http://ec.europa.eu/transparency/regexpert/index.cfm?do=groupDetail.groupDetail&amp;groupID=2812" TargetMode="External"/><Relationship Id="rId4" Type="http://schemas.openxmlformats.org/officeDocument/2006/relationships/hyperlink" Target="http://ec.europa.eu/environment/resource_efficiency/targets_indicators/scoreboard/index_en.htm" TargetMode="External"/><Relationship Id="rId9" Type="http://schemas.openxmlformats.org/officeDocument/2006/relationships/hyperlink" Target="http://ec.europa.eu/transparency/regexpert/index.cfm?do=groupDetail.groupDetail&amp;groupID=470" TargetMode="External"/><Relationship Id="rId14" Type="http://schemas.openxmlformats.org/officeDocument/2006/relationships/hyperlink" Target="http://ec.europa.eu/environment/gpp/index_e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457FC-8276-4FB4-A0E3-64202FBC5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2873</Words>
  <Characters>15493</Characters>
  <Application>Microsoft Office Word</Application>
  <DocSecurity>0</DocSecurity>
  <Lines>129</Lines>
  <Paragraphs>36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Manager/>
  <Company/>
  <LinksUpToDate>false</LinksUpToDate>
  <CharactersWithSpaces>18330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Stefanie Heilemann</cp:lastModifiedBy>
  <cp:revision>17</cp:revision>
  <cp:lastPrinted>2018-01-08T15:21:00Z</cp:lastPrinted>
  <dcterms:created xsi:type="dcterms:W3CDTF">2018-01-12T15:01:00Z</dcterms:created>
  <dcterms:modified xsi:type="dcterms:W3CDTF">2018-01-16T08:52:00Z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