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6C" w:rsidRDefault="00F60EB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EF4BB2A-F2FC-4CFE-8551-1FD922C728B9" style="width:450.8pt;height:447.05pt">
            <v:imagedata r:id="rId9" o:title=""/>
          </v:shape>
        </w:pict>
      </w:r>
    </w:p>
    <w:bookmarkEnd w:id="0"/>
    <w:p w:rsidR="00104B6C" w:rsidRDefault="00104B6C">
      <w:pPr>
        <w:spacing w:after="120"/>
        <w:rPr>
          <w:noProof/>
        </w:rPr>
        <w:sectPr w:rsidR="00104B6C">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26"/>
        </w:sectPr>
      </w:pPr>
    </w:p>
    <w:sdt>
      <w:sdtPr>
        <w:rPr>
          <w:b w:val="0"/>
          <w:caps/>
          <w:noProof/>
        </w:rPr>
        <w:id w:val="656261353"/>
        <w:docPartObj>
          <w:docPartGallery w:val="Table of Contents"/>
          <w:docPartUnique/>
        </w:docPartObj>
      </w:sdtPr>
      <w:sdtEndPr>
        <w:rPr>
          <w:bCs/>
        </w:rPr>
      </w:sdtEndPr>
      <w:sdtContent>
        <w:p w:rsidR="00104B6C" w:rsidRDefault="00F60EB6">
          <w:pPr>
            <w:pStyle w:val="TOCHeading"/>
            <w:tabs>
              <w:tab w:val="left" w:pos="851"/>
            </w:tabs>
            <w:spacing w:before="0"/>
            <w:ind w:left="851" w:hanging="851"/>
            <w:rPr>
              <w:noProof/>
            </w:rPr>
          </w:pPr>
          <w:r>
            <w:rPr>
              <w:noProof/>
            </w:rPr>
            <w:t>Περιεχόμενα</w:t>
          </w:r>
        </w:p>
        <w:p w:rsidR="00104B6C" w:rsidRDefault="00F60EB6">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503441205"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ΣΤΟΧΟΙ ΤΗΣ ΔΙΑΒΟΥΛΕΥΣΗΣ</w:t>
            </w:r>
            <w:r>
              <w:rPr>
                <w:noProof/>
                <w:webHidden/>
              </w:rPr>
              <w:tab/>
            </w:r>
            <w:r>
              <w:rPr>
                <w:noProof/>
                <w:webHidden/>
              </w:rPr>
              <w:fldChar w:fldCharType="begin"/>
            </w:r>
            <w:r>
              <w:rPr>
                <w:noProof/>
                <w:webHidden/>
              </w:rPr>
              <w:instrText xml:space="preserve"> PAGEREF _Toc503441205 \h </w:instrText>
            </w:r>
            <w:r>
              <w:rPr>
                <w:noProof/>
                <w:webHidden/>
              </w:rPr>
            </w:r>
            <w:r>
              <w:rPr>
                <w:noProof/>
                <w:webHidden/>
              </w:rPr>
              <w:fldChar w:fldCharType="separate"/>
            </w:r>
            <w:r>
              <w:rPr>
                <w:noProof/>
                <w:webHidden/>
              </w:rPr>
              <w:t>2</w:t>
            </w:r>
            <w:r>
              <w:rPr>
                <w:noProof/>
                <w:webHidden/>
              </w:rPr>
              <w:fldChar w:fldCharType="end"/>
            </w:r>
          </w:hyperlink>
        </w:p>
        <w:p w:rsidR="00104B6C" w:rsidRDefault="00F60EB6">
          <w:pPr>
            <w:pStyle w:val="TOC2"/>
            <w:tabs>
              <w:tab w:val="left" w:pos="1077"/>
            </w:tabs>
            <w:rPr>
              <w:rFonts w:asciiTheme="minorHAnsi" w:eastAsiaTheme="minorEastAsia" w:hAnsiTheme="minorHAnsi" w:cstheme="minorBidi"/>
              <w:noProof/>
              <w:sz w:val="22"/>
              <w:szCs w:val="22"/>
              <w:lang w:val="en-GB" w:eastAsia="en-GB" w:bidi="ar-SA"/>
            </w:rPr>
          </w:pPr>
          <w:hyperlink w:anchor="_Toc503441206" w:history="1">
            <w:r>
              <w:rPr>
                <w:rStyle w:val="Hyperlink"/>
                <w:noProof/>
              </w:rPr>
              <w:t>1.1.</w:t>
            </w:r>
            <w:r>
              <w:rPr>
                <w:rFonts w:asciiTheme="minorHAnsi" w:eastAsiaTheme="minorEastAsia" w:hAnsiTheme="minorHAnsi" w:cstheme="minorBidi"/>
                <w:noProof/>
                <w:sz w:val="22"/>
                <w:szCs w:val="22"/>
                <w:lang w:val="en-GB" w:eastAsia="en-GB" w:bidi="ar-SA"/>
              </w:rPr>
              <w:tab/>
            </w:r>
            <w:r>
              <w:rPr>
                <w:rStyle w:val="Hyperlink"/>
                <w:noProof/>
              </w:rPr>
              <w:t>Μέθοδοι διαβούλευσης και εργαλεία</w:t>
            </w:r>
            <w:r>
              <w:rPr>
                <w:noProof/>
                <w:webHidden/>
              </w:rPr>
              <w:tab/>
            </w:r>
            <w:r>
              <w:rPr>
                <w:noProof/>
                <w:webHidden/>
              </w:rPr>
              <w:fldChar w:fldCharType="begin"/>
            </w:r>
            <w:r>
              <w:rPr>
                <w:noProof/>
                <w:webHidden/>
              </w:rPr>
              <w:instrText xml:space="preserve"> PAGEREF _Toc503441206 \h </w:instrText>
            </w:r>
            <w:r>
              <w:rPr>
                <w:noProof/>
                <w:webHidden/>
              </w:rPr>
            </w:r>
            <w:r>
              <w:rPr>
                <w:noProof/>
                <w:webHidden/>
              </w:rPr>
              <w:fldChar w:fldCharType="separate"/>
            </w:r>
            <w:r>
              <w:rPr>
                <w:noProof/>
                <w:webHidden/>
              </w:rPr>
              <w:t>2</w:t>
            </w:r>
            <w:r>
              <w:rPr>
                <w:noProof/>
                <w:webHidden/>
              </w:rPr>
              <w:fldChar w:fldCharType="end"/>
            </w:r>
          </w:hyperlink>
        </w:p>
        <w:p w:rsidR="00104B6C" w:rsidRDefault="00F60EB6">
          <w:pPr>
            <w:pStyle w:val="TOC1"/>
            <w:rPr>
              <w:rFonts w:asciiTheme="minorHAnsi" w:eastAsiaTheme="minorEastAsia" w:hAnsiTheme="minorHAnsi" w:cstheme="minorBidi"/>
              <w:caps w:val="0"/>
              <w:noProof/>
              <w:sz w:val="22"/>
              <w:szCs w:val="22"/>
              <w:lang w:val="en-GB" w:eastAsia="en-GB" w:bidi="ar-SA"/>
            </w:rPr>
          </w:pPr>
          <w:hyperlink w:anchor="_Toc503441207"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ΑΠΟΤΕΛΕΣΜΑΤΑ ΤΩΝ ΕΝΕΡΓΕΙΩΝ ΔΙΑΒΟΥΛΕΥΣΗΣ</w:t>
            </w:r>
            <w:r>
              <w:rPr>
                <w:noProof/>
                <w:webHidden/>
              </w:rPr>
              <w:tab/>
            </w:r>
            <w:r>
              <w:rPr>
                <w:noProof/>
                <w:webHidden/>
              </w:rPr>
              <w:fldChar w:fldCharType="begin"/>
            </w:r>
            <w:r>
              <w:rPr>
                <w:noProof/>
                <w:webHidden/>
              </w:rPr>
              <w:instrText xml:space="preserve"> PAGEREF _Toc503441207 \h </w:instrText>
            </w:r>
            <w:r>
              <w:rPr>
                <w:noProof/>
                <w:webHidden/>
              </w:rPr>
            </w:r>
            <w:r>
              <w:rPr>
                <w:noProof/>
                <w:webHidden/>
              </w:rPr>
              <w:fldChar w:fldCharType="separate"/>
            </w:r>
            <w:r>
              <w:rPr>
                <w:noProof/>
                <w:webHidden/>
              </w:rPr>
              <w:t>2</w:t>
            </w:r>
            <w:r>
              <w:rPr>
                <w:noProof/>
                <w:webHidden/>
              </w:rPr>
              <w:fldChar w:fldCharType="end"/>
            </w:r>
          </w:hyperlink>
        </w:p>
        <w:p w:rsidR="00104B6C" w:rsidRDefault="00F60EB6">
          <w:pPr>
            <w:pStyle w:val="TOC2"/>
            <w:tabs>
              <w:tab w:val="left" w:pos="1077"/>
            </w:tabs>
            <w:rPr>
              <w:rFonts w:asciiTheme="minorHAnsi" w:eastAsiaTheme="minorEastAsia" w:hAnsiTheme="minorHAnsi" w:cstheme="minorBidi"/>
              <w:noProof/>
              <w:sz w:val="22"/>
              <w:szCs w:val="22"/>
              <w:lang w:val="en-GB" w:eastAsia="en-GB" w:bidi="ar-SA"/>
            </w:rPr>
          </w:pPr>
          <w:hyperlink w:anchor="_Toc503441208"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Συνεδριάσεις της συμβουλευτικής επιτροπής για την αμοιβαία αναγνώριση</w:t>
            </w:r>
            <w:r>
              <w:rPr>
                <w:noProof/>
                <w:webHidden/>
              </w:rPr>
              <w:tab/>
            </w:r>
            <w:r>
              <w:rPr>
                <w:noProof/>
                <w:webHidden/>
              </w:rPr>
              <w:fldChar w:fldCharType="begin"/>
            </w:r>
            <w:r>
              <w:rPr>
                <w:noProof/>
                <w:webHidden/>
              </w:rPr>
              <w:instrText xml:space="preserve"> PAGEREF _Toc503441208 \h </w:instrText>
            </w:r>
            <w:r>
              <w:rPr>
                <w:noProof/>
                <w:webHidden/>
              </w:rPr>
            </w:r>
            <w:r>
              <w:rPr>
                <w:noProof/>
                <w:webHidden/>
              </w:rPr>
              <w:fldChar w:fldCharType="separate"/>
            </w:r>
            <w:r>
              <w:rPr>
                <w:noProof/>
                <w:webHidden/>
              </w:rPr>
              <w:t>2</w:t>
            </w:r>
            <w:r>
              <w:rPr>
                <w:noProof/>
                <w:webHidden/>
              </w:rPr>
              <w:fldChar w:fldCharType="end"/>
            </w:r>
          </w:hyperlink>
        </w:p>
        <w:p w:rsidR="00104B6C" w:rsidRDefault="00F60EB6">
          <w:pPr>
            <w:pStyle w:val="TOC2"/>
            <w:tabs>
              <w:tab w:val="left" w:pos="1077"/>
            </w:tabs>
            <w:rPr>
              <w:rFonts w:asciiTheme="minorHAnsi" w:eastAsiaTheme="minorEastAsia" w:hAnsiTheme="minorHAnsi" w:cstheme="minorBidi"/>
              <w:noProof/>
              <w:sz w:val="22"/>
              <w:szCs w:val="22"/>
              <w:lang w:val="en-GB" w:eastAsia="en-GB" w:bidi="ar-SA"/>
            </w:rPr>
          </w:pPr>
          <w:hyperlink w:anchor="_Toc503441209"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 xml:space="preserve">Διάσκεψη των ενδιαφερομένων στις </w:t>
            </w:r>
            <w:r>
              <w:rPr>
                <w:rStyle w:val="Hyperlink"/>
                <w:noProof/>
              </w:rPr>
              <w:t>17 Ιουνίου 2016</w:t>
            </w:r>
            <w:r>
              <w:rPr>
                <w:noProof/>
                <w:webHidden/>
              </w:rPr>
              <w:tab/>
            </w:r>
            <w:r>
              <w:rPr>
                <w:noProof/>
                <w:webHidden/>
              </w:rPr>
              <w:fldChar w:fldCharType="begin"/>
            </w:r>
            <w:r>
              <w:rPr>
                <w:noProof/>
                <w:webHidden/>
              </w:rPr>
              <w:instrText xml:space="preserve"> PAGEREF _Toc503441209 \h </w:instrText>
            </w:r>
            <w:r>
              <w:rPr>
                <w:noProof/>
                <w:webHidden/>
              </w:rPr>
            </w:r>
            <w:r>
              <w:rPr>
                <w:noProof/>
                <w:webHidden/>
              </w:rPr>
              <w:fldChar w:fldCharType="separate"/>
            </w:r>
            <w:r>
              <w:rPr>
                <w:noProof/>
                <w:webHidden/>
              </w:rPr>
              <w:t>3</w:t>
            </w:r>
            <w:r>
              <w:rPr>
                <w:noProof/>
                <w:webHidden/>
              </w:rPr>
              <w:fldChar w:fldCharType="end"/>
            </w:r>
          </w:hyperlink>
        </w:p>
        <w:p w:rsidR="00104B6C" w:rsidRDefault="00F60EB6">
          <w:pPr>
            <w:pStyle w:val="TOC2"/>
            <w:tabs>
              <w:tab w:val="left" w:pos="1077"/>
            </w:tabs>
            <w:rPr>
              <w:rFonts w:asciiTheme="minorHAnsi" w:eastAsiaTheme="minorEastAsia" w:hAnsiTheme="minorHAnsi" w:cstheme="minorBidi"/>
              <w:noProof/>
              <w:sz w:val="22"/>
              <w:szCs w:val="22"/>
              <w:lang w:val="en-GB" w:eastAsia="en-GB" w:bidi="ar-SA"/>
            </w:rPr>
          </w:pPr>
          <w:hyperlink w:anchor="_Toc503441210" w:history="1">
            <w:r>
              <w:rPr>
                <w:rStyle w:val="Hyperlink"/>
                <w:noProof/>
              </w:rPr>
              <w:t>2.3.</w:t>
            </w:r>
            <w:r>
              <w:rPr>
                <w:rFonts w:asciiTheme="minorHAnsi" w:eastAsiaTheme="minorEastAsia" w:hAnsiTheme="minorHAnsi" w:cstheme="minorBidi"/>
                <w:noProof/>
                <w:sz w:val="22"/>
                <w:szCs w:val="22"/>
                <w:lang w:val="en-GB" w:eastAsia="en-GB" w:bidi="ar-SA"/>
              </w:rPr>
              <w:tab/>
            </w:r>
            <w:r>
              <w:rPr>
                <w:rStyle w:val="Hyperlink"/>
                <w:noProof/>
              </w:rPr>
              <w:t>Δημόσια διαβούλευση</w:t>
            </w:r>
            <w:r>
              <w:rPr>
                <w:noProof/>
                <w:webHidden/>
              </w:rPr>
              <w:tab/>
            </w:r>
            <w:r>
              <w:rPr>
                <w:noProof/>
                <w:webHidden/>
              </w:rPr>
              <w:fldChar w:fldCharType="begin"/>
            </w:r>
            <w:r>
              <w:rPr>
                <w:noProof/>
                <w:webHidden/>
              </w:rPr>
              <w:instrText xml:space="preserve"> PAGEREF _Toc503441210 \h </w:instrText>
            </w:r>
            <w:r>
              <w:rPr>
                <w:noProof/>
                <w:webHidden/>
              </w:rPr>
            </w:r>
            <w:r>
              <w:rPr>
                <w:noProof/>
                <w:webHidden/>
              </w:rPr>
              <w:fldChar w:fldCharType="separate"/>
            </w:r>
            <w:r>
              <w:rPr>
                <w:noProof/>
                <w:webHidden/>
              </w:rPr>
              <w:t>3</w:t>
            </w:r>
            <w:r>
              <w:rPr>
                <w:noProof/>
                <w:webHidden/>
              </w:rPr>
              <w:fldChar w:fldCharType="end"/>
            </w:r>
          </w:hyperlink>
        </w:p>
        <w:p w:rsidR="00104B6C" w:rsidRDefault="00F60EB6">
          <w:pPr>
            <w:pStyle w:val="TOC3"/>
            <w:tabs>
              <w:tab w:val="left" w:pos="1916"/>
            </w:tabs>
            <w:rPr>
              <w:rFonts w:asciiTheme="minorHAnsi" w:eastAsiaTheme="minorEastAsia" w:hAnsiTheme="minorHAnsi" w:cstheme="minorBidi"/>
              <w:noProof/>
              <w:sz w:val="22"/>
              <w:szCs w:val="22"/>
              <w:lang w:val="en-GB" w:eastAsia="en-GB" w:bidi="ar-SA"/>
            </w:rPr>
          </w:pPr>
          <w:hyperlink w:anchor="_Toc503441211" w:history="1">
            <w:r>
              <w:rPr>
                <w:rStyle w:val="Hyperlink"/>
                <w:noProof/>
              </w:rPr>
              <w:t>2.3.1.</w:t>
            </w:r>
            <w:r>
              <w:rPr>
                <w:rFonts w:asciiTheme="minorHAnsi" w:eastAsiaTheme="minorEastAsia" w:hAnsiTheme="minorHAnsi" w:cstheme="minorBidi"/>
                <w:noProof/>
                <w:sz w:val="22"/>
                <w:szCs w:val="22"/>
                <w:lang w:val="en-GB" w:eastAsia="en-GB" w:bidi="ar-SA"/>
              </w:rPr>
              <w:tab/>
            </w:r>
            <w:r>
              <w:rPr>
                <w:rStyle w:val="Hyperlink"/>
                <w:noProof/>
              </w:rPr>
              <w:t>Πώς οι ενδιαφερόμενοι αντιλαμβάνονται την αμοιβαία αναγνώριση και τις πιθανές αδυναμίες της</w:t>
            </w:r>
            <w:r>
              <w:rPr>
                <w:noProof/>
                <w:webHidden/>
              </w:rPr>
              <w:tab/>
            </w:r>
            <w:r>
              <w:rPr>
                <w:noProof/>
                <w:webHidden/>
              </w:rPr>
              <w:fldChar w:fldCharType="begin"/>
            </w:r>
            <w:r>
              <w:rPr>
                <w:noProof/>
                <w:webHidden/>
              </w:rPr>
              <w:instrText xml:space="preserve"> PAGEREF _Toc503441211 \h </w:instrText>
            </w:r>
            <w:r>
              <w:rPr>
                <w:noProof/>
                <w:webHidden/>
              </w:rPr>
            </w:r>
            <w:r>
              <w:rPr>
                <w:noProof/>
                <w:webHidden/>
              </w:rPr>
              <w:fldChar w:fldCharType="separate"/>
            </w:r>
            <w:r>
              <w:rPr>
                <w:noProof/>
                <w:webHidden/>
              </w:rPr>
              <w:t>4</w:t>
            </w:r>
            <w:r>
              <w:rPr>
                <w:noProof/>
                <w:webHidden/>
              </w:rPr>
              <w:fldChar w:fldCharType="end"/>
            </w:r>
          </w:hyperlink>
        </w:p>
        <w:p w:rsidR="00104B6C" w:rsidRDefault="00F60EB6">
          <w:pPr>
            <w:pStyle w:val="TOC3"/>
            <w:tabs>
              <w:tab w:val="left" w:pos="1916"/>
            </w:tabs>
            <w:rPr>
              <w:rFonts w:asciiTheme="minorHAnsi" w:eastAsiaTheme="minorEastAsia" w:hAnsiTheme="minorHAnsi" w:cstheme="minorBidi"/>
              <w:noProof/>
              <w:sz w:val="22"/>
              <w:szCs w:val="22"/>
              <w:lang w:val="en-GB" w:eastAsia="en-GB" w:bidi="ar-SA"/>
            </w:rPr>
          </w:pPr>
          <w:hyperlink w:anchor="_Toc503441212" w:history="1">
            <w:r>
              <w:rPr>
                <w:rStyle w:val="Hyperlink"/>
                <w:noProof/>
              </w:rPr>
              <w:t>2.3.2.</w:t>
            </w:r>
            <w:r>
              <w:rPr>
                <w:rFonts w:asciiTheme="minorHAnsi" w:eastAsiaTheme="minorEastAsia" w:hAnsiTheme="minorHAnsi" w:cstheme="minorBidi"/>
                <w:noProof/>
                <w:sz w:val="22"/>
                <w:szCs w:val="22"/>
                <w:lang w:val="en-GB" w:eastAsia="en-GB" w:bidi="ar-SA"/>
              </w:rPr>
              <w:tab/>
            </w:r>
            <w:r>
              <w:rPr>
                <w:rStyle w:val="Hyperlink"/>
                <w:noProof/>
              </w:rPr>
              <w:t>Λειτουργία του κανονισμού περί αμοιβαίας αναγνώρισης</w:t>
            </w:r>
            <w:r>
              <w:rPr>
                <w:noProof/>
                <w:webHidden/>
              </w:rPr>
              <w:tab/>
            </w:r>
            <w:r>
              <w:rPr>
                <w:noProof/>
                <w:webHidden/>
              </w:rPr>
              <w:fldChar w:fldCharType="begin"/>
            </w:r>
            <w:r>
              <w:rPr>
                <w:noProof/>
                <w:webHidden/>
              </w:rPr>
              <w:instrText xml:space="preserve"> PAGEREF _Toc503441212 \h </w:instrText>
            </w:r>
            <w:r>
              <w:rPr>
                <w:noProof/>
                <w:webHidden/>
              </w:rPr>
            </w:r>
            <w:r>
              <w:rPr>
                <w:noProof/>
                <w:webHidden/>
              </w:rPr>
              <w:fldChar w:fldCharType="separate"/>
            </w:r>
            <w:r>
              <w:rPr>
                <w:noProof/>
                <w:webHidden/>
              </w:rPr>
              <w:t>4</w:t>
            </w:r>
            <w:r>
              <w:rPr>
                <w:noProof/>
                <w:webHidden/>
              </w:rPr>
              <w:fldChar w:fldCharType="end"/>
            </w:r>
          </w:hyperlink>
        </w:p>
        <w:p w:rsidR="00104B6C" w:rsidRDefault="00F60EB6">
          <w:pPr>
            <w:pStyle w:val="TOC3"/>
            <w:tabs>
              <w:tab w:val="left" w:pos="1916"/>
            </w:tabs>
            <w:rPr>
              <w:rFonts w:asciiTheme="minorHAnsi" w:eastAsiaTheme="minorEastAsia" w:hAnsiTheme="minorHAnsi" w:cstheme="minorBidi"/>
              <w:noProof/>
              <w:sz w:val="22"/>
              <w:szCs w:val="22"/>
              <w:lang w:val="en-GB" w:eastAsia="en-GB" w:bidi="ar-SA"/>
            </w:rPr>
          </w:pPr>
          <w:hyperlink w:anchor="_Toc503441213" w:history="1">
            <w:r>
              <w:rPr>
                <w:rStyle w:val="Hyperlink"/>
                <w:noProof/>
              </w:rPr>
              <w:t>2.3.3.</w:t>
            </w:r>
            <w:r>
              <w:rPr>
                <w:rFonts w:asciiTheme="minorHAnsi" w:eastAsiaTheme="minorEastAsia" w:hAnsiTheme="minorHAnsi" w:cstheme="minorBidi"/>
                <w:noProof/>
                <w:sz w:val="22"/>
                <w:szCs w:val="22"/>
                <w:lang w:val="en-GB" w:eastAsia="en-GB" w:bidi="ar-SA"/>
              </w:rPr>
              <w:tab/>
            </w:r>
            <w:r>
              <w:rPr>
                <w:rStyle w:val="Hyperlink"/>
                <w:noProof/>
              </w:rPr>
              <w:t>Αξιολόγηση της επικοινωνίας κατά τη χρήση της αμοιβαίας αναγνώρισης</w:t>
            </w:r>
            <w:r>
              <w:rPr>
                <w:noProof/>
                <w:webHidden/>
              </w:rPr>
              <w:tab/>
            </w:r>
            <w:r>
              <w:rPr>
                <w:noProof/>
                <w:webHidden/>
              </w:rPr>
              <w:fldChar w:fldCharType="begin"/>
            </w:r>
            <w:r>
              <w:rPr>
                <w:noProof/>
                <w:webHidden/>
              </w:rPr>
              <w:instrText xml:space="preserve"> PAGEREF _Toc503441213 \h </w:instrText>
            </w:r>
            <w:r>
              <w:rPr>
                <w:noProof/>
                <w:webHidden/>
              </w:rPr>
            </w:r>
            <w:r>
              <w:rPr>
                <w:noProof/>
                <w:webHidden/>
              </w:rPr>
              <w:fldChar w:fldCharType="separate"/>
            </w:r>
            <w:r>
              <w:rPr>
                <w:noProof/>
                <w:webHidden/>
              </w:rPr>
              <w:t>5</w:t>
            </w:r>
            <w:r>
              <w:rPr>
                <w:noProof/>
                <w:webHidden/>
              </w:rPr>
              <w:fldChar w:fldCharType="end"/>
            </w:r>
          </w:hyperlink>
        </w:p>
        <w:p w:rsidR="00104B6C" w:rsidRDefault="00F60EB6">
          <w:pPr>
            <w:pStyle w:val="TOC3"/>
            <w:tabs>
              <w:tab w:val="left" w:pos="1916"/>
            </w:tabs>
            <w:rPr>
              <w:rFonts w:asciiTheme="minorHAnsi" w:eastAsiaTheme="minorEastAsia" w:hAnsiTheme="minorHAnsi" w:cstheme="minorBidi"/>
              <w:noProof/>
              <w:sz w:val="22"/>
              <w:szCs w:val="22"/>
              <w:lang w:val="en-GB" w:eastAsia="en-GB" w:bidi="ar-SA"/>
            </w:rPr>
          </w:pPr>
          <w:hyperlink w:anchor="_Toc503441214" w:history="1">
            <w:r>
              <w:rPr>
                <w:rStyle w:val="Hyperlink"/>
                <w:noProof/>
              </w:rPr>
              <w:t>2.3.4.</w:t>
            </w:r>
            <w:r>
              <w:rPr>
                <w:rFonts w:asciiTheme="minorHAnsi" w:eastAsiaTheme="minorEastAsia" w:hAnsiTheme="minorHAnsi" w:cstheme="minorBidi"/>
                <w:noProof/>
                <w:sz w:val="22"/>
                <w:szCs w:val="22"/>
                <w:lang w:val="en-GB" w:eastAsia="en-GB" w:bidi="ar-SA"/>
              </w:rPr>
              <w:tab/>
            </w:r>
            <w:r>
              <w:rPr>
                <w:rStyle w:val="Hyperlink"/>
                <w:noProof/>
              </w:rPr>
              <w:t xml:space="preserve">Προτεραιότητες </w:t>
            </w:r>
            <w:r>
              <w:rPr>
                <w:rStyle w:val="Hyperlink"/>
                <w:noProof/>
              </w:rPr>
              <w:t>για τη βελτίωση της αμοιβαίας αναγνώρισης</w:t>
            </w:r>
            <w:r>
              <w:rPr>
                <w:noProof/>
                <w:webHidden/>
              </w:rPr>
              <w:tab/>
            </w:r>
            <w:r>
              <w:rPr>
                <w:noProof/>
                <w:webHidden/>
              </w:rPr>
              <w:fldChar w:fldCharType="begin"/>
            </w:r>
            <w:r>
              <w:rPr>
                <w:noProof/>
                <w:webHidden/>
              </w:rPr>
              <w:instrText xml:space="preserve"> PAGEREF _Toc503441214 \h </w:instrText>
            </w:r>
            <w:r>
              <w:rPr>
                <w:noProof/>
                <w:webHidden/>
              </w:rPr>
            </w:r>
            <w:r>
              <w:rPr>
                <w:noProof/>
                <w:webHidden/>
              </w:rPr>
              <w:fldChar w:fldCharType="separate"/>
            </w:r>
            <w:r>
              <w:rPr>
                <w:noProof/>
                <w:webHidden/>
              </w:rPr>
              <w:t>5</w:t>
            </w:r>
            <w:r>
              <w:rPr>
                <w:noProof/>
                <w:webHidden/>
              </w:rPr>
              <w:fldChar w:fldCharType="end"/>
            </w:r>
          </w:hyperlink>
        </w:p>
        <w:p w:rsidR="00104B6C" w:rsidRDefault="00F60EB6">
          <w:pPr>
            <w:pStyle w:val="TOC3"/>
            <w:tabs>
              <w:tab w:val="left" w:pos="1916"/>
            </w:tabs>
            <w:rPr>
              <w:rFonts w:asciiTheme="minorHAnsi" w:eastAsiaTheme="minorEastAsia" w:hAnsiTheme="minorHAnsi" w:cstheme="minorBidi"/>
              <w:noProof/>
              <w:sz w:val="22"/>
              <w:szCs w:val="22"/>
              <w:lang w:val="en-GB" w:eastAsia="en-GB" w:bidi="ar-SA"/>
            </w:rPr>
          </w:pPr>
          <w:hyperlink w:anchor="_Toc503441215" w:history="1">
            <w:r>
              <w:rPr>
                <w:rStyle w:val="Hyperlink"/>
                <w:noProof/>
              </w:rPr>
              <w:t>2.3.5.</w:t>
            </w:r>
            <w:r>
              <w:rPr>
                <w:rFonts w:asciiTheme="minorHAnsi" w:eastAsiaTheme="minorEastAsia" w:hAnsiTheme="minorHAnsi" w:cstheme="minorBidi"/>
                <w:noProof/>
                <w:sz w:val="22"/>
                <w:szCs w:val="22"/>
                <w:lang w:val="en-GB" w:eastAsia="en-GB" w:bidi="ar-SA"/>
              </w:rPr>
              <w:tab/>
            </w:r>
            <w:r>
              <w:rPr>
                <w:rStyle w:val="Hyperlink"/>
                <w:noProof/>
              </w:rPr>
              <w:t>Επιλογές</w:t>
            </w:r>
            <w:r>
              <w:rPr>
                <w:noProof/>
                <w:webHidden/>
              </w:rPr>
              <w:tab/>
            </w:r>
            <w:r>
              <w:rPr>
                <w:noProof/>
                <w:webHidden/>
              </w:rPr>
              <w:fldChar w:fldCharType="begin"/>
            </w:r>
            <w:r>
              <w:rPr>
                <w:noProof/>
                <w:webHidden/>
              </w:rPr>
              <w:instrText xml:space="preserve"> PAGEREF _Toc503441215 \h </w:instrText>
            </w:r>
            <w:r>
              <w:rPr>
                <w:noProof/>
                <w:webHidden/>
              </w:rPr>
            </w:r>
            <w:r>
              <w:rPr>
                <w:noProof/>
                <w:webHidden/>
              </w:rPr>
              <w:fldChar w:fldCharType="separate"/>
            </w:r>
            <w:r>
              <w:rPr>
                <w:noProof/>
                <w:webHidden/>
              </w:rPr>
              <w:t>5</w:t>
            </w:r>
            <w:r>
              <w:rPr>
                <w:noProof/>
                <w:webHidden/>
              </w:rPr>
              <w:fldChar w:fldCharType="end"/>
            </w:r>
          </w:hyperlink>
        </w:p>
        <w:p w:rsidR="00104B6C" w:rsidRDefault="00F60EB6">
          <w:pPr>
            <w:pStyle w:val="TOC2"/>
            <w:tabs>
              <w:tab w:val="left" w:pos="1077"/>
            </w:tabs>
            <w:rPr>
              <w:rFonts w:asciiTheme="minorHAnsi" w:eastAsiaTheme="minorEastAsia" w:hAnsiTheme="minorHAnsi" w:cstheme="minorBidi"/>
              <w:noProof/>
              <w:sz w:val="22"/>
              <w:szCs w:val="22"/>
              <w:lang w:val="en-GB" w:eastAsia="en-GB" w:bidi="ar-SA"/>
            </w:rPr>
          </w:pPr>
          <w:hyperlink w:anchor="_Toc503441216" w:history="1">
            <w:r>
              <w:rPr>
                <w:rStyle w:val="Hyperlink"/>
                <w:noProof/>
              </w:rPr>
              <w:t>2.4.</w:t>
            </w:r>
            <w:r>
              <w:rPr>
                <w:rFonts w:asciiTheme="minorHAnsi" w:eastAsiaTheme="minorEastAsia" w:hAnsiTheme="minorHAnsi" w:cstheme="minorBidi"/>
                <w:noProof/>
                <w:sz w:val="22"/>
                <w:szCs w:val="22"/>
                <w:lang w:val="en-GB" w:eastAsia="en-GB" w:bidi="ar-SA"/>
              </w:rPr>
              <w:tab/>
            </w:r>
            <w:r>
              <w:rPr>
                <w:rStyle w:val="Hyperlink"/>
                <w:noProof/>
              </w:rPr>
              <w:t>Έρευνες που διενεργούνται από εξωτερικές εταιρείες</w:t>
            </w:r>
            <w:r>
              <w:rPr>
                <w:noProof/>
                <w:webHidden/>
              </w:rPr>
              <w:tab/>
            </w:r>
            <w:r>
              <w:rPr>
                <w:noProof/>
                <w:webHidden/>
              </w:rPr>
              <w:fldChar w:fldCharType="begin"/>
            </w:r>
            <w:r>
              <w:rPr>
                <w:noProof/>
                <w:webHidden/>
              </w:rPr>
              <w:instrText xml:space="preserve"> PAGEREF _Toc503441216 \h </w:instrText>
            </w:r>
            <w:r>
              <w:rPr>
                <w:noProof/>
                <w:webHidden/>
              </w:rPr>
            </w:r>
            <w:r>
              <w:rPr>
                <w:noProof/>
                <w:webHidden/>
              </w:rPr>
              <w:fldChar w:fldCharType="separate"/>
            </w:r>
            <w:r>
              <w:rPr>
                <w:noProof/>
                <w:webHidden/>
              </w:rPr>
              <w:t>6</w:t>
            </w:r>
            <w:r>
              <w:rPr>
                <w:noProof/>
                <w:webHidden/>
              </w:rPr>
              <w:fldChar w:fldCharType="end"/>
            </w:r>
          </w:hyperlink>
        </w:p>
        <w:p w:rsidR="00104B6C" w:rsidRDefault="00F60EB6">
          <w:pPr>
            <w:pStyle w:val="TOC2"/>
            <w:tabs>
              <w:tab w:val="left" w:pos="1077"/>
            </w:tabs>
            <w:rPr>
              <w:rFonts w:asciiTheme="minorHAnsi" w:eastAsiaTheme="minorEastAsia" w:hAnsiTheme="minorHAnsi" w:cstheme="minorBidi"/>
              <w:noProof/>
              <w:sz w:val="22"/>
              <w:szCs w:val="22"/>
              <w:lang w:val="en-GB" w:eastAsia="en-GB" w:bidi="ar-SA"/>
            </w:rPr>
          </w:pPr>
          <w:hyperlink w:anchor="_Toc503441217" w:history="1">
            <w:r>
              <w:rPr>
                <w:rStyle w:val="Hyperlink"/>
                <w:noProof/>
              </w:rPr>
              <w:t>2.5.</w:t>
            </w:r>
            <w:r>
              <w:rPr>
                <w:rFonts w:asciiTheme="minorHAnsi" w:eastAsiaTheme="minorEastAsia" w:hAnsiTheme="minorHAnsi" w:cstheme="minorBidi"/>
                <w:noProof/>
                <w:sz w:val="22"/>
                <w:szCs w:val="22"/>
                <w:lang w:val="en-GB" w:eastAsia="en-GB" w:bidi="ar-SA"/>
              </w:rPr>
              <w:tab/>
            </w:r>
            <w:r>
              <w:rPr>
                <w:rStyle w:val="Hyperlink"/>
                <w:noProof/>
              </w:rPr>
              <w:t>Άλλες συν</w:t>
            </w:r>
            <w:r>
              <w:rPr>
                <w:rStyle w:val="Hyperlink"/>
                <w:noProof/>
              </w:rPr>
              <w:t>εισφορές (έγγραφα θέσης ή μηνύματα ηλεκτρονικού ταχυδρομείου)</w:t>
            </w:r>
            <w:r>
              <w:rPr>
                <w:noProof/>
                <w:webHidden/>
              </w:rPr>
              <w:tab/>
            </w:r>
            <w:r>
              <w:rPr>
                <w:noProof/>
                <w:webHidden/>
              </w:rPr>
              <w:fldChar w:fldCharType="begin"/>
            </w:r>
            <w:r>
              <w:rPr>
                <w:noProof/>
                <w:webHidden/>
              </w:rPr>
              <w:instrText xml:space="preserve"> PAGEREF _Toc503441217 \h </w:instrText>
            </w:r>
            <w:r>
              <w:rPr>
                <w:noProof/>
                <w:webHidden/>
              </w:rPr>
            </w:r>
            <w:r>
              <w:rPr>
                <w:noProof/>
                <w:webHidden/>
              </w:rPr>
              <w:fldChar w:fldCharType="separate"/>
            </w:r>
            <w:r>
              <w:rPr>
                <w:noProof/>
                <w:webHidden/>
              </w:rPr>
              <w:t>6</w:t>
            </w:r>
            <w:r>
              <w:rPr>
                <w:noProof/>
                <w:webHidden/>
              </w:rPr>
              <w:fldChar w:fldCharType="end"/>
            </w:r>
          </w:hyperlink>
        </w:p>
        <w:p w:rsidR="00104B6C" w:rsidRDefault="00F60EB6">
          <w:pPr>
            <w:pStyle w:val="TOC1"/>
            <w:rPr>
              <w:rFonts w:asciiTheme="minorHAnsi" w:eastAsiaTheme="minorEastAsia" w:hAnsiTheme="minorHAnsi" w:cstheme="minorBidi"/>
              <w:caps w:val="0"/>
              <w:noProof/>
              <w:sz w:val="22"/>
              <w:szCs w:val="22"/>
              <w:lang w:val="en-GB" w:eastAsia="en-GB" w:bidi="ar-SA"/>
            </w:rPr>
          </w:pPr>
          <w:hyperlink w:anchor="_Toc503441218"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ΕΝΗΜΕΡΩΣΗ ΤΩΝ ΕΝΔΙΑΦΕΡΟΜΕΝΩΝ</w:t>
            </w:r>
            <w:r>
              <w:rPr>
                <w:noProof/>
                <w:webHidden/>
              </w:rPr>
              <w:tab/>
            </w:r>
            <w:r>
              <w:rPr>
                <w:noProof/>
                <w:webHidden/>
              </w:rPr>
              <w:fldChar w:fldCharType="begin"/>
            </w:r>
            <w:r>
              <w:rPr>
                <w:noProof/>
                <w:webHidden/>
              </w:rPr>
              <w:instrText xml:space="preserve"> PAGEREF _Toc503441218 \h </w:instrText>
            </w:r>
            <w:r>
              <w:rPr>
                <w:noProof/>
                <w:webHidden/>
              </w:rPr>
            </w:r>
            <w:r>
              <w:rPr>
                <w:noProof/>
                <w:webHidden/>
              </w:rPr>
              <w:fldChar w:fldCharType="separate"/>
            </w:r>
            <w:r>
              <w:rPr>
                <w:noProof/>
                <w:webHidden/>
              </w:rPr>
              <w:t>7</w:t>
            </w:r>
            <w:r>
              <w:rPr>
                <w:noProof/>
                <w:webHidden/>
              </w:rPr>
              <w:fldChar w:fldCharType="end"/>
            </w:r>
          </w:hyperlink>
        </w:p>
        <w:p w:rsidR="00104B6C" w:rsidRDefault="00F60EB6">
          <w:pPr>
            <w:pStyle w:val="TOC1"/>
            <w:ind w:left="720" w:hanging="720"/>
            <w:rPr>
              <w:rFonts w:asciiTheme="minorHAnsi" w:eastAsiaTheme="minorEastAsia" w:hAnsiTheme="minorHAnsi" w:cstheme="minorBidi"/>
              <w:caps w:val="0"/>
              <w:noProof/>
              <w:sz w:val="22"/>
              <w:szCs w:val="22"/>
            </w:rPr>
          </w:pPr>
          <w:r>
            <w:rPr>
              <w:b/>
              <w:bCs/>
              <w:noProof/>
            </w:rPr>
            <w:fldChar w:fldCharType="end"/>
          </w:r>
        </w:p>
      </w:sdtContent>
    </w:sdt>
    <w:p w:rsidR="00104B6C" w:rsidRDefault="00F60EB6">
      <w:pPr>
        <w:spacing w:after="0"/>
        <w:jc w:val="left"/>
        <w:rPr>
          <w:b/>
          <w:smallCaps/>
          <w:noProof/>
        </w:rPr>
      </w:pPr>
      <w:r>
        <w:rPr>
          <w:noProof/>
        </w:rPr>
        <w:t xml:space="preserve"> </w:t>
      </w:r>
      <w:r>
        <w:rPr>
          <w:noProof/>
        </w:rPr>
        <w:br w:type="page"/>
      </w:r>
    </w:p>
    <w:p w:rsidR="00104B6C" w:rsidRDefault="00F60EB6">
      <w:pPr>
        <w:pStyle w:val="Heading1"/>
        <w:tabs>
          <w:tab w:val="clear" w:pos="480"/>
          <w:tab w:val="num" w:pos="1418"/>
        </w:tabs>
        <w:spacing w:before="0"/>
        <w:ind w:left="567" w:hanging="567"/>
        <w:rPr>
          <w:noProof/>
        </w:rPr>
      </w:pPr>
      <w:bookmarkStart w:id="1" w:name="_Toc499563361"/>
      <w:bookmarkStart w:id="2" w:name="_Toc503441205"/>
      <w:r>
        <w:rPr>
          <w:noProof/>
        </w:rPr>
        <w:lastRenderedPageBreak/>
        <w:t>ΣΤΟΧΟΙ ΤΗΣ ΔΙΑΒΟΥΛΕΥΣΗΣ</w:t>
      </w:r>
      <w:bookmarkEnd w:id="1"/>
      <w:bookmarkEnd w:id="2"/>
      <w:r>
        <w:rPr>
          <w:noProof/>
        </w:rPr>
        <w:t xml:space="preserve"> </w:t>
      </w:r>
    </w:p>
    <w:p w:rsidR="00104B6C" w:rsidRDefault="00F60EB6">
      <w:pPr>
        <w:rPr>
          <w:noProof/>
          <w:szCs w:val="24"/>
        </w:rPr>
      </w:pPr>
      <w:r>
        <w:rPr>
          <w:noProof/>
        </w:rPr>
        <w:t>Η «στρατηγική για την ενιαία αγορά» [COM(2015) 550 της 28.10.2015] τονίζει την ανάγκη να ενισχυθεί η ενιαία αγορά αγαθών στον τομέα της αμοιβαίας αναγνώρισης</w:t>
      </w:r>
      <w:r>
        <w:rPr>
          <w:noProof/>
        </w:rPr>
        <w:t>. Σύμφωνα με την αρχή της αμοιβαίας αναγνώρισης, τα προϊόντα που κυκλοφορούν νόμιμα σ’ ένα κράτος μέλος και δεν υπόκεινται στην ενωσιακή νομοθεσία εναρμόνισης απολαμβάνουν το δικαίωμα της ελεύθερης κυκλοφορίας, ακόμα και αν δεν συμμορφώνονται με τους εθνικ</w:t>
      </w:r>
      <w:r>
        <w:rPr>
          <w:noProof/>
        </w:rPr>
        <w:t xml:space="preserve">ούς τεχνικούς κανόνες του κράτους μέλους προορισμού. Ωστόσο, η αρχή της αμοιβαίας αναγνώρισης δεν έχει ακόμη αξιοποιηθεί πλήρως, όπως προκύπτει από την πρόσφατη αξιολόγησή της. </w:t>
      </w:r>
    </w:p>
    <w:p w:rsidR="00104B6C" w:rsidRDefault="00F60EB6">
      <w:pPr>
        <w:rPr>
          <w:noProof/>
          <w:szCs w:val="24"/>
        </w:rPr>
      </w:pPr>
      <w:r>
        <w:rPr>
          <w:noProof/>
        </w:rPr>
        <w:t>Για να βελτιωθεί η εφαρμογή της αρχής της αμοιβαίας αναγνώρισης, η Επιτροπή θα</w:t>
      </w:r>
      <w:r>
        <w:rPr>
          <w:noProof/>
        </w:rPr>
        <w:t xml:space="preserve"> παρουσιάσει σχέδιο δράσης σε επίπεδο ΕΕ με σκοπό την ευαισθητοποίηση, το οποίο θα δίνει έμφαση στους προβληματικούς τομείς. Η Επιτροπή θα διερευνήσει επίσης την ανάγκη αναθεώρησης του κανονισμού (ΕΚ) αριθ. 764/2008, προκειμένου να εξασφαλιστεί η καλύτερη </w:t>
      </w:r>
      <w:r>
        <w:rPr>
          <w:noProof/>
        </w:rPr>
        <w:t xml:space="preserve">εφαρμογή μεταξύ των επιχειρήσεων και των εθνικών αρχών. Ως εκ τούτου, ο στόχος της διαβούλευσης ήταν να συγκεντρωθούν οι απόψεις των ενδιαφερομένων σχετικά με την τρέχουσα και τη μελλοντική εφαρμογή της αμοιβαίας αναγνώρισης.  </w:t>
      </w:r>
    </w:p>
    <w:p w:rsidR="00104B6C" w:rsidRDefault="00F60EB6">
      <w:pPr>
        <w:pStyle w:val="Heading2"/>
        <w:tabs>
          <w:tab w:val="clear" w:pos="1080"/>
          <w:tab w:val="num" w:pos="567"/>
        </w:tabs>
        <w:ind w:hanging="1080"/>
        <w:rPr>
          <w:noProof/>
        </w:rPr>
      </w:pPr>
      <w:bookmarkStart w:id="3" w:name="_Toc499563362"/>
      <w:bookmarkStart w:id="4" w:name="_Toc503441206"/>
      <w:r>
        <w:rPr>
          <w:noProof/>
        </w:rPr>
        <w:t>Μέθοδοι διαβούλευσης και εργ</w:t>
      </w:r>
      <w:r>
        <w:rPr>
          <w:noProof/>
        </w:rPr>
        <w:t>αλεία</w:t>
      </w:r>
      <w:bookmarkEnd w:id="3"/>
      <w:bookmarkEnd w:id="4"/>
    </w:p>
    <w:p w:rsidR="00104B6C" w:rsidRDefault="00F60EB6">
      <w:pPr>
        <w:rPr>
          <w:noProof/>
          <w:szCs w:val="24"/>
        </w:rPr>
      </w:pPr>
      <w:r>
        <w:rPr>
          <w:noProof/>
        </w:rPr>
        <w:t xml:space="preserve">Τα </w:t>
      </w:r>
      <w:r>
        <w:rPr>
          <w:b/>
          <w:noProof/>
        </w:rPr>
        <w:t>μέλη της συμβουλευτικής επιτροπής για την αμοιβαία αναγνώριση</w:t>
      </w:r>
      <w:r>
        <w:rPr>
          <w:b/>
          <w:noProof/>
          <w:vertAlign w:val="superscript"/>
        </w:rPr>
        <w:footnoteReference w:id="1"/>
      </w:r>
      <w:r>
        <w:rPr>
          <w:noProof/>
        </w:rPr>
        <w:t xml:space="preserve"> κλήθηκαν να διατυπώσουν τις απόψεις τους στις τελευταίες συνεδριάσεις της επιτροπής, στις </w:t>
      </w:r>
      <w:r>
        <w:rPr>
          <w:b/>
          <w:noProof/>
        </w:rPr>
        <w:t>2 Δεκεμβρίου 2015</w:t>
      </w:r>
      <w:r>
        <w:rPr>
          <w:noProof/>
        </w:rPr>
        <w:t xml:space="preserve"> και στις </w:t>
      </w:r>
      <w:r>
        <w:rPr>
          <w:b/>
          <w:noProof/>
        </w:rPr>
        <w:t>25 Οκτωβρίου 2016</w:t>
      </w:r>
      <w:r>
        <w:rPr>
          <w:noProof/>
        </w:rPr>
        <w:t>.</w:t>
      </w:r>
    </w:p>
    <w:p w:rsidR="00104B6C" w:rsidRDefault="00F60EB6">
      <w:pPr>
        <w:rPr>
          <w:noProof/>
          <w:szCs w:val="24"/>
        </w:rPr>
      </w:pPr>
      <w:r>
        <w:rPr>
          <w:noProof/>
        </w:rPr>
        <w:t xml:space="preserve">Στον δικτυακό τόπο διαβουλεύσεων που φιλοξενείται στον </w:t>
      </w:r>
      <w:r>
        <w:rPr>
          <w:i/>
          <w:noProof/>
        </w:rPr>
        <w:t>Europa</w:t>
      </w:r>
      <w:r>
        <w:rPr>
          <w:noProof/>
        </w:rPr>
        <w:t xml:space="preserve"> έχει δημοσιευθεί </w:t>
      </w:r>
      <w:r>
        <w:rPr>
          <w:b/>
          <w:noProof/>
        </w:rPr>
        <w:t>δημόσια διαβούλευση σ’ όλες τις επίσημες γλώσσες της ΕΕ</w:t>
      </w:r>
      <w:r>
        <w:rPr>
          <w:noProof/>
        </w:rPr>
        <w:t>.</w:t>
      </w:r>
      <w:r>
        <w:rPr>
          <w:i/>
          <w:noProof/>
        </w:rPr>
        <w:t xml:space="preserve"> </w:t>
      </w:r>
      <w:r>
        <w:rPr>
          <w:noProof/>
        </w:rPr>
        <w:t xml:space="preserve">Η διαβούλευση διήρκεσε από τον Ιούνιο έως τον Σεπτέμβριο του 2016. </w:t>
      </w:r>
    </w:p>
    <w:p w:rsidR="00104B6C" w:rsidRDefault="00F60EB6">
      <w:pPr>
        <w:rPr>
          <w:noProof/>
          <w:szCs w:val="24"/>
        </w:rPr>
      </w:pPr>
      <w:r>
        <w:rPr>
          <w:noProof/>
        </w:rPr>
        <w:t xml:space="preserve">Η δημόσια διαβούλευση συμπληρώθηκε με </w:t>
      </w:r>
      <w:r>
        <w:rPr>
          <w:b/>
          <w:noProof/>
        </w:rPr>
        <w:t>διάσκεψη των ε</w:t>
      </w:r>
      <w:r>
        <w:rPr>
          <w:b/>
          <w:noProof/>
        </w:rPr>
        <w:t>νδιαφερομένων</w:t>
      </w:r>
      <w:r>
        <w:rPr>
          <w:noProof/>
        </w:rPr>
        <w:t xml:space="preserve">, η οποία διοργανώθηκε από την Επιτροπή στις </w:t>
      </w:r>
      <w:r>
        <w:rPr>
          <w:b/>
          <w:noProof/>
        </w:rPr>
        <w:t>17</w:t>
      </w:r>
      <w:r>
        <w:rPr>
          <w:noProof/>
        </w:rPr>
        <w:t xml:space="preserve"> </w:t>
      </w:r>
      <w:r>
        <w:rPr>
          <w:b/>
          <w:noProof/>
        </w:rPr>
        <w:t>Ιουνίου 2016</w:t>
      </w:r>
      <w:r>
        <w:rPr>
          <w:noProof/>
        </w:rPr>
        <w:t xml:space="preserve">. </w:t>
      </w:r>
    </w:p>
    <w:p w:rsidR="00104B6C" w:rsidRDefault="00F60EB6">
      <w:pPr>
        <w:pStyle w:val="Heading1"/>
        <w:keepNext w:val="0"/>
        <w:tabs>
          <w:tab w:val="clear" w:pos="480"/>
          <w:tab w:val="num" w:pos="1418"/>
        </w:tabs>
        <w:spacing w:before="0"/>
        <w:ind w:left="567" w:hanging="567"/>
        <w:rPr>
          <w:noProof/>
        </w:rPr>
      </w:pPr>
      <w:bookmarkStart w:id="5" w:name="_Toc499563363"/>
      <w:bookmarkStart w:id="6" w:name="_Toc503441207"/>
      <w:r>
        <w:rPr>
          <w:noProof/>
        </w:rPr>
        <w:t>ΑΠΟΤΕΛΕΣΜΑΤΑ ΤΩΝ ΕΝΕΡΓΕΙΩΝ ΔΙΑΒΟΥΛΕΥΣΗΣ</w:t>
      </w:r>
      <w:bookmarkEnd w:id="5"/>
      <w:bookmarkEnd w:id="6"/>
    </w:p>
    <w:p w:rsidR="00104B6C" w:rsidRDefault="00F60EB6">
      <w:pPr>
        <w:pStyle w:val="Heading2"/>
        <w:keepNext w:val="0"/>
        <w:tabs>
          <w:tab w:val="clear" w:pos="1080"/>
          <w:tab w:val="num" w:pos="567"/>
        </w:tabs>
        <w:ind w:hanging="1080"/>
        <w:rPr>
          <w:noProof/>
        </w:rPr>
      </w:pPr>
      <w:bookmarkStart w:id="7" w:name="_Toc499563364"/>
      <w:bookmarkStart w:id="8" w:name="_Toc503441208"/>
      <w:r>
        <w:rPr>
          <w:noProof/>
        </w:rPr>
        <w:t>Συνεδριάσεις της συμβουλευτικής επιτροπής για την αμοιβαία αναγνώριση</w:t>
      </w:r>
      <w:bookmarkEnd w:id="7"/>
      <w:bookmarkEnd w:id="8"/>
    </w:p>
    <w:p w:rsidR="00104B6C" w:rsidRDefault="00F60EB6">
      <w:pPr>
        <w:tabs>
          <w:tab w:val="left" w:pos="2160"/>
        </w:tabs>
        <w:rPr>
          <w:noProof/>
          <w:szCs w:val="24"/>
        </w:rPr>
      </w:pPr>
      <w:r>
        <w:rPr>
          <w:noProof/>
        </w:rPr>
        <w:t>Η συμβουλευτική επιτροπή για την αμοιβαία αναγνώριση πραγματοποίησε την έβδομη και την όγδοη συνεδρίασή της στις 2 Δεκεμβρίου 2015 και στις 25 Οκτωβρίου 2016, αντίστοιχα. Τα μέλη της επιτροπής είναι εκπρόσωποι των κρατών μελών που ασχολούνται με θέματα αμο</w:t>
      </w:r>
      <w:r>
        <w:rPr>
          <w:noProof/>
        </w:rPr>
        <w:t>ιβαίας αναγνώρισης. Η Επιτροπή παρουσίασε ιδέες για την ευαισθητοποίηση σε θέματα αμοιβαίας αναγνώρισης, οι οποίες έγιναν δεκτές με ικανοποίηση από τα κράτη μέλη, μια προκαταρκτική ανάλυση των κυριότερων προβλημάτων που οφείλονται στην ελλιπή λειτουργία τη</w:t>
      </w:r>
      <w:r>
        <w:rPr>
          <w:noProof/>
        </w:rPr>
        <w:t xml:space="preserve">ς αμοιβαίας αναγνώρισης, καθώς και προκαταρκτικές εναλλακτικές επιλογές για τη βελτίωση της αμοιβαίας αναγνώρισης, και ζήτησε την άποψη των αντιπροσωπειών. </w:t>
      </w:r>
    </w:p>
    <w:p w:rsidR="00104B6C" w:rsidRDefault="00F60EB6">
      <w:pPr>
        <w:tabs>
          <w:tab w:val="left" w:pos="2302"/>
        </w:tabs>
        <w:rPr>
          <w:noProof/>
          <w:szCs w:val="24"/>
        </w:rPr>
      </w:pPr>
      <w:r>
        <w:rPr>
          <w:noProof/>
        </w:rPr>
        <w:t>Όσον αφορά την πιθανή εισαγωγή μιας δήλωσης συμμόρφωσης, ορισμένα κράτη μέλη τόνισαν την ενδεχόμενη</w:t>
      </w:r>
      <w:r>
        <w:rPr>
          <w:noProof/>
        </w:rPr>
        <w:t xml:space="preserve"> διοικητική επιβάρυνση των οικονομικών φορέων, αναγνωρίζοντας παράλληλα ότι η εν λόγω δήλωση θα διευκολύνει την εκτέλεση των καθηκόντων τους. </w:t>
      </w:r>
    </w:p>
    <w:p w:rsidR="00104B6C" w:rsidRDefault="00F60EB6">
      <w:pPr>
        <w:tabs>
          <w:tab w:val="left" w:pos="2160"/>
        </w:tabs>
        <w:rPr>
          <w:noProof/>
          <w:szCs w:val="24"/>
        </w:rPr>
      </w:pPr>
      <w:r>
        <w:rPr>
          <w:noProof/>
        </w:rPr>
        <w:t>Επίσης, η Επιτροπή παρουσίασε εναλλακτικές επιλογές με σκοπό να παροτρύνει τις εθνικές αρχές να συμμορφωθούν με τ</w:t>
      </w:r>
      <w:r>
        <w:rPr>
          <w:noProof/>
        </w:rPr>
        <w:t>ην υποχρέωση να κοινοποιούν τις διοικητικές αποφάσεις που αρνούνται ή περιορίζουν την αμοιβαία αναγνώριση —επιλογές όπως περισσότερη διαφάνεια και χρησιμοποίηση εργαλείων ΤΠ, καθώς και τη δυνατότητα δημιουργίας ενός νέου μηχανισμού ταχείας υλοποίησης, ο οπ</w:t>
      </w:r>
      <w:r>
        <w:rPr>
          <w:noProof/>
        </w:rPr>
        <w:t xml:space="preserve">οίος θα αποτελέσει εναλλακτική λύση στις δαπανηρές και χρονοβόρες δικαστικές διαδικασίες που είναι διαθέσιμες σήμερα. </w:t>
      </w:r>
    </w:p>
    <w:p w:rsidR="00104B6C" w:rsidRDefault="00F60EB6">
      <w:pPr>
        <w:tabs>
          <w:tab w:val="left" w:pos="2160"/>
        </w:tabs>
        <w:rPr>
          <w:noProof/>
          <w:szCs w:val="24"/>
        </w:rPr>
      </w:pPr>
      <w:r>
        <w:rPr>
          <w:noProof/>
        </w:rPr>
        <w:t>Η επιλογή ενός συστήματος προηγούμενης έγκρισης για τη διάθεση προϊόντων στην αγορά συγκέντρωσε την αντίθεση πολλών κρατών μελών, καθώς θ</w:t>
      </w:r>
      <w:r>
        <w:rPr>
          <w:noProof/>
        </w:rPr>
        <w:t xml:space="preserve">α εμποδίζει την ελεύθερη κυκλοφορία των εμπορευμάτων.  </w:t>
      </w:r>
    </w:p>
    <w:p w:rsidR="00104B6C" w:rsidRDefault="00F60EB6">
      <w:pPr>
        <w:tabs>
          <w:tab w:val="left" w:pos="2160"/>
        </w:tabs>
        <w:rPr>
          <w:noProof/>
          <w:szCs w:val="24"/>
        </w:rPr>
      </w:pPr>
      <w:r>
        <w:rPr>
          <w:noProof/>
        </w:rPr>
        <w:t>Όσον αφορά την επιλογή της διασφάλισης της ελεύθερης κυκλοφορίας των εμπορευμάτων μέσω της συμμόρφωσης με ευρωπαϊκά πρότυπα, τα κράτη μέλη θεώρησαν ότι η εστίαση στις ουσιώδεις απαιτήσεις είναι πιο επ</w:t>
      </w:r>
      <w:r>
        <w:rPr>
          <w:noProof/>
        </w:rPr>
        <w:t xml:space="preserve">ωφελής από την καθιέρωση προτύπων. </w:t>
      </w:r>
    </w:p>
    <w:p w:rsidR="00104B6C" w:rsidRDefault="00F60EB6">
      <w:pPr>
        <w:tabs>
          <w:tab w:val="left" w:pos="2160"/>
        </w:tabs>
        <w:rPr>
          <w:noProof/>
          <w:szCs w:val="24"/>
        </w:rPr>
      </w:pPr>
      <w:r>
        <w:rPr>
          <w:noProof/>
        </w:rPr>
        <w:t xml:space="preserve">Τα κράτη μέλη υποστήριξαν τη δυνατότητα διεύρυνσης και ενίσχυσης των σημείων επαφής για τα προϊόντα, καθώς τα σημεία αυτά δεν διαθέτουν πόρους και προσωπικό. </w:t>
      </w:r>
    </w:p>
    <w:p w:rsidR="00104B6C" w:rsidRDefault="00F60EB6">
      <w:pPr>
        <w:tabs>
          <w:tab w:val="left" w:pos="2160"/>
        </w:tabs>
        <w:rPr>
          <w:noProof/>
          <w:szCs w:val="24"/>
        </w:rPr>
      </w:pPr>
      <w:r>
        <w:rPr>
          <w:noProof/>
        </w:rPr>
        <w:t xml:space="preserve">Τα κράτη μέλη αντιτάχθηκαν σθεναρά στην εναρμόνιση ορισμένων </w:t>
      </w:r>
      <w:r>
        <w:rPr>
          <w:noProof/>
        </w:rPr>
        <w:t xml:space="preserve">βασικών απαιτήσεων, δεδομένου ότι τα οφέλη που συνεπάγεται η μερική εναρμόνιση μόνο για λόγους ελεύθερης κυκλοφορίας δεν αντισταθμίζουν τη γραφειοκρατία που προστίθεται.  </w:t>
      </w:r>
    </w:p>
    <w:p w:rsidR="00104B6C" w:rsidRDefault="00F60EB6">
      <w:pPr>
        <w:pStyle w:val="Heading2"/>
        <w:tabs>
          <w:tab w:val="clear" w:pos="1080"/>
          <w:tab w:val="num" w:pos="567"/>
        </w:tabs>
        <w:ind w:hanging="1080"/>
        <w:rPr>
          <w:noProof/>
        </w:rPr>
      </w:pPr>
      <w:bookmarkStart w:id="9" w:name="_Toc499563365"/>
      <w:bookmarkStart w:id="10" w:name="_Toc503441209"/>
      <w:r>
        <w:rPr>
          <w:noProof/>
        </w:rPr>
        <w:t>Διάσκεψη των ενδιαφερομένων στις 17 Ιουνίου 2016</w:t>
      </w:r>
      <w:bookmarkEnd w:id="9"/>
      <w:bookmarkEnd w:id="10"/>
    </w:p>
    <w:p w:rsidR="00104B6C" w:rsidRDefault="00F60EB6">
      <w:pPr>
        <w:jc w:val="left"/>
        <w:rPr>
          <w:noProof/>
          <w:szCs w:val="24"/>
        </w:rPr>
      </w:pPr>
      <w:r>
        <w:rPr>
          <w:noProof/>
        </w:rPr>
        <w:t>Στις 17 Ιουνίου 2016 διοργανώθηκε ε</w:t>
      </w:r>
      <w:r>
        <w:rPr>
          <w:noProof/>
        </w:rPr>
        <w:t xml:space="preserve">κδήλωση ενδιαφερομένων, για να προσδιοριστούν τα κύρια ζητήματα που σχετίζονται με τη λειτουργία της αμοιβαίας αναγνώρισης και για να διερευνηθούν οι δυνατές μελλοντικές κατευθύνσεις. Στην εκδήλωση συμμετείχαν 144 άτομα, που εκπροσωπούσαν τις επιχειρήσεις </w:t>
      </w:r>
      <w:r>
        <w:rPr>
          <w:noProof/>
        </w:rPr>
        <w:t>(62), τις εθνικές αρχές (60) και άλλους φορείς (22), όπως οργανώσεις καταναλωτών και εκπρόσωποι συνδικαλιστικών οργανώσεων. Τα αναλυτικά πρακτικά της διάσκεψης, τα ονόματα των συμμετεχόντων και τα κείμενα των παρουσιάσεων είναι διαθέσιμα στην ακόλουθη διεύ</w:t>
      </w:r>
      <w:r>
        <w:rPr>
          <w:noProof/>
        </w:rPr>
        <w:t xml:space="preserve">θυνση: </w:t>
      </w:r>
      <w:hyperlink r:id="rId16">
        <w:r>
          <w:rPr>
            <w:noProof/>
            <w:color w:val="0000FF" w:themeColor="hyperlink"/>
            <w:u w:val="single"/>
          </w:rPr>
          <w:t>http://ec.europa.eu/DocsRoom/documents/17963</w:t>
        </w:r>
      </w:hyperlink>
    </w:p>
    <w:p w:rsidR="00104B6C" w:rsidRDefault="00F60EB6">
      <w:pPr>
        <w:jc w:val="left"/>
        <w:rPr>
          <w:noProof/>
          <w:szCs w:val="24"/>
        </w:rPr>
      </w:pPr>
      <w:r>
        <w:rPr>
          <w:noProof/>
        </w:rPr>
        <w:t>Μετά τις παρουσιάσεις και τις συζητήσεις ακολούθησαν 3 εργαστήρια, με ισόρροπη εκπροσώπηση τ</w:t>
      </w:r>
      <w:r>
        <w:rPr>
          <w:noProof/>
        </w:rPr>
        <w:t>ων εθνικών αρχών, των επιχειρήσεων και των οργανώσεων.</w:t>
      </w:r>
    </w:p>
    <w:p w:rsidR="00104B6C" w:rsidRDefault="00F60EB6">
      <w:pPr>
        <w:pStyle w:val="Heading2"/>
        <w:tabs>
          <w:tab w:val="clear" w:pos="1080"/>
          <w:tab w:val="num" w:pos="567"/>
        </w:tabs>
        <w:ind w:hanging="1080"/>
        <w:rPr>
          <w:noProof/>
        </w:rPr>
      </w:pPr>
      <w:bookmarkStart w:id="11" w:name="_Toc499563366"/>
      <w:bookmarkStart w:id="12" w:name="_Toc503441210"/>
      <w:r>
        <w:rPr>
          <w:noProof/>
        </w:rPr>
        <w:t>Δημόσια διαβούλευση</w:t>
      </w:r>
      <w:bookmarkEnd w:id="11"/>
      <w:bookmarkEnd w:id="12"/>
    </w:p>
    <w:p w:rsidR="00104B6C" w:rsidRDefault="00F60EB6">
      <w:pPr>
        <w:rPr>
          <w:noProof/>
          <w:szCs w:val="24"/>
        </w:rPr>
      </w:pPr>
      <w:r>
        <w:rPr>
          <w:noProof/>
        </w:rPr>
        <w:t xml:space="preserve">Στο πλαίσιο της δημόσιας διαβούλευσης ελήφθησαν </w:t>
      </w:r>
      <w:r>
        <w:rPr>
          <w:b/>
          <w:noProof/>
        </w:rPr>
        <w:t>153</w:t>
      </w:r>
      <w:r>
        <w:rPr>
          <w:noProof/>
        </w:rPr>
        <w:t xml:space="preserve"> απαντήσεις. Οι επιχειρήσεις είχαν ισχυρή εκπροσώπηση (91), ακολουθούμενες από τις αρχές των κρατών μελών (45) και τους πολίτες (1</w:t>
      </w:r>
      <w:r>
        <w:rPr>
          <w:noProof/>
        </w:rPr>
        <w:t xml:space="preserve">7). Στη δημόσια διαβούλευση απάντησαν </w:t>
      </w:r>
      <w:r>
        <w:rPr>
          <w:b/>
          <w:noProof/>
        </w:rPr>
        <w:t>45 αρχές</w:t>
      </w:r>
      <w:r>
        <w:rPr>
          <w:noProof/>
        </w:rPr>
        <w:t xml:space="preserve"> των κρατών μελών. Εκπροσωπήθηκαν εξίσου μεμονωμένες εταιρείες (44) και επιχειρηματικές οργανώσεις (44). </w:t>
      </w:r>
    </w:p>
    <w:p w:rsidR="00104B6C" w:rsidRDefault="00F60EB6">
      <w:pPr>
        <w:rPr>
          <w:b/>
          <w:noProof/>
          <w:szCs w:val="24"/>
        </w:rPr>
      </w:pPr>
      <w:r>
        <w:rPr>
          <w:noProof/>
        </w:rPr>
        <w:t xml:space="preserve">Όσον αφορά τους τομείς δραστηριοτήτων, </w:t>
      </w:r>
      <w:r>
        <w:rPr>
          <w:b/>
          <w:noProof/>
        </w:rPr>
        <w:t>η μεταποιητική βιομηχανία είναι ο πλέον εκπροσωπούμενος τομέας (4</w:t>
      </w:r>
      <w:r>
        <w:rPr>
          <w:b/>
          <w:noProof/>
        </w:rPr>
        <w:t xml:space="preserve">6 %), ακολουθούμενη από το χονδρικό και λιανικό εμπόριο (13 %), τη γεωργία, τη δασοκομία και την αλιεία (8 %) και την υδροδότηση (6 %). </w:t>
      </w:r>
    </w:p>
    <w:p w:rsidR="00104B6C" w:rsidRDefault="00F60EB6">
      <w:pPr>
        <w:rPr>
          <w:noProof/>
          <w:szCs w:val="24"/>
        </w:rPr>
      </w:pPr>
      <w:r>
        <w:rPr>
          <w:noProof/>
        </w:rPr>
        <w:t>Η γεωγραφική εκπροσώπηση των επιχειρήσεων παρουσιάζει αξιοσημείωτη ισορροπία. Όσον αφορά τις εθνικές αρχές, στη δημόσια</w:t>
      </w:r>
      <w:r>
        <w:rPr>
          <w:noProof/>
        </w:rPr>
        <w:t xml:space="preserve"> διαβούλευση συμμετείχαν 18 κράτη μέλη και η Νορβηγία. </w:t>
      </w:r>
    </w:p>
    <w:p w:rsidR="00104B6C" w:rsidRDefault="00F60EB6">
      <w:pPr>
        <w:pStyle w:val="Heading3"/>
        <w:rPr>
          <w:noProof/>
        </w:rPr>
      </w:pPr>
      <w:bookmarkStart w:id="13" w:name="_Toc471373901"/>
      <w:bookmarkStart w:id="14" w:name="_Toc499563367"/>
      <w:bookmarkStart w:id="15" w:name="_Toc503441211"/>
      <w:r>
        <w:rPr>
          <w:noProof/>
        </w:rPr>
        <w:t>Πώς οι ενδιαφερόμενοι αντιλαμβάνονται την αμοιβαία αναγνώριση και τις πιθανές αδυναμίες της</w:t>
      </w:r>
      <w:bookmarkEnd w:id="13"/>
      <w:bookmarkEnd w:id="14"/>
      <w:bookmarkEnd w:id="15"/>
    </w:p>
    <w:p w:rsidR="00104B6C" w:rsidRDefault="00F60EB6">
      <w:pPr>
        <w:rPr>
          <w:noProof/>
          <w:szCs w:val="24"/>
        </w:rPr>
      </w:pPr>
      <w:r>
        <w:rPr>
          <w:noProof/>
        </w:rPr>
        <w:t>Οι περισσότερες από τις εταιρείες που συμμετείχαν στη διαβούλευση, όταν επιθυμούν να πωλήσουν τα προϊόντα το</w:t>
      </w:r>
      <w:r>
        <w:rPr>
          <w:noProof/>
        </w:rPr>
        <w:t>υς σε άλλο κράτος μέλος, ελέγχουν τους κανόνες που ισχύουν στο εν λόγω κράτος μέλος και, αν οι κανόνες αυτοί αποτρέπουν την πώληση του προϊόντος, οι περισσότερες από τις εταιρείες αυτές προσαρμόζουν το προϊόν τους. Αυτό συμβαίνει παρά το γεγονός ότι το 70 </w:t>
      </w:r>
      <w:r>
        <w:rPr>
          <w:noProof/>
        </w:rPr>
        <w:t>% των εταιρειών αυτών έχουν πλήρη γνώση της αρχής της αμοιβαίας αναγνώρισης. Περισσότερες από τις μισές επιχειρήσεις που συμμετείχαν στη διαβούλευση προσπάθησαν να χρησιμοποιήσουν την αμοιβαία αναγνώριση για την είσοδό τους σε μια νέα αγορά. Στις μισές από</w:t>
      </w:r>
      <w:r>
        <w:rPr>
          <w:noProof/>
        </w:rPr>
        <w:t xml:space="preserve"> αυτές τις επιχειρήσεις δεν δόθηκε πρόσβαση στην αγορά, και μόνο το 2 % προσέβαλε τη σχετική απόφαση με επιτυχία. </w:t>
      </w:r>
    </w:p>
    <w:p w:rsidR="00104B6C" w:rsidRDefault="00F60EB6">
      <w:pPr>
        <w:rPr>
          <w:noProof/>
          <w:szCs w:val="24"/>
        </w:rPr>
      </w:pPr>
      <w:r>
        <w:rPr>
          <w:noProof/>
        </w:rPr>
        <w:t>Παρά το καταγεγραμμένο υψηλό επίπεδο ευαισθητοποίησης όσον αφορά την αμοιβαία αναγνώριση, η πλειονότητα όσων απάντησαν θεωρεί ότι εξακολουθεί</w:t>
      </w:r>
      <w:r>
        <w:rPr>
          <w:noProof/>
        </w:rPr>
        <w:t xml:space="preserve"> να είναι αναγκαία η αύξηση της ευαισθητοποίησης.</w:t>
      </w:r>
    </w:p>
    <w:p w:rsidR="00104B6C" w:rsidRDefault="00F60EB6">
      <w:pPr>
        <w:rPr>
          <w:noProof/>
          <w:szCs w:val="24"/>
        </w:rPr>
      </w:pPr>
      <w:r>
        <w:rPr>
          <w:noProof/>
        </w:rPr>
        <w:t>Όσον αφορά τα εμπόδια στη λειτουργία της αμοιβαίας αναγνώρισης, οι επιχειρήσεις ανέφεραν ότι το σημαντικότερο εμπόδιο ήταν η απουσία ταχέων μέσων έννομης προστασίας για την προσβολή των εθνικών αποφάσεων πο</w:t>
      </w:r>
      <w:r>
        <w:rPr>
          <w:noProof/>
        </w:rPr>
        <w:t xml:space="preserve">υ αρνούνται την πρόσβαση στην αγορά, ακολουθούμενη από την ανεπαρκή επικοινωνία μεταξύ των αρχών. Το </w:t>
      </w:r>
      <w:r>
        <w:rPr>
          <w:b/>
          <w:noProof/>
        </w:rPr>
        <w:t>52 %</w:t>
      </w:r>
      <w:r>
        <w:rPr>
          <w:noProof/>
        </w:rPr>
        <w:t xml:space="preserve"> όσων απάντησαν είχε προσωπική εμπειρία από τέτοια εμπόδια. </w:t>
      </w:r>
    </w:p>
    <w:p w:rsidR="00104B6C" w:rsidRDefault="00F60EB6">
      <w:pPr>
        <w:pStyle w:val="Heading3"/>
        <w:rPr>
          <w:noProof/>
        </w:rPr>
      </w:pPr>
      <w:bookmarkStart w:id="16" w:name="_Toc471373902"/>
      <w:bookmarkStart w:id="17" w:name="_Toc499563368"/>
      <w:bookmarkStart w:id="18" w:name="_Toc503441212"/>
      <w:r>
        <w:rPr>
          <w:noProof/>
        </w:rPr>
        <w:t>Λειτουργία του κανονισμού περί αμοιβαίας αναγνώρισης</w:t>
      </w:r>
      <w:bookmarkEnd w:id="16"/>
      <w:bookmarkEnd w:id="17"/>
      <w:bookmarkEnd w:id="18"/>
    </w:p>
    <w:p w:rsidR="00104B6C" w:rsidRDefault="00F60EB6">
      <w:pPr>
        <w:rPr>
          <w:b/>
          <w:noProof/>
          <w:szCs w:val="24"/>
        </w:rPr>
      </w:pPr>
      <w:r>
        <w:rPr>
          <w:b/>
          <w:noProof/>
        </w:rPr>
        <w:t xml:space="preserve">Αποτελεσματικότητα: σε ποιον βαθμό ο κανονισμός υλοποίησε τους στόχους του; </w:t>
      </w:r>
    </w:p>
    <w:p w:rsidR="00104B6C" w:rsidRDefault="00F60EB6">
      <w:pPr>
        <w:rPr>
          <w:noProof/>
          <w:szCs w:val="24"/>
        </w:rPr>
      </w:pPr>
      <w:r>
        <w:rPr>
          <w:noProof/>
        </w:rPr>
        <w:t>Η πλειονότητα όσων απάντησαν γνωρίζει τον κανονισμό και θεωρεί ότι τα περισσότερα από τα διαθέσιμα εργαλεία είναι χρήσιμα και παραμένουν αναγκαία. Όσον αφορά το κατά πόσον ο κανον</w:t>
      </w:r>
      <w:r>
        <w:rPr>
          <w:noProof/>
        </w:rPr>
        <w:t>ισμός έχει επιτύχει τον στόχο του, ελάχιστοι οικονομικοί φορείς θεωρούν ότι, μετά την έναρξη ισχύος του κανονισμού, είναι ευκολότερο να πωλούν τα προϊόντα τους σε άλλα κράτη μέλη. Οι περισσότεροι θεωρούν ότι ο κανονισμός δεν έχει βελτιώσει την κατάσταση, ή</w:t>
      </w:r>
      <w:r>
        <w:rPr>
          <w:noProof/>
        </w:rPr>
        <w:t xml:space="preserve"> δεν γνωρίζουν, είτε επειδή δεν έχουν χρησιμοποιήσει την αμοιβαία αναγνώριση είτε επειδή δεν πωλούν τα προϊόντα τους στο εξωτερικό. </w:t>
      </w:r>
    </w:p>
    <w:p w:rsidR="00104B6C" w:rsidRDefault="00F60EB6">
      <w:pPr>
        <w:rPr>
          <w:b/>
          <w:noProof/>
          <w:szCs w:val="24"/>
        </w:rPr>
      </w:pPr>
      <w:r>
        <w:rPr>
          <w:b/>
          <w:noProof/>
        </w:rPr>
        <w:t xml:space="preserve">Αποδοτικότητα: κόστος και οφέλη του κανονισμού </w:t>
      </w:r>
    </w:p>
    <w:p w:rsidR="00104B6C" w:rsidRDefault="00F60EB6">
      <w:pPr>
        <w:rPr>
          <w:noProof/>
          <w:szCs w:val="24"/>
        </w:rPr>
      </w:pPr>
      <w:r>
        <w:rPr>
          <w:noProof/>
        </w:rPr>
        <w:t>Σύμφωνα με τις εθνικές αρχές, το κόστος του κανονισμού είναι μέτριο, και συ</w:t>
      </w:r>
      <w:r>
        <w:rPr>
          <w:noProof/>
        </w:rPr>
        <w:t xml:space="preserve">μφωνούν, απόλυτα ή εν μέρει, ότι ο κανονισμός συνεπάγεται οφέλη, αφού διευκολύνει την πρόσβαση στην αγορά. </w:t>
      </w:r>
    </w:p>
    <w:p w:rsidR="00104B6C" w:rsidRDefault="00F60EB6">
      <w:pPr>
        <w:rPr>
          <w:noProof/>
          <w:szCs w:val="24"/>
        </w:rPr>
      </w:pPr>
      <w:r>
        <w:rPr>
          <w:noProof/>
        </w:rPr>
        <w:t>Για τις επιχειρήσεις, οι κυριότερες δαπάνες πηγάζουν από την ανάγκη προσαρμογής των προϊόντων στους ισχύοντες εθνικούς κανόνες, όταν η αμοιβαία αναγ</w:t>
      </w:r>
      <w:r>
        <w:rPr>
          <w:noProof/>
        </w:rPr>
        <w:t>νώριση είτε απορρίπτεται είτε δεν χρησιμοποιείται για τη διείσδυση στην αγορά. Το υψηλό κόστος συνδέεται επίσης με καθυστερήσεις όσον αφορά την είσοδο σε μια αγορά και με χαμένες ευκαιρίες, όταν οι επιχειρήσεις παραιτούνται από την είσοδό τους σε μια αγορά</w:t>
      </w:r>
      <w:r>
        <w:rPr>
          <w:noProof/>
        </w:rPr>
        <w:t xml:space="preserve"> λόγω της ύπαρξης διαφορετικών εθνικών κανόνων που απαιτούν την προσαρμογή των προϊόντων τους. Το κόστος που συνεπάγεται η προσφυγή κατά διοικητικών αποφάσεων που αρνούνται την πρόσβαση στην αγορά θεωρείται λιγότερο σημαντικό, κυρίως επειδή ελάχιστοι οικον</w:t>
      </w:r>
      <w:r>
        <w:rPr>
          <w:noProof/>
        </w:rPr>
        <w:t xml:space="preserve">ομικοί φορείς επιλέγουν αυτή την οδό δράσης. </w:t>
      </w:r>
    </w:p>
    <w:p w:rsidR="00104B6C" w:rsidRDefault="00F60EB6">
      <w:pPr>
        <w:rPr>
          <w:noProof/>
          <w:szCs w:val="24"/>
        </w:rPr>
      </w:pPr>
      <w:r>
        <w:rPr>
          <w:noProof/>
        </w:rPr>
        <w:t xml:space="preserve">Κόστος επίσης επιφέρει η διερεύνηση του κατά πόσον η αμοιβαία αναγνώριση μπορεί να χρησιμοποιηθεί για την πώληση προϊόντων σε άλλο κράτος μέλος. Ελάχιστοι οικονομικοί φορείς (2 %) αναθέτουν αυτή την αξιολόγηση </w:t>
      </w:r>
      <w:r>
        <w:rPr>
          <w:noProof/>
        </w:rPr>
        <w:t xml:space="preserve">εξωτερικά, το 26 % τη διενεργεί εσωτερικά, και το 46 % κάνει και τα δύο, ανάλογα με το προϊόν. </w:t>
      </w:r>
    </w:p>
    <w:p w:rsidR="00104B6C" w:rsidRDefault="00F60EB6">
      <w:pPr>
        <w:rPr>
          <w:noProof/>
          <w:szCs w:val="24"/>
        </w:rPr>
      </w:pPr>
      <w:r>
        <w:rPr>
          <w:noProof/>
        </w:rPr>
        <w:t>Όσον αφορά τα οφέλη του κανονισμού, η αντίληψη των επιχειρήσεων που απάντησαν παρουσιάζει μεγάλη ανομοιογένεια. Ενώ τα κράτη μέλη τείνουν να θεωρούν ότι το κόστ</w:t>
      </w:r>
      <w:r>
        <w:rPr>
          <w:noProof/>
        </w:rPr>
        <w:t xml:space="preserve">ος του κανονισμού είναι ανάλογο προς τα οφέλη του, οι επιχειρήσεις ως επί το πλείστον διαφωνούν — μόνο το 9 % συμφωνεί. </w:t>
      </w:r>
    </w:p>
    <w:p w:rsidR="00104B6C" w:rsidRDefault="00F60EB6">
      <w:pPr>
        <w:rPr>
          <w:b/>
          <w:noProof/>
          <w:szCs w:val="24"/>
        </w:rPr>
      </w:pPr>
      <w:r>
        <w:rPr>
          <w:b/>
          <w:noProof/>
        </w:rPr>
        <w:t>Συνοχή</w:t>
      </w:r>
    </w:p>
    <w:p w:rsidR="00104B6C" w:rsidRDefault="00F60EB6">
      <w:pPr>
        <w:rPr>
          <w:noProof/>
          <w:szCs w:val="24"/>
        </w:rPr>
      </w:pPr>
      <w:r>
        <w:rPr>
          <w:noProof/>
        </w:rPr>
        <w:t xml:space="preserve">Οι συμμετέχοντες συμφωνούν ότι ο κανονισμός χαρακτηρίζεται από συνοχή. </w:t>
      </w:r>
    </w:p>
    <w:p w:rsidR="00104B6C" w:rsidRDefault="00F60EB6">
      <w:pPr>
        <w:rPr>
          <w:b/>
          <w:noProof/>
          <w:szCs w:val="24"/>
        </w:rPr>
      </w:pPr>
      <w:r>
        <w:rPr>
          <w:b/>
          <w:noProof/>
        </w:rPr>
        <w:t xml:space="preserve">Ενωσιακή προστιθέμενη αξία </w:t>
      </w:r>
    </w:p>
    <w:p w:rsidR="00104B6C" w:rsidRDefault="00F60EB6">
      <w:pPr>
        <w:rPr>
          <w:b/>
          <w:noProof/>
          <w:szCs w:val="24"/>
        </w:rPr>
      </w:pPr>
      <w:r>
        <w:rPr>
          <w:noProof/>
        </w:rPr>
        <w:t>Η ενωσιακή προστιθέμενη αξία</w:t>
      </w:r>
      <w:r>
        <w:rPr>
          <w:noProof/>
        </w:rPr>
        <w:t xml:space="preserve"> των κανόνων για την αμοιβαία αναγνώριση επισημαίνεται επίσης έντονα από όσους απάντησαν.</w:t>
      </w:r>
    </w:p>
    <w:p w:rsidR="00104B6C" w:rsidRDefault="00F60EB6">
      <w:pPr>
        <w:pStyle w:val="Heading3"/>
        <w:rPr>
          <w:noProof/>
        </w:rPr>
      </w:pPr>
      <w:bookmarkStart w:id="19" w:name="_Toc471373903"/>
      <w:bookmarkStart w:id="20" w:name="_Toc499563369"/>
      <w:bookmarkStart w:id="21" w:name="_Toc503441213"/>
      <w:r>
        <w:rPr>
          <w:noProof/>
        </w:rPr>
        <w:t>Αξιολόγηση της επικοινωνίας κατά τη χρήση της αμοιβαίας αναγνώρισης</w:t>
      </w:r>
      <w:bookmarkEnd w:id="19"/>
      <w:bookmarkEnd w:id="20"/>
      <w:bookmarkEnd w:id="21"/>
    </w:p>
    <w:p w:rsidR="00104B6C" w:rsidRDefault="00F60EB6">
      <w:pPr>
        <w:rPr>
          <w:noProof/>
          <w:szCs w:val="24"/>
        </w:rPr>
      </w:pPr>
      <w:r>
        <w:rPr>
          <w:noProof/>
        </w:rPr>
        <w:t>Οι περισσότερες από τις επιχειρήσεις που απάντησαν δεν είχαν επικοινωνήσει με κάποιο σημείο επαφής</w:t>
      </w:r>
      <w:r>
        <w:rPr>
          <w:noProof/>
        </w:rPr>
        <w:t xml:space="preserve"> για τα προϊόντα προκειμένου να λάβουν πληροφορίες σχετικά με τους εφαρμοστέους κανόνες για τα προϊόντα, κυρίως επειδή δεν γνώριζαν την ύπαρξη αυτών των σημείων. Τα κράτη μέλη που απάντησαν θεωρούν ότι η επικοινωνία με τις αρχές της χώρας τους είναι ικανοπ</w:t>
      </w:r>
      <w:r>
        <w:rPr>
          <w:noProof/>
        </w:rPr>
        <w:t xml:space="preserve">οιητική, ενώ η επικοινωνία με τις αρχές άλλων κρατών μελών είναι μάλλον μέτρια ή ανεπαρκής. </w:t>
      </w:r>
    </w:p>
    <w:p w:rsidR="00104B6C" w:rsidRDefault="00F60EB6">
      <w:pPr>
        <w:pStyle w:val="Heading3"/>
        <w:rPr>
          <w:noProof/>
        </w:rPr>
      </w:pPr>
      <w:bookmarkStart w:id="22" w:name="_Toc471373904"/>
      <w:bookmarkStart w:id="23" w:name="_Toc499563370"/>
      <w:bookmarkStart w:id="24" w:name="_Toc503441214"/>
      <w:r>
        <w:rPr>
          <w:noProof/>
        </w:rPr>
        <w:t>Προτεραιότητες για τη βελτίωση της αμοιβαίας αναγνώρισης</w:t>
      </w:r>
      <w:bookmarkEnd w:id="22"/>
      <w:bookmarkEnd w:id="23"/>
      <w:bookmarkEnd w:id="24"/>
    </w:p>
    <w:p w:rsidR="00104B6C" w:rsidRDefault="00F60EB6">
      <w:pPr>
        <w:rPr>
          <w:noProof/>
          <w:szCs w:val="24"/>
        </w:rPr>
      </w:pPr>
      <w:r>
        <w:rPr>
          <w:noProof/>
        </w:rPr>
        <w:t>Οι επιχειρήσεις θεωρούν την ανάγκη για αποτελεσματικά μέσα έννομης προστασίας ως ύψιστη προτεραιότητα, ενώ</w:t>
      </w:r>
      <w:r>
        <w:rPr>
          <w:noProof/>
        </w:rPr>
        <w:t xml:space="preserve"> τα κράτη μέλη και οι πολίτες προκρίνουν την αύξηση της ευαισθητοποίησης σχετικά με την αμοιβαία αναγνώριση. </w:t>
      </w:r>
    </w:p>
    <w:p w:rsidR="00104B6C" w:rsidRDefault="00F60EB6">
      <w:pPr>
        <w:pStyle w:val="Heading3"/>
        <w:rPr>
          <w:noProof/>
        </w:rPr>
      </w:pPr>
      <w:bookmarkStart w:id="25" w:name="_Toc471373905"/>
      <w:bookmarkStart w:id="26" w:name="_Toc499563371"/>
      <w:bookmarkStart w:id="27" w:name="_Toc503441215"/>
      <w:r>
        <w:rPr>
          <w:noProof/>
        </w:rPr>
        <w:t>Επιλογές</w:t>
      </w:r>
      <w:bookmarkEnd w:id="25"/>
      <w:bookmarkEnd w:id="26"/>
      <w:bookmarkEnd w:id="27"/>
    </w:p>
    <w:p w:rsidR="00104B6C" w:rsidRDefault="00F60EB6">
      <w:pPr>
        <w:rPr>
          <w:noProof/>
          <w:szCs w:val="24"/>
        </w:rPr>
      </w:pPr>
      <w:r>
        <w:rPr>
          <w:noProof/>
        </w:rPr>
        <w:t>Όλες οι επιλογές που φιλοδοξούν να καταστήσουν την αμοιβαία αναγνώριση πιο εύκολη στην εφαρμογή και περισσότερο αξιόπιστη έλαβαν μεγάλη σ</w:t>
      </w:r>
      <w:r>
        <w:rPr>
          <w:noProof/>
        </w:rPr>
        <w:t xml:space="preserve">τήριξη από όσους απάντησαν. </w:t>
      </w:r>
    </w:p>
    <w:p w:rsidR="00104B6C" w:rsidRDefault="00F60EB6">
      <w:pPr>
        <w:rPr>
          <w:noProof/>
          <w:szCs w:val="24"/>
        </w:rPr>
      </w:pPr>
      <w:r>
        <w:rPr>
          <w:noProof/>
        </w:rPr>
        <w:t xml:space="preserve">Ως προς το ποια θα ήταν η καταλληλότερη εναλλακτική της αμοιβαίας αναγνώρισης, οι περισσότεροι από τους απαντήσαντες συμφωνούν ότι η εναρμόνιση είναι το καταλληλότερο εργαλείο, όταν η αμοιβαία αναγνώριση δεν λειτουργεί σωστά. </w:t>
      </w:r>
    </w:p>
    <w:p w:rsidR="00104B6C" w:rsidRDefault="00F60EB6">
      <w:pPr>
        <w:pStyle w:val="Heading2"/>
        <w:tabs>
          <w:tab w:val="clear" w:pos="1080"/>
          <w:tab w:val="num" w:pos="567"/>
        </w:tabs>
        <w:ind w:left="567" w:hanging="567"/>
        <w:rPr>
          <w:noProof/>
        </w:rPr>
      </w:pPr>
      <w:bookmarkStart w:id="28" w:name="_Toc499563372"/>
      <w:bookmarkStart w:id="29" w:name="_Toc503441216"/>
      <w:r>
        <w:rPr>
          <w:noProof/>
        </w:rPr>
        <w:t>Έρευνες που διενεργούνται από εξωτερικές εταιρείες</w:t>
      </w:r>
      <w:bookmarkEnd w:id="28"/>
      <w:bookmarkEnd w:id="29"/>
    </w:p>
    <w:p w:rsidR="00104B6C" w:rsidRDefault="00F60EB6">
      <w:pPr>
        <w:rPr>
          <w:noProof/>
          <w:szCs w:val="24"/>
        </w:rPr>
      </w:pPr>
      <w:r>
        <w:rPr>
          <w:noProof/>
        </w:rPr>
        <w:t>Στο πλαίσιο της εξωτερικής μελέτης που αξιολόγησε τη λειτουργία της αρχής της αμοιβαίας αναγνώρισης</w:t>
      </w:r>
      <w:r>
        <w:rPr>
          <w:noProof/>
          <w:vertAlign w:val="superscript"/>
        </w:rPr>
        <w:footnoteReference w:id="2"/>
      </w:r>
      <w:r>
        <w:rPr>
          <w:noProof/>
        </w:rPr>
        <w:t>, δρομολογήθηκαν τέσσερις διαφορετικές έρευνες στις 9 Οκτωβρίου 2014, οι οποίες ολοκληρώθηκαν στις 5 Ιανο</w:t>
      </w:r>
      <w:r>
        <w:rPr>
          <w:noProof/>
        </w:rPr>
        <w:t>υαρίου 2015. Όπως προκύπτει από τις έρευνες και τις συνεντεύξεις, η εφαρμογή της αρχής της αμοιβαίας αναγνώρισης συνοδεύεται από δυσκολίες, και εξακολουθούν να υπάρχουν φραγμοί στην ελεύθερη κυκλοφορία εμπορευμάτων που διατίθενται νόμιμα στην αγορά, λόγω τ</w:t>
      </w:r>
      <w:r>
        <w:rPr>
          <w:noProof/>
        </w:rPr>
        <w:t>ων επιπλέον απαιτήσεων και δοκιμών που προβλέπονται σε ορισμένα κράτη μέλη. Η έλλειψη γνώσεων και ευαισθητοποίησης σχετικά με την αμοιβαία αναγνώριση εξακολουθεί να αποτελεί πρόβλημα. Η ελλιπής επικοινωνία και συνεργασία μεταξύ των εθνικών αρχών έχει επίση</w:t>
      </w:r>
      <w:r>
        <w:rPr>
          <w:noProof/>
        </w:rPr>
        <w:t xml:space="preserve">ς επισημανθεί ως αδυναμία. </w:t>
      </w:r>
    </w:p>
    <w:p w:rsidR="00104B6C" w:rsidRDefault="00F60EB6">
      <w:pPr>
        <w:rPr>
          <w:noProof/>
          <w:szCs w:val="24"/>
        </w:rPr>
      </w:pPr>
      <w:r>
        <w:rPr>
          <w:noProof/>
        </w:rPr>
        <w:t>Στο πλαίσιο της μελέτης για την εκτίμηση του κόστους και των οφελών των διαφόρων επιλογών που εξετάζονται για τη βελτίωση της αμοιβαίας αναγνώρισης, εξωτερική εταιρεία ανέλαβε τη διενέργεια μίας έρευνας και συνεντεύξεων. Οι διαβ</w:t>
      </w:r>
      <w:r>
        <w:rPr>
          <w:noProof/>
        </w:rPr>
        <w:t>ουλεύσεις με τους ενδιαφερομένους δεν επικεντρώθηκαν μόνο στην τρέχουσα λειτουργία της αμοιβαίας αναγνώρισης —και στα κύρια σχετικά ζητήματα— αλλά εστιάστηκαν επίσης στην αναθεώρηση του κανονισμού, μέσω των επιλογών πολιτικής που πρότεινε η Επιτροπή. Οι στ</w:t>
      </w:r>
      <w:r>
        <w:rPr>
          <w:noProof/>
        </w:rPr>
        <w:t>οχευμένες έρευνες και συνεντεύξεις έδωσαν τη δυνατότητα να γίνει κατανοητή η οπτική των ενδιαφερομένων σχετικά με τις επιλογές πολιτικής. Οι εθνικές αρχές επισήμαναν τα εξής: το εύρος, το μέγεθος και ο κατακερματισμός της αγοράς που εμπίπτει στο πεδίο εφαρ</w:t>
      </w:r>
      <w:r>
        <w:rPr>
          <w:noProof/>
        </w:rPr>
        <w:t>μογής της αμοιβαίας αναγνώρισης, καθώς και η ύπαρξη πολλών διαφορετικών εθνικών νομοθεσιών μπορεί να δημιουργήσουν δυσκολίες στην καθιέρωση σαφών διαδικασιών όσον αφορά την εφαρμογή της αμοιβαίας αναγνώρισης· τα προϊόντα που υπάγονται στους τομείς όπου υπά</w:t>
      </w:r>
      <w:r>
        <w:rPr>
          <w:noProof/>
        </w:rPr>
        <w:t xml:space="preserve">ρχει μερική εναρμόνιση και/ή ορισμένα ενωσιακά πρότυπα δημιουργούν δυσκολίες για τις αρχές, αφού ενδέχεται να εφαρμόζεται ένας συνδυασμός ενωσιακών και εθνικών κανόνων, κάτι που απαιτεί μεγαλύτερη προσπάθεια από την πλευρά των εθνικών αρχών όσον αφορά τον </w:t>
      </w:r>
      <w:r>
        <w:rPr>
          <w:noProof/>
        </w:rPr>
        <w:t>έλεγχο και τη λήψη αποφάσεων· έλλειψη επικοινωνίας διαπιστώνεται, έως έναν βαθμό, και σ’ όλα τα κράτη μέλη. Οι επιχειρήσεις επισήμαναν εμπόδια που συνδέονται με τη δυσκολία τους να εξασφαλίσουν εύκολη πρόσβαση σε πληροφορίες σχετικά με την οικεία νομοθεσία</w:t>
      </w:r>
      <w:r>
        <w:rPr>
          <w:noProof/>
        </w:rPr>
        <w:t xml:space="preserve"> και τις προβλεπόμενες διαδικασίες (γλωσσικοί φραγμοί) και με το χρονικό διάστημα που μεσολαβεί έως ότου λάβουν απάντηση από τις εθνικές αρχές.  Τόσο οι οικονομικοί φορείς όσο και οι εθνικές αρχές συμφωνούν ότι πρέπει να ληφθούν μέτρα για τη βελτίωση της κ</w:t>
      </w:r>
      <w:r>
        <w:rPr>
          <w:noProof/>
        </w:rPr>
        <w:t>ατάστασης. Ενώ διαπιστώνεται ευρεία συμφωνία μεταξύ των εθνικών αρχών ως προς την ανάγκη παρέμβασης, είτε μέσω δεσμευτικής ή μη δεσμευτικής νομοθεσίας, οι οικονομικοί φορείς φαίνονται πιο επιφυλακτικοί ως προς την αποτελεσματικότητα των προτεινόμενων επιλο</w:t>
      </w:r>
      <w:r>
        <w:rPr>
          <w:noProof/>
        </w:rPr>
        <w:t>γών για την αποφυγή καθυστερημένης πρόσβασης στην αγορά και τη μείωση του κόστους για τους ίδιους. Ωστόσο, οι οικονομικοί φορείς και οι εθνικές αρχές φαίνεται ότι τάσσονται υπέρ ενός μείγματος διαφορετικών επιμέρους επιλογών, παρά υπέρ της έγκρισης μίας επ</w:t>
      </w:r>
      <w:r>
        <w:rPr>
          <w:noProof/>
        </w:rPr>
        <w:t>ιλογής πολιτικής στο σύνολό της.</w:t>
      </w:r>
    </w:p>
    <w:p w:rsidR="00104B6C" w:rsidRDefault="00F60EB6">
      <w:pPr>
        <w:pStyle w:val="Heading2"/>
        <w:tabs>
          <w:tab w:val="clear" w:pos="1080"/>
          <w:tab w:val="num" w:pos="567"/>
        </w:tabs>
        <w:ind w:left="567" w:hanging="567"/>
        <w:rPr>
          <w:noProof/>
        </w:rPr>
      </w:pPr>
      <w:bookmarkStart w:id="30" w:name="_Toc499563373"/>
      <w:bookmarkStart w:id="31" w:name="_Toc503441217"/>
      <w:r>
        <w:rPr>
          <w:noProof/>
        </w:rPr>
        <w:t>Άλλες συνεισφορές (έγγραφα θέσης ή μηνύματα ηλεκτρονικού ταχυδρομείου)</w:t>
      </w:r>
      <w:bookmarkEnd w:id="30"/>
      <w:bookmarkEnd w:id="31"/>
    </w:p>
    <w:p w:rsidR="00104B6C" w:rsidRDefault="00F60EB6">
      <w:pPr>
        <w:rPr>
          <w:noProof/>
          <w:szCs w:val="24"/>
        </w:rPr>
      </w:pPr>
      <w:r>
        <w:rPr>
          <w:noProof/>
        </w:rPr>
        <w:t>Αρκετοί ενδιαφερόμενοι υπέβαλαν χωριστά έγγραφα θέσης, πολλά εκ των οποίων ζητούσαν πιο φιλόδοξους στόχους όσον αφορά τη βελτίωση της αμοιβαίας αναγνώρι</w:t>
      </w:r>
      <w:r>
        <w:rPr>
          <w:noProof/>
        </w:rPr>
        <w:t xml:space="preserve">σης και την αύξηση της εμπιστοσύνης μεταξύ των κρατών μελών. </w:t>
      </w:r>
    </w:p>
    <w:p w:rsidR="00104B6C" w:rsidRDefault="00F60EB6">
      <w:pPr>
        <w:rPr>
          <w:noProof/>
          <w:szCs w:val="24"/>
        </w:rPr>
      </w:pPr>
      <w:r>
        <w:rPr>
          <w:noProof/>
        </w:rPr>
        <w:t>Ορισμένοι αναφέρουν ότι η αρχή της αμοιβαίας αναγνώρισης θα μπορούσε να ενισχυθεί περαιτέρω με τη θέσπιση ενός τεκμηρίου συμμόρφωσης προϊόντων που έχουν υποβληθεί σε ανεξάρτητη δοκιμή (από τρίτα</w:t>
      </w:r>
      <w:r>
        <w:rPr>
          <w:noProof/>
        </w:rPr>
        <w:t xml:space="preserve"> μέρη). </w:t>
      </w:r>
    </w:p>
    <w:p w:rsidR="00104B6C" w:rsidRDefault="00F60EB6">
      <w:pPr>
        <w:rPr>
          <w:noProof/>
          <w:szCs w:val="24"/>
        </w:rPr>
      </w:pPr>
      <w:r>
        <w:rPr>
          <w:noProof/>
        </w:rPr>
        <w:t>Άλλοι τονίζουν την ανάγκη να αποσαφηνιστεί το πεδίο εφαρμογής του κανονισμού περί αμοιβαίας αναγνώρισης, να δοθούν κατευθυντήριες γραμμές για την αξιολόγηση της αναλογικότητας και να υπάρξει ανταλλαγή των βέλτιστων πρακτικών μεταξύ των κρατών μελώ</w:t>
      </w:r>
      <w:r>
        <w:rPr>
          <w:noProof/>
        </w:rPr>
        <w:t xml:space="preserve">ν. </w:t>
      </w:r>
    </w:p>
    <w:p w:rsidR="00104B6C" w:rsidRDefault="00F60EB6">
      <w:pPr>
        <w:rPr>
          <w:noProof/>
          <w:szCs w:val="24"/>
        </w:rPr>
      </w:pPr>
      <w:r>
        <w:rPr>
          <w:noProof/>
        </w:rPr>
        <w:t>Επίσης, θα πρέπει να θεσπιστούν αποτρεπτικά μέσα, ώστε να διασφαλιστεί ότι τα κράτη μέλη ανταποκρίνονται στις υποχρεώσεις κοινοποίησης που υπέχουν δυνάμει του κανονισμού. Επιπλέον, για να παρέχονται ταχύτερα στις επιχειρήσεις αποσαφηνίσεις σχετικά με τ</w:t>
      </w:r>
      <w:r>
        <w:rPr>
          <w:noProof/>
        </w:rPr>
        <w:t>ις αποφάσεις που λαμβάνονται εις βάρος των προϊόντων τους στην ενιαία αγορά, θα πρέπει να προβλέπονται αποτελεσματικά μέσα έννομης προστασίας, όπως ενισχυμένη διαφάνεια που θα επιτρέπει στις επιχειρήσεις να συμβουλεύονται τις αποφάσεις. Επιπλέον, τα σημεία</w:t>
      </w:r>
      <w:r>
        <w:rPr>
          <w:noProof/>
        </w:rPr>
        <w:t xml:space="preserve"> επαφής για τα προϊόντα θα πρέπει να βελτιστοποιηθούν και να παρέχουν στις επιχειρήσεις απρόσκοπτη πρόσβαση σε πληροφορίες σχετικά με τις εθνικές αποφάσεις και τους τεχνικούς κανόνες. Επίσης, υπάρχει η γενικότερη ανάγκη να αποκατασταθεί η εμπιστοσύνη και ν</w:t>
      </w:r>
      <w:r>
        <w:rPr>
          <w:noProof/>
        </w:rPr>
        <w:t xml:space="preserve">α ενταθεί η συνεργασία μεταξύ των αρχών των κρατών μελών σ’ ολόκληρη την ενιαία αγορά. </w:t>
      </w:r>
    </w:p>
    <w:p w:rsidR="00104B6C" w:rsidRDefault="00F60EB6">
      <w:pPr>
        <w:tabs>
          <w:tab w:val="left" w:pos="4962"/>
        </w:tabs>
        <w:rPr>
          <w:noProof/>
          <w:szCs w:val="24"/>
        </w:rPr>
      </w:pPr>
      <w:r>
        <w:rPr>
          <w:noProof/>
        </w:rPr>
        <w:t>Η έλλειψη εμπιστοσύνης μεταξύ των αρμόδιων αρχών θα πρέπει να ξεπεραστεί και οι εθνικές αποφάσεις θα πρέπει να καταστούν πιο διαφανείς. Μια ταχεία διαδικασία αξιολόγηση</w:t>
      </w:r>
      <w:r>
        <w:rPr>
          <w:noProof/>
        </w:rPr>
        <w:t xml:space="preserve">ς, η οποία θα καθιστά εφικτή την αξιολόγηση των αποφάσεων που αρνούνται την πρόσβαση στην αγορά χωρίς δεσμευτική απόφαση, αποτελεί μέσο που μπορεί να οδηγήσει στην καλύτερη κατανόηση της αρχής της αμοιβαίας αναγνώρισης και στη βελτίωση της λειτουργίας του </w:t>
      </w:r>
      <w:r>
        <w:rPr>
          <w:noProof/>
        </w:rPr>
        <w:t>ισχύοντος κανονισμού.</w:t>
      </w:r>
    </w:p>
    <w:p w:rsidR="00104B6C" w:rsidRDefault="00F60EB6">
      <w:pPr>
        <w:pStyle w:val="Heading1"/>
        <w:spacing w:before="0"/>
        <w:rPr>
          <w:noProof/>
        </w:rPr>
      </w:pPr>
      <w:bookmarkStart w:id="32" w:name="_Toc499563374"/>
      <w:bookmarkStart w:id="33" w:name="_Toc503441218"/>
      <w:r>
        <w:rPr>
          <w:noProof/>
        </w:rPr>
        <w:t>ΕΝΗΜΕΡΩΣΗ ΤΩΝ ΕΝΔΙΑΦΕΡΟΜΕΝΩΝ</w:t>
      </w:r>
      <w:bookmarkEnd w:id="32"/>
      <w:bookmarkEnd w:id="33"/>
    </w:p>
    <w:p w:rsidR="00104B6C" w:rsidRDefault="00F60EB6">
      <w:pPr>
        <w:rPr>
          <w:noProof/>
          <w:szCs w:val="24"/>
        </w:rPr>
      </w:pPr>
      <w:r>
        <w:rPr>
          <w:noProof/>
        </w:rPr>
        <w:t>Κατά τις διαδικασίες διαβούλευσης διατυπώθηκε ευρύ φάσμα απόψεων σχετικά με την εφαρμογή του κανονισμού και επισημάνθηκαν τα στοιχεία που λειτούργησαν αποτελεσματικά και εκείνα που λειτούργησαν λιγότερο απ</w:t>
      </w:r>
      <w:r>
        <w:rPr>
          <w:noProof/>
        </w:rPr>
        <w:t>οτελεσματικά, σύμφωνα με την άποψη των ενδιαφερομένων. Οι συναντήσεις με τους ενδιαφερομένους έδωσαν έγκαιρα τη δυνατότητα να προωθηθεί η ενεργός συμμετοχή των εθνικών αρχών, γεγονός που ενίσχυσε τις πιθανότητες να επιτευχθεί ικανοποιητικό ποσοστό ανταπόκρ</w:t>
      </w:r>
      <w:r>
        <w:rPr>
          <w:noProof/>
        </w:rPr>
        <w:t xml:space="preserve">ισης. </w:t>
      </w:r>
    </w:p>
    <w:p w:rsidR="00104B6C" w:rsidRDefault="00F60EB6">
      <w:pPr>
        <w:rPr>
          <w:rFonts w:eastAsiaTheme="minorHAnsi"/>
          <w:noProof/>
          <w:szCs w:val="24"/>
        </w:rPr>
      </w:pPr>
      <w:r>
        <w:rPr>
          <w:noProof/>
        </w:rPr>
        <w:t>Ο γενικός στόχος της παρούσας πρωτοβουλίας είναι να υπάρξει βαθύτερη ενιαία αγορά αγαθών μέσω της αύξησης και της βελτίωσης της αμοιβαίας αναγνώρισης. Αυτό θα επιτευχθεί με τη μεγαλύτερη ευαισθητοποίηση για την αμοιβαία αναγνώριση, με την ενίσχυση τ</w:t>
      </w:r>
      <w:r>
        <w:rPr>
          <w:noProof/>
        </w:rPr>
        <w:t>ης ασφάλειας δικαίου για τις επιχειρήσεις και τις εθνικές αρχές κατά τη χρήση της αμοιβαίας αναγνώρισης, και με τη βελτίωση της διοικητικής συνεργασίας και της εμπιστοσύνης μεταξύ των αρχών. Αυτό θα έχει ως αποτέλεσμα την πλήρη αξιοποίηση του δυναμικού της</w:t>
      </w:r>
      <w:r>
        <w:rPr>
          <w:noProof/>
        </w:rPr>
        <w:t xml:space="preserve"> εσωτερικής αγοράς, κάτι που θα διευκολύνει τη χρήση και την εφαρμογή της αμοιβαίας αναγνώρισης, θα μειώσει τον κίνδυνο που συνιστά για τις επιχειρήσεις το ενδεχόμενο να μην αποκτήσουν τα προϊόντα τους πρόσβαση στην αγορά ή να πρέπει να αποσυρθούν αδικαιολ</w:t>
      </w:r>
      <w:r>
        <w:rPr>
          <w:noProof/>
        </w:rPr>
        <w:t>όγητα από την αγορά, και θα προσφέρει στους καταναλωτές περισσότερες επιλογές σε χαμηλότερες τιμές. Παρά το γεγονός ότι τα αναμενόμενα οφέλη από την περισσότερη και καλύτερη αμοιβαία αναγνώριση δεν μπορούν να εκτιμηθούν με ακρίβεια, σύμφωνα με πρόσφατη μελ</w:t>
      </w:r>
      <w:r>
        <w:rPr>
          <w:noProof/>
        </w:rPr>
        <w:t xml:space="preserve">έτη σχετικά με το κόστος της μη Ευρώπης στην ενιαία αγορά η μείωση των εμπορικών φραγμών θα μπορούσε να οδηγήσει σε αύξηση του ενδοενωσιακού εμπορίου αξίας άνω των 100 δισ. EUR ετησίως. Η έννοια των εμπορικών φραγμών στην εν λόγω μελέτη είναι ευρύτερη από </w:t>
      </w:r>
      <w:r>
        <w:rPr>
          <w:noProof/>
        </w:rPr>
        <w:t xml:space="preserve">την αμοιβαία αναγνώριση και μόνο, αλλά παρέχει μια εκτίμηση των αναμενόμενων οφελών. </w:t>
      </w:r>
    </w:p>
    <w:p w:rsidR="00104B6C" w:rsidRDefault="00F60EB6">
      <w:pPr>
        <w:rPr>
          <w:rFonts w:eastAsiaTheme="minorHAnsi"/>
          <w:noProof/>
          <w:szCs w:val="24"/>
        </w:rPr>
      </w:pPr>
      <w:r>
        <w:rPr>
          <w:noProof/>
        </w:rPr>
        <w:t>Η ενωσιακή προστιθέμενη αξία της παρούσας πρωτοβουλίας έγκειται στη θέσπιση ενός κοινού συνόλου κανόνων, οι οποίοι θα εγγυώνται την ίση μεταχείριση και θα επιτρέπουν τη σ</w:t>
      </w:r>
      <w:r>
        <w:rPr>
          <w:noProof/>
        </w:rPr>
        <w:t>υνεπή, συνεκτική και ορθή εφαρμογή της αμοιβαίας αναγνώρισης. Η αμοιβαία αναγνώριση απορρέει από τα άρθρα 34 έως 36 της Συνθήκης για τη λειτουργία της ΕΕ και από τη νομολογία του Δικαστηρίου της ΕΕ και συμβάλλει άμεσα στην υλοποίηση της εσωτερικής αγοράς α</w:t>
      </w:r>
      <w:r>
        <w:rPr>
          <w:noProof/>
        </w:rPr>
        <w:t xml:space="preserve">γαθών, ενός από τα σημαντικότερα επιτεύγματα της ΕΕ. Η ανάληψη δράσης από τα κράτη μέλη και μόνο θα εξασθένιζε την αρχή της αμοιβαίας αναγνώρισης και θα την κατακερμάτιζε σε 28 διαφορετικές και δυνητικά αντικρουόμενες εθνικές διαδικασίες.  </w:t>
      </w:r>
    </w:p>
    <w:p w:rsidR="00104B6C" w:rsidRDefault="00F60EB6">
      <w:pPr>
        <w:rPr>
          <w:rFonts w:eastAsiaTheme="minorHAnsi"/>
          <w:noProof/>
          <w:szCs w:val="24"/>
        </w:rPr>
      </w:pPr>
      <w:r>
        <w:rPr>
          <w:noProof/>
        </w:rPr>
        <w:t>Στην παρούσα εκ</w:t>
      </w:r>
      <w:r>
        <w:rPr>
          <w:noProof/>
        </w:rPr>
        <w:t>τίμηση επιπτώσεων περιλαμβάνονται οι εξής εξεταζόμενες επιλογές πολιτικής:</w:t>
      </w:r>
    </w:p>
    <w:p w:rsidR="00104B6C" w:rsidRDefault="00F60EB6">
      <w:pPr>
        <w:numPr>
          <w:ilvl w:val="0"/>
          <w:numId w:val="47"/>
        </w:numPr>
        <w:spacing w:after="200" w:line="276" w:lineRule="auto"/>
        <w:ind w:left="567" w:hanging="567"/>
        <w:rPr>
          <w:rFonts w:eastAsiaTheme="minorHAnsi"/>
          <w:noProof/>
          <w:szCs w:val="24"/>
        </w:rPr>
      </w:pPr>
      <w:r>
        <w:rPr>
          <w:noProof/>
        </w:rPr>
        <w:t>Επιλογή 2 — Μη δεσμευτικά μέτρα για τη βελτίωση της λειτουργίας της αμοιβαίας αναγνώρισης (ευαισθητοποίηση, κατάρτιση, ανταλλαγή υπαλλήλων κ.λπ.)·</w:t>
      </w:r>
    </w:p>
    <w:p w:rsidR="00104B6C" w:rsidRDefault="00F60EB6">
      <w:pPr>
        <w:numPr>
          <w:ilvl w:val="0"/>
          <w:numId w:val="47"/>
        </w:numPr>
        <w:spacing w:after="200" w:line="276" w:lineRule="auto"/>
        <w:ind w:left="567" w:hanging="567"/>
        <w:rPr>
          <w:rFonts w:eastAsiaTheme="minorHAnsi"/>
          <w:noProof/>
          <w:szCs w:val="24"/>
        </w:rPr>
      </w:pPr>
      <w:r>
        <w:rPr>
          <w:noProof/>
        </w:rPr>
        <w:t xml:space="preserve">Επιλογή 3 — Ελάχιστες νομοθετικές </w:t>
      </w:r>
      <w:r>
        <w:rPr>
          <w:noProof/>
        </w:rPr>
        <w:t>αλλαγές στον κανονισμό (ΕΚ) αριθ. 764/2008 (διαφάνεια των διοικητικών αποφάσεων, χρήση των ενωσιακών προτύπων, διεύρυνση του ρόλου των σημείων επαφής για τα προϊόντα)·</w:t>
      </w:r>
    </w:p>
    <w:p w:rsidR="00104B6C" w:rsidRDefault="00F60EB6">
      <w:pPr>
        <w:numPr>
          <w:ilvl w:val="0"/>
          <w:numId w:val="47"/>
        </w:numPr>
        <w:spacing w:after="200" w:line="276" w:lineRule="auto"/>
        <w:ind w:left="567" w:hanging="567"/>
        <w:rPr>
          <w:rFonts w:eastAsiaTheme="minorHAnsi"/>
          <w:noProof/>
          <w:szCs w:val="24"/>
        </w:rPr>
      </w:pPr>
      <w:r>
        <w:rPr>
          <w:noProof/>
        </w:rPr>
        <w:t>Επιλογή 4 — Συνολικές νομοθετικές τροποποιήσεις του κανονισμού (ΕΚ) αριθ. 764/2008 (εθελ</w:t>
      </w:r>
      <w:r>
        <w:rPr>
          <w:noProof/>
        </w:rPr>
        <w:t>οντική δήλωση συμμόρφωσης, ταχεία διαδικασία προσφυγής, ενισχυμένα σημεία επαφής και συνεργασία)·</w:t>
      </w:r>
    </w:p>
    <w:p w:rsidR="00104B6C" w:rsidRDefault="00F60EB6">
      <w:pPr>
        <w:numPr>
          <w:ilvl w:val="0"/>
          <w:numId w:val="47"/>
        </w:numPr>
        <w:spacing w:after="200" w:line="276" w:lineRule="auto"/>
        <w:ind w:left="567" w:hanging="567"/>
        <w:rPr>
          <w:rFonts w:eastAsiaTheme="minorHAnsi"/>
          <w:noProof/>
          <w:szCs w:val="24"/>
        </w:rPr>
      </w:pPr>
      <w:r>
        <w:rPr>
          <w:noProof/>
        </w:rPr>
        <w:t xml:space="preserve">Επιλογή 5 — Εθελοντική προηγούμενη έγκριση για τη διάθεση στην αγορά. </w:t>
      </w:r>
    </w:p>
    <w:p w:rsidR="00104B6C" w:rsidRDefault="00F60EB6">
      <w:pPr>
        <w:rPr>
          <w:rFonts w:eastAsiaTheme="minorHAnsi"/>
          <w:noProof/>
          <w:szCs w:val="24"/>
        </w:rPr>
      </w:pPr>
      <w:r>
        <w:rPr>
          <w:noProof/>
        </w:rPr>
        <w:t>Η επιλογή για την κατάργηση του εν λόγω κανονισμού και η επιλογή για την πρόταση περαιτ</w:t>
      </w:r>
      <w:r>
        <w:rPr>
          <w:noProof/>
        </w:rPr>
        <w:t xml:space="preserve">έρω μέτρων εναρμόνισης σχετικά με ειδικές βασικές απαιτήσεις για ορισμένες πτυχές των προϊόντων απορρίφθηκαν σε πρώιμο στάδιο, όπως και η θέσπιση δήλωσης συμμόρφωσης τρίτου. </w:t>
      </w:r>
    </w:p>
    <w:p w:rsidR="00104B6C" w:rsidRDefault="00F60EB6">
      <w:pPr>
        <w:rPr>
          <w:rFonts w:eastAsiaTheme="minorHAnsi"/>
          <w:noProof/>
          <w:szCs w:val="24"/>
        </w:rPr>
      </w:pPr>
      <w:r>
        <w:rPr>
          <w:noProof/>
        </w:rPr>
        <w:t xml:space="preserve">Η προτιμώμενη επιλογή είναι η επιλογή 4 [ολοκληρωμένη νομοθετική τροποποίηση του </w:t>
      </w:r>
      <w:r>
        <w:rPr>
          <w:noProof/>
        </w:rPr>
        <w:t xml:space="preserve">κανονισμού (ΕΚ) αριθ. 764/2008], σε συνδυασμό με την επιλογή 2 (μη δεσμευτικά μέτρα).  </w:t>
      </w:r>
      <w:bookmarkStart w:id="34" w:name="_GoBack"/>
      <w:bookmarkEnd w:id="34"/>
    </w:p>
    <w:sectPr w:rsidR="00104B6C">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6C" w:rsidRDefault="00F60EB6">
      <w:pPr>
        <w:spacing w:after="0"/>
      </w:pPr>
      <w:r>
        <w:separator/>
      </w:r>
    </w:p>
  </w:endnote>
  <w:endnote w:type="continuationSeparator" w:id="0">
    <w:p w:rsidR="00104B6C" w:rsidRDefault="00F60E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104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F60EB6">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104B6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104B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F60EB6">
    <w:pPr>
      <w:pStyle w:val="Footer"/>
      <w:jc w:val="center"/>
      <w:rPr>
        <w:rFonts w:cs="Arial"/>
        <w:noProof/>
        <w:szCs w:val="16"/>
      </w:rPr>
    </w:pPr>
    <w:sdt>
      <w:sdtPr>
        <w:rPr>
          <w:sz w:val="20"/>
        </w:rPr>
        <w:id w:val="998312290"/>
        <w:docPartObj>
          <w:docPartGallery w:val="Page Numbers (Bottom of Page)"/>
          <w:docPartUnique/>
        </w:docPartObj>
      </w:sdtPr>
      <w:sdtEndPr>
        <w:rPr>
          <w:rFonts w:cs="Arial"/>
          <w:noProof/>
          <w:sz w:val="24"/>
          <w:szCs w:val="16"/>
        </w:rPr>
      </w:sdtEndPr>
      <w:sdtContent>
        <w:r>
          <w:rPr>
            <w:rFonts w:cs="Arial"/>
            <w:szCs w:val="16"/>
          </w:rPr>
          <w:fldChar w:fldCharType="begin"/>
        </w:r>
        <w:r>
          <w:rPr>
            <w:rFonts w:cs="Arial"/>
            <w:szCs w:val="16"/>
          </w:rPr>
          <w:instrText xml:space="preserve"> PAGE   \* MERGEFORMAT </w:instrText>
        </w:r>
        <w:r>
          <w:rPr>
            <w:rFonts w:cs="Arial"/>
            <w:szCs w:val="16"/>
          </w:rPr>
          <w:fldChar w:fldCharType="separate"/>
        </w:r>
        <w:r>
          <w:rPr>
            <w:rFonts w:cs="Arial"/>
            <w:noProof/>
            <w:szCs w:val="16"/>
          </w:rPr>
          <w:t>8</w:t>
        </w:r>
        <w:r>
          <w:rPr>
            <w:rFonts w:cs="Arial"/>
            <w:noProof/>
            <w:szCs w:val="16"/>
          </w:rPr>
          <w:fldChar w:fldCharType="end"/>
        </w:r>
      </w:sdtContent>
    </w:sdt>
  </w:p>
  <w:p w:rsidR="00104B6C" w:rsidRDefault="00104B6C">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16"/>
      </w:rPr>
      <w:id w:val="-2089457011"/>
      <w:docPartObj>
        <w:docPartGallery w:val="Page Numbers (Bottom of Page)"/>
        <w:docPartUnique/>
      </w:docPartObj>
    </w:sdtPr>
    <w:sdtEndPr>
      <w:rPr>
        <w:noProof/>
      </w:rPr>
    </w:sdtEndPr>
    <w:sdtContent>
      <w:p w:rsidR="00104B6C" w:rsidRDefault="00F60EB6">
        <w:pPr>
          <w:pStyle w:val="Footer"/>
          <w:jc w:val="center"/>
          <w:rPr>
            <w:rFonts w:cs="Arial"/>
            <w:szCs w:val="16"/>
          </w:rPr>
        </w:pPr>
        <w:r>
          <w:rPr>
            <w:rFonts w:cs="Arial"/>
            <w:szCs w:val="16"/>
          </w:rPr>
          <w:fldChar w:fldCharType="begin"/>
        </w:r>
        <w:r>
          <w:rPr>
            <w:rFonts w:cs="Arial"/>
            <w:szCs w:val="16"/>
          </w:rPr>
          <w:instrText xml:space="preserve"> PAGE   \* MERGEFORMAT </w:instrText>
        </w:r>
        <w:r>
          <w:rPr>
            <w:rFonts w:cs="Arial"/>
            <w:szCs w:val="16"/>
          </w:rPr>
          <w:fldChar w:fldCharType="separate"/>
        </w:r>
        <w:r>
          <w:rPr>
            <w:rFonts w:cs="Arial"/>
            <w:noProof/>
            <w:szCs w:val="16"/>
          </w:rPr>
          <w:t>1</w:t>
        </w:r>
        <w:r>
          <w:rPr>
            <w:rFonts w:cs="Arial"/>
            <w:noProof/>
            <w:szCs w:val="16"/>
          </w:rPr>
          <w:fldChar w:fldCharType="end"/>
        </w:r>
      </w:p>
    </w:sdtContent>
  </w:sdt>
  <w:p w:rsidR="00104B6C" w:rsidRDefault="00104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6C" w:rsidRDefault="00F60EB6">
      <w:pPr>
        <w:spacing w:after="0"/>
      </w:pPr>
      <w:r>
        <w:separator/>
      </w:r>
    </w:p>
  </w:footnote>
  <w:footnote w:type="continuationSeparator" w:id="0">
    <w:p w:rsidR="00104B6C" w:rsidRDefault="00F60EB6">
      <w:pPr>
        <w:spacing w:after="0"/>
      </w:pPr>
      <w:r>
        <w:continuationSeparator/>
      </w:r>
    </w:p>
  </w:footnote>
  <w:footnote w:id="1">
    <w:p w:rsidR="00104B6C" w:rsidRDefault="00F60EB6">
      <w:pPr>
        <w:pStyle w:val="FootnoteText"/>
        <w:spacing w:after="0"/>
        <w:rPr>
          <w:sz w:val="16"/>
          <w:szCs w:val="16"/>
        </w:rPr>
      </w:pPr>
      <w:r>
        <w:rPr>
          <w:rStyle w:val="FootnoteReference"/>
          <w:sz w:val="16"/>
          <w:vertAlign w:val="baseline"/>
        </w:rPr>
        <w:footnoteRef/>
      </w:r>
      <w:r>
        <w:rPr>
          <w:sz w:val="16"/>
        </w:rPr>
        <w:t xml:space="preserve"> </w:t>
      </w:r>
      <w:r>
        <w:tab/>
      </w:r>
      <w:r>
        <w:rPr>
          <w:sz w:val="16"/>
        </w:rPr>
        <w:t>Τα μέλη της επιτροπής είναι οι εθνικές αρχές που είναι αρμόδιες για την αμοιβαία αναγνώριση στα</w:t>
      </w:r>
      <w:r>
        <w:rPr>
          <w:sz w:val="16"/>
        </w:rPr>
        <w:t xml:space="preserve"> 28 κράτη μέλη, καθώς και στην Ισλανδία, το Λιχτενστάιν, τη Νορβηγία, την Ελβετία και την Τουρκία. Εκπρόσωποι άλλων τρίτων μερών ή άλλοι εμπειρογνώμονες μπορεί να κληθούν να συμμετάσχουν σε ειδικές συνεδριάσεις, κατά περίπτωση.</w:t>
      </w:r>
    </w:p>
  </w:footnote>
  <w:footnote w:id="2">
    <w:p w:rsidR="00104B6C" w:rsidRDefault="00F60EB6">
      <w:pPr>
        <w:pStyle w:val="FootnoteText"/>
        <w:spacing w:after="0"/>
        <w:rPr>
          <w:sz w:val="16"/>
          <w:szCs w:val="16"/>
        </w:rPr>
      </w:pPr>
      <w:r>
        <w:rPr>
          <w:rStyle w:val="FootnoteReference"/>
          <w:sz w:val="16"/>
          <w:vertAlign w:val="baseline"/>
        </w:rPr>
        <w:footnoteRef/>
      </w:r>
      <w:r>
        <w:rPr>
          <w:sz w:val="16"/>
        </w:rPr>
        <w:t xml:space="preserve"> </w:t>
      </w:r>
      <w:r>
        <w:tab/>
      </w:r>
      <w:r>
        <w:rPr>
          <w:sz w:val="16"/>
        </w:rPr>
        <w:t>http://ec.europa.eu/DocsR</w:t>
      </w:r>
      <w:r>
        <w:rPr>
          <w:sz w:val="16"/>
        </w:rPr>
        <w:t>oom/documents/13381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104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104B6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104B6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104B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104B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6C" w:rsidRDefault="00104B6C">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03074A"/>
    <w:multiLevelType w:val="hybridMultilevel"/>
    <w:tmpl w:val="5C00EA3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727AC2"/>
    <w:multiLevelType w:val="hybridMultilevel"/>
    <w:tmpl w:val="9952644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440706"/>
    <w:multiLevelType w:val="hybridMultilevel"/>
    <w:tmpl w:val="BCF8FF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0BF025B2"/>
    <w:multiLevelType w:val="hybridMultilevel"/>
    <w:tmpl w:val="90A0F32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EB93D8B"/>
    <w:multiLevelType w:val="hybridMultilevel"/>
    <w:tmpl w:val="47028220"/>
    <w:lvl w:ilvl="0" w:tplc="E3FE24F6">
      <w:numFmt w:val="bullet"/>
      <w:lvlText w:val="•"/>
      <w:lvlJc w:val="left"/>
      <w:pPr>
        <w:ind w:left="723" w:hanging="720"/>
      </w:pPr>
      <w:rPr>
        <w:rFonts w:ascii="Times New Roman" w:eastAsiaTheme="minorHAnsi"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906A5"/>
    <w:multiLevelType w:val="hybridMultilevel"/>
    <w:tmpl w:val="AC04BA34"/>
    <w:lvl w:ilvl="0" w:tplc="08090017">
      <w:start w:val="1"/>
      <w:numFmt w:val="lowerLetter"/>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5D7C68"/>
    <w:multiLevelType w:val="hybridMultilevel"/>
    <w:tmpl w:val="7DA6E90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B62346"/>
    <w:multiLevelType w:val="hybridMultilevel"/>
    <w:tmpl w:val="B8121E54"/>
    <w:lvl w:ilvl="0" w:tplc="EE8C3718">
      <w:start w:val="1"/>
      <w:numFmt w:val="bullet"/>
      <w:lvlText w:val="•"/>
      <w:lvlJc w:val="left"/>
      <w:pPr>
        <w:tabs>
          <w:tab w:val="num" w:pos="720"/>
        </w:tabs>
        <w:ind w:left="720" w:hanging="360"/>
      </w:pPr>
      <w:rPr>
        <w:rFonts w:ascii="Arial" w:hAnsi="Arial" w:hint="default"/>
      </w:rPr>
    </w:lvl>
    <w:lvl w:ilvl="1" w:tplc="FA90F306" w:tentative="1">
      <w:start w:val="1"/>
      <w:numFmt w:val="bullet"/>
      <w:lvlText w:val="•"/>
      <w:lvlJc w:val="left"/>
      <w:pPr>
        <w:tabs>
          <w:tab w:val="num" w:pos="1440"/>
        </w:tabs>
        <w:ind w:left="1440" w:hanging="360"/>
      </w:pPr>
      <w:rPr>
        <w:rFonts w:ascii="Arial" w:hAnsi="Arial" w:hint="default"/>
      </w:rPr>
    </w:lvl>
    <w:lvl w:ilvl="2" w:tplc="BDC81680" w:tentative="1">
      <w:start w:val="1"/>
      <w:numFmt w:val="bullet"/>
      <w:lvlText w:val="•"/>
      <w:lvlJc w:val="left"/>
      <w:pPr>
        <w:tabs>
          <w:tab w:val="num" w:pos="2160"/>
        </w:tabs>
        <w:ind w:left="2160" w:hanging="360"/>
      </w:pPr>
      <w:rPr>
        <w:rFonts w:ascii="Arial" w:hAnsi="Arial" w:hint="default"/>
      </w:rPr>
    </w:lvl>
    <w:lvl w:ilvl="3" w:tplc="B0FEB37E" w:tentative="1">
      <w:start w:val="1"/>
      <w:numFmt w:val="bullet"/>
      <w:lvlText w:val="•"/>
      <w:lvlJc w:val="left"/>
      <w:pPr>
        <w:tabs>
          <w:tab w:val="num" w:pos="2880"/>
        </w:tabs>
        <w:ind w:left="2880" w:hanging="360"/>
      </w:pPr>
      <w:rPr>
        <w:rFonts w:ascii="Arial" w:hAnsi="Arial" w:hint="default"/>
      </w:rPr>
    </w:lvl>
    <w:lvl w:ilvl="4" w:tplc="6E5E8FB2" w:tentative="1">
      <w:start w:val="1"/>
      <w:numFmt w:val="bullet"/>
      <w:lvlText w:val="•"/>
      <w:lvlJc w:val="left"/>
      <w:pPr>
        <w:tabs>
          <w:tab w:val="num" w:pos="3600"/>
        </w:tabs>
        <w:ind w:left="3600" w:hanging="360"/>
      </w:pPr>
      <w:rPr>
        <w:rFonts w:ascii="Arial" w:hAnsi="Arial" w:hint="default"/>
      </w:rPr>
    </w:lvl>
    <w:lvl w:ilvl="5" w:tplc="4852F42A" w:tentative="1">
      <w:start w:val="1"/>
      <w:numFmt w:val="bullet"/>
      <w:lvlText w:val="•"/>
      <w:lvlJc w:val="left"/>
      <w:pPr>
        <w:tabs>
          <w:tab w:val="num" w:pos="4320"/>
        </w:tabs>
        <w:ind w:left="4320" w:hanging="360"/>
      </w:pPr>
      <w:rPr>
        <w:rFonts w:ascii="Arial" w:hAnsi="Arial" w:hint="default"/>
      </w:rPr>
    </w:lvl>
    <w:lvl w:ilvl="6" w:tplc="72488FDC" w:tentative="1">
      <w:start w:val="1"/>
      <w:numFmt w:val="bullet"/>
      <w:lvlText w:val="•"/>
      <w:lvlJc w:val="left"/>
      <w:pPr>
        <w:tabs>
          <w:tab w:val="num" w:pos="5040"/>
        </w:tabs>
        <w:ind w:left="5040" w:hanging="360"/>
      </w:pPr>
      <w:rPr>
        <w:rFonts w:ascii="Arial" w:hAnsi="Arial" w:hint="default"/>
      </w:rPr>
    </w:lvl>
    <w:lvl w:ilvl="7" w:tplc="59F437E0" w:tentative="1">
      <w:start w:val="1"/>
      <w:numFmt w:val="bullet"/>
      <w:lvlText w:val="•"/>
      <w:lvlJc w:val="left"/>
      <w:pPr>
        <w:tabs>
          <w:tab w:val="num" w:pos="5760"/>
        </w:tabs>
        <w:ind w:left="5760" w:hanging="360"/>
      </w:pPr>
      <w:rPr>
        <w:rFonts w:ascii="Arial" w:hAnsi="Arial" w:hint="default"/>
      </w:rPr>
    </w:lvl>
    <w:lvl w:ilvl="8" w:tplc="EAE86756" w:tentative="1">
      <w:start w:val="1"/>
      <w:numFmt w:val="bullet"/>
      <w:lvlText w:val="•"/>
      <w:lvlJc w:val="left"/>
      <w:pPr>
        <w:tabs>
          <w:tab w:val="num" w:pos="6480"/>
        </w:tabs>
        <w:ind w:left="6480" w:hanging="360"/>
      </w:pPr>
      <w:rPr>
        <w:rFonts w:ascii="Arial" w:hAnsi="Arial" w:hint="default"/>
      </w:rPr>
    </w:lvl>
  </w:abstractNum>
  <w:abstractNum w:abstractNumId="23">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4">
    <w:nsid w:val="4A432656"/>
    <w:multiLevelType w:val="multilevel"/>
    <w:tmpl w:val="600644A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82B313C"/>
    <w:multiLevelType w:val="hybridMultilevel"/>
    <w:tmpl w:val="09B2363A"/>
    <w:lvl w:ilvl="0" w:tplc="08090019">
      <w:start w:val="1"/>
      <w:numFmt w:val="lowerLetter"/>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27">
    <w:nsid w:val="5B9C2907"/>
    <w:multiLevelType w:val="hybridMultilevel"/>
    <w:tmpl w:val="2D883150"/>
    <w:lvl w:ilvl="0" w:tplc="C7C66FCA">
      <w:start w:val="9"/>
      <w:numFmt w:val="bullet"/>
      <w:lvlText w:val="•"/>
      <w:lvlJc w:val="left"/>
      <w:pPr>
        <w:ind w:left="2160" w:hanging="21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3366BA"/>
    <w:multiLevelType w:val="hybridMultilevel"/>
    <w:tmpl w:val="8EA49AD0"/>
    <w:lvl w:ilvl="0" w:tplc="1954F662">
      <w:start w:val="1"/>
      <w:numFmt w:val="bullet"/>
      <w:pStyle w:val="Bullet1"/>
      <w:lvlText w:val=""/>
      <w:lvlJc w:val="left"/>
      <w:pPr>
        <w:ind w:left="2007" w:hanging="360"/>
      </w:pPr>
      <w:rPr>
        <w:rFonts w:ascii="Symbol" w:hAnsi="Symbol" w:hint="default"/>
        <w:color w:val="4F81BD" w:themeColor="accent1"/>
        <w:spacing w:val="30"/>
      </w:rPr>
    </w:lvl>
    <w:lvl w:ilvl="1" w:tplc="04100003">
      <w:start w:val="1"/>
      <w:numFmt w:val="bullet"/>
      <w:lvlText w:val="o"/>
      <w:lvlJc w:val="left"/>
      <w:pPr>
        <w:ind w:left="2727" w:hanging="360"/>
      </w:pPr>
      <w:rPr>
        <w:rFonts w:ascii="Courier New" w:hAnsi="Courier New" w:cs="Courier New" w:hint="default"/>
      </w:rPr>
    </w:lvl>
    <w:lvl w:ilvl="2" w:tplc="04100005">
      <w:start w:val="1"/>
      <w:numFmt w:val="bullet"/>
      <w:lvlText w:val=""/>
      <w:lvlJc w:val="left"/>
      <w:pPr>
        <w:ind w:left="3447" w:hanging="360"/>
      </w:pPr>
      <w:rPr>
        <w:rFonts w:ascii="Wingdings" w:hAnsi="Wingdings" w:hint="default"/>
      </w:rPr>
    </w:lvl>
    <w:lvl w:ilvl="3" w:tplc="04100001">
      <w:start w:val="1"/>
      <w:numFmt w:val="bullet"/>
      <w:lvlText w:val=""/>
      <w:lvlJc w:val="left"/>
      <w:pPr>
        <w:ind w:left="4167" w:hanging="360"/>
      </w:pPr>
      <w:rPr>
        <w:rFonts w:ascii="Symbol" w:hAnsi="Symbol" w:hint="default"/>
      </w:rPr>
    </w:lvl>
    <w:lvl w:ilvl="4" w:tplc="04100003">
      <w:start w:val="1"/>
      <w:numFmt w:val="bullet"/>
      <w:lvlText w:val="o"/>
      <w:lvlJc w:val="left"/>
      <w:pPr>
        <w:ind w:left="4887" w:hanging="360"/>
      </w:pPr>
      <w:rPr>
        <w:rFonts w:ascii="Courier New" w:hAnsi="Courier New" w:cs="Courier New" w:hint="default"/>
      </w:rPr>
    </w:lvl>
    <w:lvl w:ilvl="5" w:tplc="04100005">
      <w:start w:val="1"/>
      <w:numFmt w:val="bullet"/>
      <w:lvlText w:val=""/>
      <w:lvlJc w:val="left"/>
      <w:pPr>
        <w:ind w:left="5607" w:hanging="360"/>
      </w:pPr>
      <w:rPr>
        <w:rFonts w:ascii="Wingdings" w:hAnsi="Wingdings" w:hint="default"/>
      </w:rPr>
    </w:lvl>
    <w:lvl w:ilvl="6" w:tplc="04100001">
      <w:start w:val="1"/>
      <w:numFmt w:val="bullet"/>
      <w:lvlText w:val=""/>
      <w:lvlJc w:val="left"/>
      <w:pPr>
        <w:ind w:left="6327" w:hanging="360"/>
      </w:pPr>
      <w:rPr>
        <w:rFonts w:ascii="Symbol" w:hAnsi="Symbol" w:hint="default"/>
      </w:rPr>
    </w:lvl>
    <w:lvl w:ilvl="7" w:tplc="04100003">
      <w:start w:val="1"/>
      <w:numFmt w:val="bullet"/>
      <w:lvlText w:val="o"/>
      <w:lvlJc w:val="left"/>
      <w:pPr>
        <w:ind w:left="7047" w:hanging="360"/>
      </w:pPr>
      <w:rPr>
        <w:rFonts w:ascii="Courier New" w:hAnsi="Courier New" w:cs="Courier New" w:hint="default"/>
      </w:rPr>
    </w:lvl>
    <w:lvl w:ilvl="8" w:tplc="04100005">
      <w:start w:val="1"/>
      <w:numFmt w:val="bullet"/>
      <w:lvlText w:val=""/>
      <w:lvlJc w:val="left"/>
      <w:pPr>
        <w:ind w:left="7767" w:hanging="360"/>
      </w:pPr>
      <w:rPr>
        <w:rFonts w:ascii="Wingdings" w:hAnsi="Wingding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26422"/>
    <w:multiLevelType w:val="hybridMultilevel"/>
    <w:tmpl w:val="A828739E"/>
    <w:lvl w:ilvl="0" w:tplc="558A1AA6">
      <w:start w:val="1"/>
      <w:numFmt w:val="decimal"/>
      <w:lvlText w:val="%1."/>
      <w:lvlJc w:val="left"/>
      <w:pPr>
        <w:ind w:left="2160" w:hanging="21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8297C2C"/>
    <w:multiLevelType w:val="hybridMultilevel"/>
    <w:tmpl w:val="0DAA86F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A2C48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4"/>
  </w:num>
  <w:num w:numId="4">
    <w:abstractNumId w:val="25"/>
  </w:num>
  <w:num w:numId="5">
    <w:abstractNumId w:val="17"/>
  </w:num>
  <w:num w:numId="6">
    <w:abstractNumId w:val="11"/>
  </w:num>
  <w:num w:numId="7">
    <w:abstractNumId w:val="8"/>
  </w:num>
  <w:num w:numId="8">
    <w:abstractNumId w:val="7"/>
  </w:num>
  <w:num w:numId="9">
    <w:abstractNumId w:val="29"/>
  </w:num>
  <w:num w:numId="10">
    <w:abstractNumId w:val="32"/>
  </w:num>
  <w:num w:numId="11">
    <w:abstractNumId w:val="31"/>
  </w:num>
  <w:num w:numId="12">
    <w:abstractNumId w:val="33"/>
  </w:num>
  <w:num w:numId="13">
    <w:abstractNumId w:val="10"/>
  </w:num>
  <w:num w:numId="14">
    <w:abstractNumId w:val="18"/>
  </w:num>
  <w:num w:numId="15">
    <w:abstractNumId w:val="20"/>
  </w:num>
  <w:num w:numId="16">
    <w:abstractNumId w:val="19"/>
  </w:num>
  <w:num w:numId="17">
    <w:abstractNumId w:val="2"/>
  </w:num>
  <w:num w:numId="18">
    <w:abstractNumId w:val="21"/>
  </w:num>
  <w:num w:numId="19">
    <w:abstractNumId w:val="12"/>
  </w:num>
  <w:num w:numId="20">
    <w:abstractNumId w:val="30"/>
  </w:num>
  <w:num w:numId="21">
    <w:abstractNumId w:val="27"/>
  </w:num>
  <w:num w:numId="22">
    <w:abstractNumId w:val="9"/>
  </w:num>
  <w:num w:numId="23">
    <w:abstractNumId w:val="28"/>
  </w:num>
  <w:num w:numId="24">
    <w:abstractNumId w:val="5"/>
  </w:num>
  <w:num w:numId="25">
    <w:abstractNumId w:val="26"/>
  </w:num>
  <w:num w:numId="26">
    <w:abstractNumId w:val="22"/>
  </w:num>
  <w:num w:numId="27">
    <w:abstractNumId w:val="6"/>
  </w:num>
  <w:num w:numId="28">
    <w:abstractNumId w:val="4"/>
  </w:num>
  <w:num w:numId="29">
    <w:abstractNumId w:val="34"/>
  </w:num>
  <w:num w:numId="30">
    <w:abstractNumId w:val="3"/>
  </w:num>
  <w:num w:numId="31">
    <w:abstractNumId w:val="16"/>
  </w:num>
  <w:num w:numId="32">
    <w:abstractNumId w:val="24"/>
  </w:num>
  <w:num w:numId="33">
    <w:abstractNumId w:val="24"/>
  </w:num>
  <w:num w:numId="34">
    <w:abstractNumId w:val="24"/>
  </w:num>
  <w:num w:numId="35">
    <w:abstractNumId w:val="35"/>
  </w:num>
  <w:num w:numId="36">
    <w:abstractNumId w:val="24"/>
  </w:num>
  <w:num w:numId="37">
    <w:abstractNumId w:val="24"/>
  </w:num>
  <w:num w:numId="38">
    <w:abstractNumId w:val="24"/>
  </w:num>
  <w:num w:numId="39">
    <w:abstractNumId w:val="24"/>
  </w:num>
  <w:num w:numId="40">
    <w:abstractNumId w:val="15"/>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0EF4BB2A-F2FC-4CFE-8551-1FD922C728B9"/>
    <w:docVar w:name="LW_COVERPAGE_TYPE" w:val="1"/>
    <w:docVar w:name="LW_CROSSREFERENCE" w:val="{COM(2017) 796 final}_x000b_{SWD(2017) 471 final}_x000b_{SWD(2017) 472 final}_x000b_{SWD(2017) 475 final}_x000b_{SWD(2017) 476 final}"/>
    <w:docVar w:name="LW_DocType" w:val="NOT"/>
    <w:docVar w:name="LW_EMISSION" w:val="19.12.2017"/>
    <w:docVar w:name="LW_EMISSION_ISODATE" w:val="2017-12-19"/>
    <w:docVar w:name="LW_EMISSION_LOCATION" w:val="BRX"/>
    <w:docVar w:name="LW_EMISSION_PREFIX" w:val="Βρυξέλλες, "/>
    <w:docVar w:name="LW_EMISSION_SUFFIX" w:val="&lt;EMPTY&gt;"/>
    <w:docVar w:name="LW_ID_DOCTYPE_NONLW" w:val="CP-025"/>
    <w:docVar w:name="LW_LANGUE" w:val="EL"/>
    <w:docVar w:name="LW_LEVEL_OF_SENSITIVITY" w:val="Standard treatment"/>
    <w:docVar w:name="LW_NOM.INST" w:val="\u917?\u933?\u929?\u937?\u928?\u913?\u938?\u922?\u919? \u917?\u928?\u921?\u932?\u929?\u927?\u928?\u919?"/>
    <w:docVar w:name="LW_NOM.INST_JOINTDOC" w:val="&lt;EMPTY&gt;"/>
    <w:docVar w:name="LW_OBJETACTEPRINCIPAL.CP" w:val="\u963?\u967?\u949?\u964?\u953?\u954?\u940? \u956?\u949? \u964?\u951?\u957? \u945?\u956?\u959?\u953?\u946?\u945?\u943?\u945? \u945?\u957?\u945?\u947?\u957?\u974?\u961?\u953?\u963?\u951? \u964?\u969?\u957? \u960?\u961?\u959?\u970?\u972?\u957?\u964?\u969?\u957?"/>
    <w:docVar w:name="LW_PART_NBR" w:val="1"/>
    <w:docVar w:name="LW_PART_NBR_TOTAL" w:val="1"/>
    <w:docVar w:name="LW_REF.INST.NEW" w:val="SWD"/>
    <w:docVar w:name="LW_REF.INST.NEW_ADOPTED" w:val="final"/>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u916?\u917?\u931?\u924?\u919? \u924?\u917?\u932?\u929?\u937?\u925? \u915?\u921?\u913? \u932?\u913? \u928?\u929?\u927?\u938?\u927?\u925?\u932?\u913?"/>
    <w:docVar w:name="LW_TITRE.OBJ.CP" w:val="\u916?\u921?\u913?\u914?\u927?\u933?\u923?\u917?\u933?\u931?\u919? \u924?\u917? \u932?\u927?\u933?\u931? \u917?\u925?\u916?\u921?\u913?\u934?\u917?\u929?\u927?\u924?\u917?\u925?\u927?\u933?\u931? - \u931?\u933?\u925?\u927?\u928?\u932?\u921?\u922?\u919? \u917?\u922?\u920?\u917?\u931?\u919?"/>
    <w:docVar w:name="LW_TYPE.DOC.CP" w:val="\u917?\u915?\u915?\u929?\u913?\u934?\u927? \u917?\u929?\u915?\u913?\u931?\u921?\u913?\u931? \u932?\u937?\u925? \u933?\u928?\u919?\u929?\u917?\u931?\u921?\u937?\u925? \u932?\u919?\u931? \u917?\u928?\u921?\u932?\u929?\u927?\u928?\u919?\u931?"/>
    <w:docVar w:name="LW_TYPEACTEPRINCIPAL.CP" w:val="\u928?\u961?\u972?\u964?\u945?\u963?\u951? \u954?\u945?\u957?\u959?\u957?\u953?\u963?\u956?\u959?\u973? \u964?\u959?\u965? \u917?\u965?\u961?\u969?\u960?\u945?\u970?\u954?\u959?\u973? \u922?\u959?\u953?\u957?\u959?\u946?\u959?\u965?\u955?\u943?\u959?\u965? \u954?\u945?\u953? \u964?\u959?\u965? \u931?\u965?\u956?\u946?\u959?\u965?\u955?\u943?\u959?\u965? "/>
  </w:docVars>
  <w:rsids>
    <w:rsidRoot w:val="00104B6C"/>
    <w:rsid w:val="00104B6C"/>
    <w:rsid w:val="00F6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Heading2"/>
    <w:next w:val="Text3"/>
    <w:qFormat/>
    <w:pPr>
      <w:numPr>
        <w:ilvl w:val="2"/>
      </w:numPr>
      <w:tabs>
        <w:tab w:val="clear" w:pos="1920"/>
        <w:tab w:val="num" w:pos="567"/>
      </w:tabs>
      <w:ind w:hanging="1920"/>
      <w:outlineLvl w:val="2"/>
    </w:pPr>
    <w:rPr>
      <w:b w:val="0"/>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uiPriority w:val="99"/>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el-GR"/>
    </w:rPr>
  </w:style>
  <w:style w:type="character" w:customStyle="1" w:styleId="DateChar">
    <w:name w:val="Date Char"/>
    <w:basedOn w:val="DefaultParagraphFont"/>
    <w:link w:val="Date"/>
    <w:uiPriority w:val="99"/>
    <w:locked/>
    <w:rPr>
      <w:sz w:val="24"/>
      <w:lang w:eastAsia="el-GR"/>
    </w:rPr>
  </w:style>
  <w:style w:type="character" w:customStyle="1" w:styleId="SignatureChar">
    <w:name w:val="Signature Char"/>
    <w:basedOn w:val="DefaultParagraphFont"/>
    <w:link w:val="Signature"/>
    <w:uiPriority w:val="99"/>
    <w:locked/>
    <w:rPr>
      <w:sz w:val="24"/>
      <w:lang w:eastAsia="el-GR"/>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el-GR"/>
    </w:rPr>
  </w:style>
  <w:style w:type="table" w:styleId="LightList">
    <w:name w:val="Light List"/>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el-GR"/>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l-G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l-GR"/>
    </w:rPr>
  </w:style>
  <w:style w:type="character" w:customStyle="1" w:styleId="CommentSubjectChar">
    <w:name w:val="Comment Subject Char"/>
    <w:basedOn w:val="CommentTextChar"/>
    <w:link w:val="CommentSubject"/>
    <w:uiPriority w:val="99"/>
    <w:semiHidden/>
    <w:rPr>
      <w:b/>
      <w:bCs/>
      <w:lang w:eastAsia="el-GR"/>
    </w:rPr>
  </w:style>
  <w:style w:type="paragraph" w:styleId="Revision">
    <w:name w:val="Revision"/>
    <w:hidden/>
    <w:uiPriority w:val="99"/>
    <w:semiHidden/>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
    <w:uiPriority w:val="99"/>
    <w:qFormat/>
    <w:pPr>
      <w:spacing w:after="120" w:line="256" w:lineRule="auto"/>
    </w:pPr>
    <w:rPr>
      <w:rFonts w:asciiTheme="minorHAnsi" w:eastAsiaTheme="minorHAnsi" w:hAnsiTheme="minorHAnsi" w:cstheme="minorBidi"/>
      <w:sz w:val="20"/>
      <w:szCs w:val="22"/>
    </w:rPr>
  </w:style>
  <w:style w:type="character" w:customStyle="1" w:styleId="Bullet1Char">
    <w:name w:val="Bullet 1 Char"/>
    <w:basedOn w:val="DefaultParagraphFont"/>
    <w:link w:val="Bullet1"/>
    <w:locked/>
  </w:style>
  <w:style w:type="paragraph" w:customStyle="1" w:styleId="Bullet1">
    <w:name w:val="Bullet 1"/>
    <w:basedOn w:val="BodyText0"/>
    <w:link w:val="Bullet1Char"/>
    <w:qFormat/>
    <w:pPr>
      <w:numPr>
        <w:numId w:val="23"/>
      </w:numPr>
      <w:tabs>
        <w:tab w:val="num" w:pos="360"/>
        <w:tab w:val="num" w:pos="1492"/>
      </w:tabs>
      <w:spacing w:after="80"/>
      <w:ind w:left="964" w:hanging="284"/>
    </w:pPr>
    <w:rPr>
      <w:rFonts w:ascii="Times New Roman" w:eastAsia="Times New Roman" w:hAnsi="Times New Roman" w:cs="Times New Roman"/>
      <w:szCs w:val="20"/>
    </w:rPr>
  </w:style>
  <w:style w:type="character" w:customStyle="1" w:styleId="BodyTextChar">
    <w:name w:val="BodyText Char"/>
    <w:basedOn w:val="DefaultParagraphFont"/>
    <w:link w:val="BodyText0"/>
    <w:uiPriority w:val="99"/>
    <w:locked/>
    <w:rPr>
      <w:rFonts w:asciiTheme="minorHAnsi" w:eastAsiaTheme="minorHAnsi" w:hAnsiTheme="minorHAnsi" w:cstheme="minorBidi"/>
      <w:szCs w:val="22"/>
      <w:lang w:eastAsia="el-GR"/>
    </w:rPr>
  </w:style>
  <w:style w:type="character" w:customStyle="1" w:styleId="Text1Char">
    <w:name w:val="Text 1 Char"/>
    <w:link w:val="Text1"/>
    <w:rPr>
      <w:sz w:val="24"/>
      <w:lang w:eastAsia="el-GR"/>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customStyle="1" w:styleId="PartTitle">
    <w:name w:val="PartTitle"/>
    <w:basedOn w:val="Normal"/>
    <w:next w:val="ChapterTitle"/>
    <w:pPr>
      <w:keepNext/>
      <w:pageBreakBefore/>
      <w:spacing w:after="480"/>
      <w:jc w:val="center"/>
    </w:pPr>
    <w:rPr>
      <w:b/>
      <w:sz w:val="36"/>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itleChar">
    <w:name w:val="Title Char"/>
    <w:link w:val="Title"/>
    <w:uiPriority w:val="10"/>
    <w:rPr>
      <w:rFonts w:ascii="Arial" w:hAnsi="Arial"/>
      <w:b/>
      <w:kern w:val="28"/>
      <w:sz w:val="32"/>
      <w:lang w:eastAsia="el-GR"/>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pPr>
      <w:spacing w:before="60" w:after="60" w:line="240" w:lineRule="exact"/>
    </w:pPr>
    <w:rPr>
      <w:rFonts w:ascii="Verdana" w:eastAsia="Calibri" w:hAnsi="Verdana"/>
      <w:sz w:val="20"/>
      <w:szCs w:val="22"/>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Heading2"/>
    <w:next w:val="Text3"/>
    <w:qFormat/>
    <w:pPr>
      <w:numPr>
        <w:ilvl w:val="2"/>
      </w:numPr>
      <w:tabs>
        <w:tab w:val="clear" w:pos="1920"/>
        <w:tab w:val="num" w:pos="567"/>
      </w:tabs>
      <w:ind w:hanging="1920"/>
      <w:outlineLvl w:val="2"/>
    </w:pPr>
    <w:rPr>
      <w:b w:val="0"/>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uiPriority w:val="99"/>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el-GR"/>
    </w:rPr>
  </w:style>
  <w:style w:type="character" w:customStyle="1" w:styleId="DateChar">
    <w:name w:val="Date Char"/>
    <w:basedOn w:val="DefaultParagraphFont"/>
    <w:link w:val="Date"/>
    <w:uiPriority w:val="99"/>
    <w:locked/>
    <w:rPr>
      <w:sz w:val="24"/>
      <w:lang w:eastAsia="el-GR"/>
    </w:rPr>
  </w:style>
  <w:style w:type="character" w:customStyle="1" w:styleId="SignatureChar">
    <w:name w:val="Signature Char"/>
    <w:basedOn w:val="DefaultParagraphFont"/>
    <w:link w:val="Signature"/>
    <w:uiPriority w:val="99"/>
    <w:locked/>
    <w:rPr>
      <w:sz w:val="24"/>
      <w:lang w:eastAsia="el-GR"/>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el-GR"/>
    </w:rPr>
  </w:style>
  <w:style w:type="table" w:styleId="LightList">
    <w:name w:val="Light List"/>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el-GR"/>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l-G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l-GR"/>
    </w:rPr>
  </w:style>
  <w:style w:type="character" w:customStyle="1" w:styleId="CommentSubjectChar">
    <w:name w:val="Comment Subject Char"/>
    <w:basedOn w:val="CommentTextChar"/>
    <w:link w:val="CommentSubject"/>
    <w:uiPriority w:val="99"/>
    <w:semiHidden/>
    <w:rPr>
      <w:b/>
      <w:bCs/>
      <w:lang w:eastAsia="el-GR"/>
    </w:rPr>
  </w:style>
  <w:style w:type="paragraph" w:styleId="Revision">
    <w:name w:val="Revision"/>
    <w:hidden/>
    <w:uiPriority w:val="99"/>
    <w:semiHidden/>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
    <w:uiPriority w:val="99"/>
    <w:qFormat/>
    <w:pPr>
      <w:spacing w:after="120" w:line="256" w:lineRule="auto"/>
    </w:pPr>
    <w:rPr>
      <w:rFonts w:asciiTheme="minorHAnsi" w:eastAsiaTheme="minorHAnsi" w:hAnsiTheme="minorHAnsi" w:cstheme="minorBidi"/>
      <w:sz w:val="20"/>
      <w:szCs w:val="22"/>
    </w:rPr>
  </w:style>
  <w:style w:type="character" w:customStyle="1" w:styleId="Bullet1Char">
    <w:name w:val="Bullet 1 Char"/>
    <w:basedOn w:val="DefaultParagraphFont"/>
    <w:link w:val="Bullet1"/>
    <w:locked/>
  </w:style>
  <w:style w:type="paragraph" w:customStyle="1" w:styleId="Bullet1">
    <w:name w:val="Bullet 1"/>
    <w:basedOn w:val="BodyText0"/>
    <w:link w:val="Bullet1Char"/>
    <w:qFormat/>
    <w:pPr>
      <w:numPr>
        <w:numId w:val="23"/>
      </w:numPr>
      <w:tabs>
        <w:tab w:val="num" w:pos="360"/>
        <w:tab w:val="num" w:pos="1492"/>
      </w:tabs>
      <w:spacing w:after="80"/>
      <w:ind w:left="964" w:hanging="284"/>
    </w:pPr>
    <w:rPr>
      <w:rFonts w:ascii="Times New Roman" w:eastAsia="Times New Roman" w:hAnsi="Times New Roman" w:cs="Times New Roman"/>
      <w:szCs w:val="20"/>
    </w:rPr>
  </w:style>
  <w:style w:type="character" w:customStyle="1" w:styleId="BodyTextChar">
    <w:name w:val="BodyText Char"/>
    <w:basedOn w:val="DefaultParagraphFont"/>
    <w:link w:val="BodyText0"/>
    <w:uiPriority w:val="99"/>
    <w:locked/>
    <w:rPr>
      <w:rFonts w:asciiTheme="minorHAnsi" w:eastAsiaTheme="minorHAnsi" w:hAnsiTheme="minorHAnsi" w:cstheme="minorBidi"/>
      <w:szCs w:val="22"/>
      <w:lang w:eastAsia="el-GR"/>
    </w:rPr>
  </w:style>
  <w:style w:type="character" w:customStyle="1" w:styleId="Text1Char">
    <w:name w:val="Text 1 Char"/>
    <w:link w:val="Text1"/>
    <w:rPr>
      <w:sz w:val="24"/>
      <w:lang w:eastAsia="el-GR"/>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customStyle="1" w:styleId="PartTitle">
    <w:name w:val="PartTitle"/>
    <w:basedOn w:val="Normal"/>
    <w:next w:val="ChapterTitle"/>
    <w:pPr>
      <w:keepNext/>
      <w:pageBreakBefore/>
      <w:spacing w:after="480"/>
      <w:jc w:val="center"/>
    </w:pPr>
    <w:rPr>
      <w:b/>
      <w:sz w:val="36"/>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itleChar">
    <w:name w:val="Title Char"/>
    <w:link w:val="Title"/>
    <w:uiPriority w:val="10"/>
    <w:rPr>
      <w:rFonts w:ascii="Arial" w:hAnsi="Arial"/>
      <w:b/>
      <w:kern w:val="28"/>
      <w:sz w:val="32"/>
      <w:lang w:eastAsia="el-GR"/>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pPr>
      <w:spacing w:before="60" w:after="60" w:line="240" w:lineRule="exact"/>
    </w:pPr>
    <w:rPr>
      <w:rFonts w:ascii="Verdana" w:eastAsia="Calibri" w:hAnsi="Verdana"/>
      <w:sz w:val="20"/>
      <w:szCs w:val="22"/>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c.europa.eu/DocsRoom/documents/17963/attachments/1/translations/en/renditions/nativ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D226-3628-44CC-B865-3AA1201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8</TotalTime>
  <Pages>9</Pages>
  <Words>2879</Words>
  <Characters>18404</Characters>
  <Application>Microsoft Office Word</Application>
  <DocSecurity>0</DocSecurity>
  <PresentationFormat>Microsoft Word 14.0</PresentationFormat>
  <Lines>153</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BARTH Carmen (SG)</cp:lastModifiedBy>
  <cp:revision>20</cp:revision>
  <cp:lastPrinted>2017-01-06T11:50:00Z</cp:lastPrinted>
  <dcterms:created xsi:type="dcterms:W3CDTF">2017-11-15T08:36:00Z</dcterms:created>
  <dcterms:modified xsi:type="dcterms:W3CDTF">2018-01-23T12:42:00Z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Hans Ingels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