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7" w:rsidRDefault="00F00E80" w:rsidP="00F00E80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58C208C-1E6E-441F-BB2A-DE19BE66BBDA" style="width:450.75pt;height:488.6pt">
            <v:imagedata r:id="rId11" o:title=""/>
          </v:shape>
        </w:pict>
      </w:r>
    </w:p>
    <w:bookmarkEnd w:id="0"/>
    <w:p w:rsidR="00282887" w:rsidRDefault="00282887">
      <w:pPr>
        <w:pStyle w:val="Pagedecouverture"/>
        <w:rPr>
          <w:rFonts w:ascii="Tahoma" w:hAnsi="Tahoma" w:cs="Tahoma"/>
          <w:noProof/>
          <w:sz w:val="20"/>
          <w:szCs w:val="20"/>
        </w:rPr>
        <w:sectPr w:rsidR="00282887" w:rsidSect="00F00E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282887" w:rsidRDefault="00F00E80">
            <w:pPr>
              <w:spacing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lastRenderedPageBreak/>
              <w:t>Súhrnný prehľad</w:t>
            </w:r>
          </w:p>
        </w:tc>
      </w:tr>
      <w:tr w:rsidR="002828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Posúdenie vplyvu týkajúce sa návrhu nariadenia Európskeho parlamentu a Rady o vzájomnom uznávaní tovaru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282887" w:rsidRDefault="00F00E80"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A. Potreba konať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Prečo? Aký problém sa rieši?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V hodnotení sa dospelo k záveru, že vzájomné uznávanie nefunguje tak, ako by malo, a to z dôvodu nedostatočnej informovanosti, právnej neistoty, nedostatku účinnej komunikácie a spolupráce medzi zainteresovanými stranami. Hos</w:t>
            </w:r>
            <w:r>
              <w:rPr>
                <w:rFonts w:ascii="Tahoma" w:hAnsi="Tahoma"/>
                <w:noProof/>
                <w:sz w:val="20"/>
              </w:rPr>
              <w:t>podárske subjekty nevyužívajú svoje existujúce práva v plnej miere. Vnútroštátne orgány strácajú čas a plytvajú zdrojmi. Spotrebitelia sú vystavení vyšším cenám a užšiemu výberu. Tento problém bude pravdepodobne naďalej pretrvávať, ak sa na úrovni EÚ nepri</w:t>
            </w:r>
            <w:r>
              <w:rPr>
                <w:rFonts w:ascii="Tahoma" w:hAnsi="Tahoma"/>
                <w:noProof/>
                <w:sz w:val="20"/>
              </w:rPr>
              <w:t>jme žiadne opatrenie.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Čo sa od tejto iniciatívy očakáva?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Zatiaľ čo očakávané prínosy nie je možné presne odhadnúť, z nedávnej štúdie na tému „Náklady v prípade nekonania na úrovni EÚ v oblasti jednotného trhu“ vyplýva, že odstránenie obchodných prekážok by mohlo viesť k zvýšeniu obchodu v rámci EÚ o viac ako 100</w:t>
            </w:r>
            <w:r>
              <w:rPr>
                <w:rFonts w:ascii="Tahoma" w:hAnsi="Tahoma"/>
                <w:noProof/>
                <w:sz w:val="20"/>
              </w:rPr>
              <w:t xml:space="preserve"> miliárd EUR ročne. Pojem obchodné prekážky v tejto štúdii je širší, ako je vzájomné uznávanie, ale poskytuje odhad očakávaných prínosov.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Aká je pridaná hodnota opatrení na úrovni EÚ?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So spoločným súborom pravidiel sa zabezpečuje rovnaké zaobchádzanie a umožňuje jednotné uplatňovanie vzájomného uznávania. Opatrenia na úrovni jednotlivých členských štátov by zabránili používaniu zásady v 28 rôznych a potenciálne protichodných vnútroštátn</w:t>
            </w:r>
            <w:r>
              <w:rPr>
                <w:rFonts w:ascii="Tahoma" w:hAnsi="Tahoma"/>
                <w:noProof/>
                <w:sz w:val="20"/>
              </w:rPr>
              <w:t xml:space="preserve">ych postupoch. 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282887" w:rsidRDefault="00F00E80"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B. Riešenia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Aké legislatívne a nelegislatívne možnosti politiky sa zvažovali? Je niektorá z možností uprednostňovaná? Prečo?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Posudzované možnosti politiky sú tieto:</w:t>
            </w:r>
          </w:p>
          <w:p w:rsidR="00282887" w:rsidRDefault="00F00E80"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/>
                <w:noProof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t>Možnosť č. 2 – právne nezáväzné opatrenia</w:t>
            </w:r>
          </w:p>
          <w:p w:rsidR="00282887" w:rsidRDefault="00F00E80"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/>
                <w:noProof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Možnosť č. 3 – minimálne </w:t>
            </w:r>
            <w:r>
              <w:rPr>
                <w:rFonts w:ascii="Tahoma" w:hAnsi="Tahoma"/>
                <w:noProof/>
                <w:sz w:val="20"/>
              </w:rPr>
              <w:t>legislatívne zmeny</w:t>
            </w:r>
          </w:p>
          <w:p w:rsidR="00282887" w:rsidRDefault="00F00E80"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/>
                <w:noProof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t>Možnosť č. 4 – komplexné legislatívne zmeny</w:t>
            </w:r>
          </w:p>
          <w:p w:rsidR="00282887" w:rsidRDefault="00F00E80"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Možnosť č. 5 – dobrovoľné predchádzajúce povolenia uvedenia na trh</w:t>
            </w:r>
          </w:p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Uprednostňovanou možnosťou je možnosť č. 4, ktorá je doplnená možnosťou č. 2.</w:t>
            </w:r>
          </w:p>
        </w:tc>
      </w:tr>
      <w:tr w:rsidR="00282887">
        <w:tc>
          <w:tcPr>
            <w:tcW w:w="9747" w:type="dxa"/>
            <w:shd w:val="clear" w:color="auto" w:fill="CCCCCC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Kto podporuje ktorú možnosť?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82887">
        <w:tc>
          <w:tcPr>
            <w:tcW w:w="9747" w:type="dxa"/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/>
                <w:noProof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Možnosť č. 2 </w:t>
            </w:r>
            <w:r>
              <w:rPr>
                <w:rFonts w:ascii="Tahoma" w:hAnsi="Tahoma"/>
                <w:noProof/>
                <w:sz w:val="20"/>
              </w:rPr>
              <w:t>podporili všetci, ak sa doplní inými nástrojmi.</w:t>
            </w:r>
          </w:p>
          <w:p w:rsidR="00282887" w:rsidRDefault="00F00E80">
            <w:pPr>
              <w:spacing w:after="60"/>
              <w:jc w:val="both"/>
              <w:rPr>
                <w:rFonts w:ascii="Tahoma" w:hAnsi="Tahoma"/>
                <w:noProof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t>Možnosť č. 3 považovali všetci za potenciálne účinnú, ale v menšom rozsahu ako iné možnosti.</w:t>
            </w:r>
          </w:p>
          <w:p w:rsidR="00282887" w:rsidRDefault="00F00E80">
            <w:pPr>
              <w:spacing w:after="60"/>
              <w:jc w:val="both"/>
              <w:rPr>
                <w:rFonts w:ascii="Tahoma" w:hAnsi="Tahoma"/>
                <w:noProof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t>Možnosť č. 4 považovali všetci za najúčinnejšiu.</w:t>
            </w:r>
          </w:p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Dosiahol sa konsenzus, pokiaľ ide o námietky proti možnosti č. 5.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CCCCCC"/>
          </w:tcPr>
          <w:p w:rsidR="00282887" w:rsidRDefault="00F00E80"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C. Vplyvy uprednostňovanej možnosti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Aké sú výhody uprednostňovanej možnosti (prípadne hlavných možností, ak sa žiadna konkrétna možnosť neuprednostňuje)?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Možnosť č. 4 v spojení s možnosťou č. 2 zlepší povedomie a znalosti o vzájomnom uznávaní, čo zároveň zaručuje právnu istotu pri uplatňovaní tejto zásady a zlepšenie administratívnej spolupráce medzi členskými štátmi.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Aké sú náklady na uprednostňovanú mož</w:t>
            </w:r>
            <w:r>
              <w:rPr>
                <w:rFonts w:ascii="Tahoma" w:hAnsi="Tahoma"/>
                <w:b/>
                <w:noProof/>
                <w:sz w:val="20"/>
              </w:rPr>
              <w:t>nosť (prípadne na hlavné možnosti, ak sa žiadna konkrétna možnosť neuprednostňuje)?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Náklady pre podniky sú minimálne. Členské štáty a Komisia budú znášať určité nevyhnutné náklady, ktoré sa odhadujú takto: organizácia a koordinácia informačnej a odbornej</w:t>
            </w:r>
            <w:r>
              <w:rPr>
                <w:rFonts w:ascii="Tahoma" w:hAnsi="Tahoma"/>
                <w:noProof/>
                <w:sz w:val="20"/>
              </w:rPr>
              <w:t xml:space="preserve"> prípravy (500 000 EUR), program výmeny úradníkov (170 000 EUR ročne), zrýchlené odvolacie konanie (3 až 4 ekvivalenty pracovných miest na plný úväzok v Komisii, 225 000 – 300 000 EUR ročne), väčšia administratívna spolupráca (1 200 000 EUR ročne).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Aký b</w:t>
            </w:r>
            <w:r>
              <w:rPr>
                <w:rFonts w:ascii="Tahoma" w:hAnsi="Tahoma"/>
                <w:b/>
                <w:noProof/>
                <w:sz w:val="20"/>
              </w:rPr>
              <w:t xml:space="preserve">ude vplyv na podniky, MSP a mikropodniky?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Na mikropodniky, malé a stredné podniky bude mať iniciatíva pozitívny vplyv bez toho, aby im vznikli dodatočné náklady.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Očakáva sa významný vplyv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na štátne rozpočty a verejnú správu?</w:t>
            </w:r>
          </w:p>
        </w:tc>
      </w:tr>
      <w:tr w:rsidR="00282887">
        <w:tc>
          <w:tcPr>
            <w:tcW w:w="9747" w:type="dxa"/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lastRenderedPageBreak/>
              <w:t xml:space="preserve">Dotknuté môžu byť kontaktné miesta pre výrobky, pretože na im zverené úlohy budú potrebné primerané zdroje.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Očakávajú sa iné významné vplyvy?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Podniky, najmä inovatívne, budú mať viac trhových príležitostí. 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C0C0C0"/>
          </w:tcPr>
          <w:p w:rsidR="00282887" w:rsidRDefault="00F00E80">
            <w:pPr>
              <w:spacing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0"/>
              </w:rPr>
              <w:t>D. Nadväzné opatrenia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E6E6E6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Kedy sa táto politika preskúma? </w:t>
            </w:r>
          </w:p>
        </w:tc>
      </w:tr>
      <w:tr w:rsidR="0028288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82887" w:rsidRDefault="00F00E80">
            <w:pPr>
              <w:spacing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Komisia podá správu Európskemu parlamentu a Rade päť rokov po nadobudnutí účinnosti nového nariadenia a následne každých päť rokov.</w:t>
            </w:r>
          </w:p>
        </w:tc>
      </w:tr>
    </w:tbl>
    <w:p w:rsidR="00282887" w:rsidRDefault="00282887">
      <w:pPr>
        <w:rPr>
          <w:rFonts w:ascii="Tahoma" w:hAnsi="Tahoma" w:cs="Tahoma"/>
          <w:noProof/>
          <w:sz w:val="20"/>
          <w:szCs w:val="20"/>
        </w:rPr>
      </w:pPr>
    </w:p>
    <w:sectPr w:rsidR="002828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87" w:rsidRDefault="00F00E80">
      <w:r>
        <w:separator/>
      </w:r>
    </w:p>
  </w:endnote>
  <w:endnote w:type="continuationSeparator" w:id="0">
    <w:p w:rsidR="00282887" w:rsidRDefault="00F0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0" w:rsidRPr="00F00E80" w:rsidRDefault="00F00E80" w:rsidP="00F00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0" w:rsidRPr="00F00E80" w:rsidRDefault="00F00E80" w:rsidP="00F00E80">
    <w:pPr>
      <w:pStyle w:val="FooterCoverPage"/>
      <w:rPr>
        <w:rFonts w:ascii="Arial" w:hAnsi="Arial" w:cs="Arial"/>
        <w:b/>
        <w:sz w:val="48"/>
      </w:rPr>
    </w:pPr>
    <w:r w:rsidRPr="00F00E80">
      <w:rPr>
        <w:rFonts w:ascii="Arial" w:hAnsi="Arial" w:cs="Arial"/>
        <w:b/>
        <w:sz w:val="48"/>
      </w:rPr>
      <w:t>SK</w:t>
    </w:r>
    <w:r w:rsidRPr="00F00E80">
      <w:rPr>
        <w:rFonts w:ascii="Arial" w:hAnsi="Arial" w:cs="Arial"/>
        <w:b/>
        <w:sz w:val="48"/>
      </w:rPr>
      <w:tab/>
    </w:r>
    <w:r w:rsidRPr="00F00E80">
      <w:rPr>
        <w:rFonts w:ascii="Arial" w:hAnsi="Arial" w:cs="Arial"/>
        <w:b/>
        <w:sz w:val="48"/>
      </w:rPr>
      <w:tab/>
    </w:r>
    <w:r w:rsidRPr="00F00E80">
      <w:tab/>
    </w:r>
    <w:proofErr w:type="spellStart"/>
    <w:r w:rsidRPr="00F00E80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0" w:rsidRPr="00F00E80" w:rsidRDefault="00F00E80" w:rsidP="00F00E80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87" w:rsidRDefault="0028288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887" w:rsidRDefault="00F00E80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87" w:rsidRDefault="0028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87" w:rsidRDefault="00F00E80">
      <w:r>
        <w:separator/>
      </w:r>
    </w:p>
  </w:footnote>
  <w:footnote w:type="continuationSeparator" w:id="0">
    <w:p w:rsidR="00282887" w:rsidRDefault="00F0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0" w:rsidRPr="00F00E80" w:rsidRDefault="00F00E80" w:rsidP="00F0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0" w:rsidRPr="00F00E80" w:rsidRDefault="00F00E80" w:rsidP="00F00E80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0" w:rsidRPr="00F00E80" w:rsidRDefault="00F00E80" w:rsidP="00F00E80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87" w:rsidRDefault="0028288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87" w:rsidRDefault="0028288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87" w:rsidRDefault="00282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216"/>
    <w:multiLevelType w:val="hybridMultilevel"/>
    <w:tmpl w:val="2A961AD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Sprievodný dokument"/>
    <w:docVar w:name="LW_CORRIGENDUM" w:val="CORRIGENDUM :_x000b_Document SWD(2017) 472 final of 19.12.2017 is corrected in all language versions except EN._x000b_The words &quot;lawfully marketed in another Member State&quot; were missing in the title._x000b_The text shall read as follows:"/>
    <w:docVar w:name="LW_COVERPAGE_EXISTS" w:val="True"/>
    <w:docVar w:name="LW_COVERPAGE_GUID" w:val="758C208C-1E6E-441F-BB2A-DE19BE66BBDA"/>
    <w:docVar w:name="LW_COVERPAGE_TYPE" w:val="1"/>
    <w:docVar w:name="LW_CROSSREFERENCE" w:val="{COM(2017) 796 final}_x000d__x000a_{SWD(2017) 471 final}_x000d__x000a_{SWD(2017) 475 final}_x000d__x000a_{SWD(2017) 476 final}_x000d__x000a_{SWD(2017) 477 final}"/>
    <w:docVar w:name="LW_DocType" w:val="NORMAL"/>
    <w:docVar w:name="LW_EMISSION" w:val="30. 1. 2018"/>
    <w:docVar w:name="LW_EMISSION_ISODATE" w:val="2018-01-30"/>
    <w:docVar w:name="LW_EMISSION_LOCATION" w:val="BRX"/>
    <w:docVar w:name="LW_EMISSION_PREFIX" w:val="V Bruseli"/>
    <w:docVar w:name="LW_EMISSION_SUFFIX" w:val="&lt;EMPTY&gt;"/>
    <w:docVar w:name="LW_ID_DOCTYPE_NONLW" w:val="CP-02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o vzájomnom uznávaní tovaru, ktorý je v súlade s právnymi predpismi uvedený na trh v inom \u269?lenskom \u353?táte"/>
    <w:docVar w:name="LW_PART_NBR" w:val="1"/>
    <w:docVar w:name="LW_PART_NBR_TOTAL" w:val="1"/>
    <w:docVar w:name="LW_REF.INST.NEW" w:val="SWD"/>
    <w:docVar w:name="LW_REF.INST.NEW_ADOPTED" w:val="final"/>
    <w:docVar w:name="LW_REF.INST.NEW_TEXT" w:val="(2017) 4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RACOVNÝ DOKUMENT ÚTVAROV KOMISIE_x000b__x000b_ZHRNUTIE POSÚDENIA VPLYVU_x000b_"/>
    <w:docVar w:name="LW_TYPEACTEPRINCIPAL.CP" w:val="k návrhu nariadenia Európskeho parlamentu a Rady"/>
  </w:docVars>
  <w:rsids>
    <w:rsidRoot w:val="00282887"/>
    <w:rsid w:val="00282887"/>
    <w:rsid w:val="00F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7EFD9B919FF4BA61E610B5F3FFB70" ma:contentTypeVersion="1" ma:contentTypeDescription="Create a new document." ma:contentTypeScope="" ma:versionID="aa558f749e9fe6460ed6440df957c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D33F7-210E-460D-B1EA-C6B5F230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228E3-FEEC-429F-8C93-CFCC37DE565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3201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BARTH Carmen (SG)</cp:lastModifiedBy>
  <cp:revision>35</cp:revision>
  <cp:lastPrinted>2017-12-11T15:37:00Z</cp:lastPrinted>
  <dcterms:created xsi:type="dcterms:W3CDTF">2017-12-11T15:37:00Z</dcterms:created>
  <dcterms:modified xsi:type="dcterms:W3CDTF">2018-01-30T09:41:00Z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0x0101007527EFD9B919FF4BA61E610B5F3FFB70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</Properties>
</file>