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C6" w:rsidRDefault="00CE5F4A" w:rsidP="00CE5F4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D0493A6-18F5-4712-8CCF-8EF716CF3CDB" style="width:450.75pt;height:488.6pt">
            <v:imagedata r:id="rId11" o:title=""/>
          </v:shape>
        </w:pict>
      </w:r>
    </w:p>
    <w:bookmarkEnd w:id="0"/>
    <w:p w:rsidR="00E275C6" w:rsidRDefault="00E275C6">
      <w:pPr>
        <w:pStyle w:val="Pagedecouverture"/>
        <w:rPr>
          <w:rFonts w:ascii="Tahoma" w:hAnsi="Tahoma" w:cs="Tahoma"/>
          <w:noProof/>
          <w:sz w:val="20"/>
          <w:szCs w:val="20"/>
        </w:rPr>
        <w:sectPr w:rsidR="00E275C6" w:rsidSect="00CE5F4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747" w:type="dxa"/>
        <w:tblLook w:val="01E0" w:firstRow="1" w:lastRow="1" w:firstColumn="1" w:lastColumn="1" w:noHBand="0" w:noVBand="0"/>
      </w:tblPr>
      <w:tblGrid>
        <w:gridCol w:w="9747"/>
      </w:tblGrid>
      <w:tr w:rsidR="00E275C6">
        <w:tc>
          <w:tcPr>
            <w:tcW w:w="9747" w:type="dxa"/>
            <w:tcBorders>
              <w:bottom w:val="single" w:sz="4" w:space="0" w:color="auto"/>
            </w:tcBorders>
            <w:shd w:val="clear" w:color="auto" w:fill="CCCCCC"/>
          </w:tcPr>
          <w:p w:rsidR="00E275C6" w:rsidRDefault="00CE5F4A">
            <w:pPr>
              <w:spacing w:after="60"/>
              <w:jc w:val="center"/>
              <w:rPr>
                <w:rFonts w:ascii="Tahoma" w:hAnsi="Tahoma" w:cs="Tahoma"/>
                <w:b/>
                <w:noProof/>
                <w:sz w:val="22"/>
                <w:szCs w:val="22"/>
              </w:rPr>
            </w:pPr>
            <w:r>
              <w:rPr>
                <w:rFonts w:ascii="Tahoma" w:hAnsi="Tahoma"/>
                <w:b/>
                <w:noProof/>
                <w:sz w:val="22"/>
              </w:rPr>
              <w:lastRenderedPageBreak/>
              <w:t>Samenvatting</w:t>
            </w:r>
          </w:p>
        </w:tc>
      </w:tr>
      <w:tr w:rsidR="00E275C6">
        <w:tc>
          <w:tcPr>
            <w:tcW w:w="9747" w:type="dxa"/>
            <w:tcBorders>
              <w:top w:val="single" w:sz="4" w:space="0" w:color="auto"/>
              <w:left w:val="single" w:sz="4" w:space="0" w:color="auto"/>
              <w:bottom w:val="single" w:sz="4" w:space="0" w:color="auto"/>
              <w:right w:val="single" w:sz="4" w:space="0" w:color="auto"/>
            </w:tcBorders>
            <w:shd w:val="clear" w:color="auto" w:fill="4F81BD" w:themeFill="accent1"/>
          </w:tcPr>
          <w:p w:rsidR="00E275C6" w:rsidRDefault="00CE5F4A">
            <w:pPr>
              <w:spacing w:after="60"/>
              <w:jc w:val="both"/>
              <w:rPr>
                <w:rFonts w:ascii="Tahoma" w:hAnsi="Tahoma" w:cs="Tahoma"/>
                <w:b/>
                <w:noProof/>
                <w:sz w:val="20"/>
                <w:szCs w:val="20"/>
              </w:rPr>
            </w:pPr>
            <w:r>
              <w:rPr>
                <w:rFonts w:ascii="Tahoma" w:hAnsi="Tahoma"/>
                <w:noProof/>
                <w:color w:val="FFFFFF" w:themeColor="background1"/>
                <w:sz w:val="20"/>
              </w:rPr>
              <w:t>Effectbeoordeling over het voorstel voor een verordening van het Europees Parlement en de Raad inzake wederzijdse erkenning van goederen</w:t>
            </w:r>
          </w:p>
        </w:tc>
      </w:tr>
      <w:tr w:rsidR="00E275C6">
        <w:tc>
          <w:tcPr>
            <w:tcW w:w="9747" w:type="dxa"/>
            <w:tcBorders>
              <w:bottom w:val="single" w:sz="4" w:space="0" w:color="auto"/>
            </w:tcBorders>
            <w:shd w:val="clear" w:color="auto" w:fill="CCCCCC"/>
          </w:tcPr>
          <w:p w:rsidR="00E275C6" w:rsidRDefault="00CE5F4A">
            <w:pPr>
              <w:spacing w:after="60"/>
              <w:jc w:val="center"/>
              <w:rPr>
                <w:rFonts w:ascii="Tahoma" w:hAnsi="Tahoma" w:cs="Tahoma"/>
                <w:b/>
                <w:noProof/>
                <w:sz w:val="20"/>
                <w:szCs w:val="20"/>
              </w:rPr>
            </w:pPr>
            <w:r>
              <w:rPr>
                <w:rFonts w:ascii="Tahoma" w:hAnsi="Tahoma"/>
                <w:b/>
                <w:noProof/>
                <w:sz w:val="20"/>
              </w:rPr>
              <w:t>A. Behoefte aan actie</w:t>
            </w:r>
          </w:p>
        </w:tc>
      </w:tr>
      <w:tr w:rsidR="00E275C6">
        <w:tc>
          <w:tcPr>
            <w:tcW w:w="9747" w:type="dxa"/>
            <w:tcBorders>
              <w:bottom w:val="single" w:sz="4" w:space="0" w:color="auto"/>
            </w:tcBorders>
            <w:shd w:val="clear" w:color="auto" w:fill="E0E0E0"/>
          </w:tcPr>
          <w:p w:rsidR="00E275C6" w:rsidRDefault="00CE5F4A">
            <w:pPr>
              <w:spacing w:after="60"/>
              <w:jc w:val="both"/>
              <w:rPr>
                <w:rFonts w:ascii="Tahoma" w:hAnsi="Tahoma" w:cs="Tahoma"/>
                <w:noProof/>
                <w:sz w:val="20"/>
                <w:szCs w:val="20"/>
              </w:rPr>
            </w:pPr>
            <w:r>
              <w:rPr>
                <w:rFonts w:ascii="Tahoma" w:hAnsi="Tahoma"/>
                <w:b/>
                <w:noProof/>
                <w:sz w:val="20"/>
              </w:rPr>
              <w:t xml:space="preserve">Waarom? Wat is het probleem?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Naar aanleiding van de evaluatie werd geconcludeerd dat wederzijdse erkenning, als gevolg van een gebrek aan bewustzijn, rechtsonzekerheid en een gebrek aan efficiënte communicatie en samenwerking tusse</w:t>
            </w:r>
            <w:r>
              <w:rPr>
                <w:rFonts w:ascii="Tahoma" w:hAnsi="Tahoma"/>
                <w:noProof/>
                <w:sz w:val="20"/>
              </w:rPr>
              <w:t xml:space="preserve">n de betrokkenen, niet optimaal functioneert. Marktdeelnemers kunnen hun huidige rechten niet volledig uitoefenen. Nationale autoriteiten verliezen tijd en middelen. Consumenten worden geconfronteerd met hogere prijzen en minder keuzemogelijkheden. Als er </w:t>
            </w:r>
            <w:r>
              <w:rPr>
                <w:rFonts w:ascii="Tahoma" w:hAnsi="Tahoma"/>
                <w:noProof/>
                <w:sz w:val="20"/>
              </w:rPr>
              <w:t>op EU-niveau geen maatregelen worden genomen, zal het probleem naar verwachting blijven voortbestaan.</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 xml:space="preserve">Wat moet met dit initiatief worden bereikt?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De verwachte baten kunnen niet geheel nauwkeurig worden geraamd, maar in een recent onderzoek naar de "kosten van een niet-verenigd Europa voor de eengemaakte markt" werd aangetoond dat een vermindering van de handelsbarrières zou kunnen leiden tot een toe</w:t>
            </w:r>
            <w:r>
              <w:rPr>
                <w:rFonts w:ascii="Tahoma" w:hAnsi="Tahoma"/>
                <w:noProof/>
                <w:sz w:val="20"/>
              </w:rPr>
              <w:t xml:space="preserve">name van de handel binnen de EU van meer dan 100 miljard EUR per jaar. Het in dit onderzoek gebruikte begrip "handelsbarrières" is breder en bestrijkt meer dan alleen wederzijdse erkenning, maar het maakt wel een raming mogelijk van de verwachte baten. </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W</w:t>
            </w:r>
            <w:r>
              <w:rPr>
                <w:rFonts w:ascii="Tahoma" w:hAnsi="Tahoma"/>
                <w:b/>
                <w:noProof/>
                <w:sz w:val="20"/>
              </w:rPr>
              <w:t>at is de meerwaarde van maatregelen op EU-niveau?</w:t>
            </w:r>
            <w:r>
              <w:rPr>
                <w:rFonts w:ascii="Tahoma" w:hAnsi="Tahoma"/>
                <w:noProof/>
                <w:sz w:val="20"/>
              </w:rPr>
              <w:t xml:space="preserve">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Een gemeenschappelijk pakket regels garandeert gelijke behandeling en maakt een samenhangende toepassing van wederzijdse erkenning mogelijk. Als de lidstaten afzonderlijk maatregelen zouden nemen, zou het beginsel worden afgebroken tot 28 verschillende en </w:t>
            </w:r>
            <w:r>
              <w:rPr>
                <w:rFonts w:ascii="Tahoma" w:hAnsi="Tahoma"/>
                <w:noProof/>
                <w:sz w:val="20"/>
              </w:rPr>
              <w:t xml:space="preserve">potentieel tegenstrijdige nationale procedures.  </w:t>
            </w:r>
          </w:p>
        </w:tc>
      </w:tr>
      <w:tr w:rsidR="00E275C6">
        <w:tc>
          <w:tcPr>
            <w:tcW w:w="9747" w:type="dxa"/>
            <w:tcBorders>
              <w:bottom w:val="single" w:sz="4" w:space="0" w:color="auto"/>
            </w:tcBorders>
            <w:shd w:val="clear" w:color="auto" w:fill="CCCCCC"/>
          </w:tcPr>
          <w:p w:rsidR="00E275C6" w:rsidRDefault="00CE5F4A">
            <w:pPr>
              <w:spacing w:after="60"/>
              <w:jc w:val="center"/>
              <w:rPr>
                <w:rFonts w:ascii="Tahoma" w:hAnsi="Tahoma" w:cs="Tahoma"/>
                <w:b/>
                <w:noProof/>
                <w:sz w:val="20"/>
                <w:szCs w:val="20"/>
              </w:rPr>
            </w:pPr>
            <w:r>
              <w:rPr>
                <w:rFonts w:ascii="Tahoma" w:hAnsi="Tahoma"/>
                <w:b/>
                <w:noProof/>
                <w:sz w:val="20"/>
              </w:rPr>
              <w:t>B. Oplossingen</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Welke wetgevende en niet-wetgevende beleidsmaatregelen zijn overwogen? Heeft een bepaalde optie de voorkeur? Waarom?</w:t>
            </w:r>
            <w:r>
              <w:rPr>
                <w:rFonts w:ascii="Tahoma" w:hAnsi="Tahoma"/>
                <w:noProof/>
                <w:sz w:val="20"/>
              </w:rPr>
              <w:t xml:space="preserve">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De beoordeelde beleidsopties waren:</w:t>
            </w:r>
          </w:p>
          <w:p w:rsidR="00E275C6" w:rsidRDefault="00CE5F4A">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optie 2 – "soft law"-maatregelen; </w:t>
            </w:r>
          </w:p>
          <w:p w:rsidR="00E275C6" w:rsidRDefault="00CE5F4A">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optie 3 – minimale wetgevingswijzigingen; </w:t>
            </w:r>
          </w:p>
          <w:p w:rsidR="00E275C6" w:rsidRDefault="00CE5F4A">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 xml:space="preserve">optie 4 – ingrijpende wetgevingswijzigingen; </w:t>
            </w:r>
          </w:p>
          <w:p w:rsidR="00E275C6" w:rsidRDefault="00CE5F4A">
            <w:pPr>
              <w:pStyle w:val="ListParagraph"/>
              <w:numPr>
                <w:ilvl w:val="0"/>
                <w:numId w:val="1"/>
              </w:numPr>
              <w:spacing w:after="60"/>
              <w:ind w:left="284" w:hanging="284"/>
              <w:contextualSpacing w:val="0"/>
              <w:jc w:val="both"/>
              <w:rPr>
                <w:rFonts w:ascii="Tahoma" w:hAnsi="Tahoma" w:cs="Tahoma"/>
                <w:noProof/>
                <w:sz w:val="20"/>
                <w:szCs w:val="20"/>
              </w:rPr>
            </w:pPr>
            <w:r>
              <w:rPr>
                <w:rFonts w:ascii="Tahoma" w:hAnsi="Tahoma"/>
                <w:noProof/>
                <w:sz w:val="20"/>
              </w:rPr>
              <w:t>optie 5 – vrijwillige voorafgaande toestemming voor het in de handel brengen.</w:t>
            </w:r>
          </w:p>
          <w:p w:rsidR="00E275C6" w:rsidRDefault="00CE5F4A">
            <w:pPr>
              <w:spacing w:after="60"/>
              <w:jc w:val="both"/>
              <w:rPr>
                <w:rFonts w:ascii="Tahoma" w:hAnsi="Tahoma" w:cs="Tahoma"/>
                <w:noProof/>
                <w:sz w:val="20"/>
                <w:szCs w:val="20"/>
              </w:rPr>
            </w:pPr>
            <w:r>
              <w:rPr>
                <w:rFonts w:ascii="Tahoma" w:hAnsi="Tahoma"/>
                <w:noProof/>
                <w:sz w:val="20"/>
              </w:rPr>
              <w:t>Optie 4 geniet de voorkeur, aangevuld met optie 2.</w:t>
            </w:r>
          </w:p>
        </w:tc>
      </w:tr>
      <w:tr w:rsidR="00E275C6">
        <w:tc>
          <w:tcPr>
            <w:tcW w:w="9747" w:type="dxa"/>
            <w:shd w:val="clear" w:color="auto" w:fill="CCCCCC"/>
          </w:tcPr>
          <w:p w:rsidR="00E275C6" w:rsidRDefault="00CE5F4A">
            <w:pPr>
              <w:spacing w:after="60"/>
              <w:jc w:val="both"/>
              <w:rPr>
                <w:rFonts w:ascii="Tahoma" w:hAnsi="Tahoma" w:cs="Tahoma"/>
                <w:noProof/>
                <w:sz w:val="20"/>
                <w:szCs w:val="20"/>
              </w:rPr>
            </w:pPr>
            <w:r>
              <w:rPr>
                <w:rFonts w:ascii="Tahoma" w:hAnsi="Tahoma"/>
                <w:b/>
                <w:noProof/>
                <w:sz w:val="20"/>
              </w:rPr>
              <w:t>Wie steunt welke optie?</w:t>
            </w:r>
            <w:r>
              <w:rPr>
                <w:rFonts w:ascii="Tahoma" w:hAnsi="Tahoma"/>
                <w:noProof/>
                <w:sz w:val="20"/>
              </w:rPr>
              <w:t xml:space="preserve"> </w:t>
            </w:r>
          </w:p>
        </w:tc>
      </w:tr>
      <w:tr w:rsidR="00E275C6">
        <w:tc>
          <w:tcPr>
            <w:tcW w:w="9747" w:type="dxa"/>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Optie 2 werd door iedereen gesteund, mits aangevuld met andere instrumenten. </w:t>
            </w:r>
          </w:p>
          <w:p w:rsidR="00E275C6" w:rsidRDefault="00CE5F4A">
            <w:pPr>
              <w:spacing w:after="60"/>
              <w:jc w:val="both"/>
              <w:rPr>
                <w:rFonts w:ascii="Tahoma" w:hAnsi="Tahoma" w:cs="Tahoma"/>
                <w:noProof/>
                <w:sz w:val="20"/>
                <w:szCs w:val="20"/>
              </w:rPr>
            </w:pPr>
            <w:r>
              <w:rPr>
                <w:rFonts w:ascii="Tahoma" w:hAnsi="Tahoma"/>
                <w:noProof/>
                <w:sz w:val="20"/>
              </w:rPr>
              <w:t xml:space="preserve">Optie 3 werd door iedereen als potentieel effectief beschouwd, maar in mindere mate dan de andere opties. </w:t>
            </w:r>
          </w:p>
          <w:p w:rsidR="00E275C6" w:rsidRDefault="00CE5F4A">
            <w:pPr>
              <w:spacing w:after="60"/>
              <w:jc w:val="both"/>
              <w:rPr>
                <w:rFonts w:ascii="Tahoma" w:hAnsi="Tahoma" w:cs="Tahoma"/>
                <w:noProof/>
                <w:sz w:val="20"/>
                <w:szCs w:val="20"/>
              </w:rPr>
            </w:pPr>
            <w:r>
              <w:rPr>
                <w:rFonts w:ascii="Tahoma" w:hAnsi="Tahoma"/>
                <w:noProof/>
                <w:sz w:val="20"/>
              </w:rPr>
              <w:t xml:space="preserve">Optie 4 werd door iedereen als het meest effectief beschouwd. </w:t>
            </w:r>
          </w:p>
          <w:p w:rsidR="00E275C6" w:rsidRDefault="00CE5F4A">
            <w:pPr>
              <w:spacing w:after="60"/>
              <w:jc w:val="both"/>
              <w:rPr>
                <w:rFonts w:ascii="Tahoma" w:hAnsi="Tahoma" w:cs="Tahoma"/>
                <w:noProof/>
                <w:sz w:val="20"/>
                <w:szCs w:val="20"/>
              </w:rPr>
            </w:pPr>
            <w:r>
              <w:rPr>
                <w:rFonts w:ascii="Tahoma" w:hAnsi="Tahoma"/>
                <w:noProof/>
                <w:sz w:val="20"/>
              </w:rPr>
              <w:t>Iedereen</w:t>
            </w:r>
            <w:r>
              <w:rPr>
                <w:rFonts w:ascii="Tahoma" w:hAnsi="Tahoma"/>
                <w:noProof/>
                <w:sz w:val="20"/>
              </w:rPr>
              <w:t xml:space="preserve"> was tegen optie 5.</w:t>
            </w:r>
          </w:p>
        </w:tc>
      </w:tr>
      <w:tr w:rsidR="00E275C6">
        <w:tc>
          <w:tcPr>
            <w:tcW w:w="9747" w:type="dxa"/>
            <w:tcBorders>
              <w:bottom w:val="single" w:sz="4" w:space="0" w:color="auto"/>
            </w:tcBorders>
            <w:shd w:val="clear" w:color="auto" w:fill="CCCCCC"/>
          </w:tcPr>
          <w:p w:rsidR="00E275C6" w:rsidRDefault="00CE5F4A">
            <w:pPr>
              <w:spacing w:after="60"/>
              <w:jc w:val="center"/>
              <w:rPr>
                <w:rFonts w:ascii="Tahoma" w:hAnsi="Tahoma" w:cs="Tahoma"/>
                <w:b/>
                <w:noProof/>
                <w:sz w:val="20"/>
                <w:szCs w:val="20"/>
              </w:rPr>
            </w:pPr>
            <w:r>
              <w:rPr>
                <w:rFonts w:ascii="Tahoma" w:hAnsi="Tahoma"/>
                <w:b/>
                <w:noProof/>
                <w:sz w:val="20"/>
              </w:rPr>
              <w:t>C. Effecten van de voorkeursoptie</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Wat zijn de voordelen van de voorkeursoptie (indien van toepassing, anders van de belangrijkste opties)?</w:t>
            </w:r>
            <w:r>
              <w:rPr>
                <w:rFonts w:ascii="Tahoma" w:hAnsi="Tahoma"/>
                <w:noProof/>
                <w:sz w:val="20"/>
              </w:rPr>
              <w:t xml:space="preserve">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Optie 4 zal, in combinatie met optie 2, het bewustzijn omtrent en de kennis over wederzijdse erkenning vergroten en tegelijkertijd rechtszekerheid bieden met betrekking tot de toepassing van het beginsel en de administratieve samenwerking tussen lidstaten </w:t>
            </w:r>
            <w:r>
              <w:rPr>
                <w:rFonts w:ascii="Tahoma" w:hAnsi="Tahoma"/>
                <w:noProof/>
                <w:sz w:val="20"/>
              </w:rPr>
              <w:t xml:space="preserve">verbeteren. </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Wat zijn de kosten van de voorkeursoptie (indien van toepassing, anders die van de belangrijkste opties)?</w:t>
            </w:r>
            <w:r>
              <w:rPr>
                <w:rFonts w:ascii="Tahoma" w:hAnsi="Tahoma"/>
                <w:noProof/>
                <w:sz w:val="20"/>
              </w:rPr>
              <w:t xml:space="preserve">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De kosten voor bedrijven zijn minimaal. De lidstaten en de Commissie zullen de noodzakelijke kosten dragen, welke als volgt worden ger</w:t>
            </w:r>
            <w:r>
              <w:rPr>
                <w:rFonts w:ascii="Tahoma" w:hAnsi="Tahoma"/>
                <w:noProof/>
                <w:sz w:val="20"/>
              </w:rPr>
              <w:t xml:space="preserve">aamd: organisatie en coördinatie van voorlichtings- en opleidingsbijeenkomsten (500 000 EUR), regeling voor de uitwisseling van ambtenaren (170 000 EUR per jaar), de snelle beroepsprocedure (3-4 Commissie-vte's, 225 000-300 000 EUR per jaar), intensievere </w:t>
            </w:r>
            <w:r>
              <w:rPr>
                <w:rFonts w:ascii="Tahoma" w:hAnsi="Tahoma"/>
                <w:noProof/>
                <w:sz w:val="20"/>
              </w:rPr>
              <w:t xml:space="preserve">administratieve samenwerking (1 200 000 EUR per jaar). </w:t>
            </w:r>
          </w:p>
        </w:tc>
      </w:tr>
      <w:tr w:rsidR="00E275C6">
        <w:tc>
          <w:tcPr>
            <w:tcW w:w="9747" w:type="dxa"/>
            <w:tcBorders>
              <w:bottom w:val="single" w:sz="4" w:space="0" w:color="auto"/>
            </w:tcBorders>
            <w:shd w:val="clear" w:color="auto" w:fill="E6E6E6"/>
          </w:tcPr>
          <w:p w:rsidR="00E275C6" w:rsidRDefault="00CE5F4A">
            <w:pPr>
              <w:keepNext/>
              <w:spacing w:after="60"/>
              <w:jc w:val="both"/>
              <w:rPr>
                <w:rFonts w:ascii="Tahoma" w:hAnsi="Tahoma" w:cs="Tahoma"/>
                <w:noProof/>
                <w:sz w:val="20"/>
                <w:szCs w:val="20"/>
              </w:rPr>
            </w:pPr>
            <w:r>
              <w:rPr>
                <w:rFonts w:ascii="Tahoma" w:hAnsi="Tahoma"/>
                <w:b/>
                <w:noProof/>
                <w:sz w:val="20"/>
              </w:rPr>
              <w:lastRenderedPageBreak/>
              <w:t xml:space="preserve">Wat zijn de gevolgen voor bedrijven, kmo's en micro-ondernemingen? </w:t>
            </w:r>
          </w:p>
        </w:tc>
      </w:tr>
      <w:tr w:rsidR="00E275C6">
        <w:tc>
          <w:tcPr>
            <w:tcW w:w="9747" w:type="dxa"/>
            <w:tcBorders>
              <w:bottom w:val="single" w:sz="4" w:space="0" w:color="auto"/>
            </w:tcBorders>
            <w:shd w:val="clear" w:color="auto" w:fill="auto"/>
          </w:tcPr>
          <w:p w:rsidR="00E275C6" w:rsidRDefault="00CE5F4A">
            <w:pPr>
              <w:keepNext/>
              <w:spacing w:after="60"/>
              <w:jc w:val="both"/>
              <w:rPr>
                <w:rFonts w:ascii="Tahoma" w:hAnsi="Tahoma" w:cs="Tahoma"/>
                <w:noProof/>
                <w:sz w:val="20"/>
                <w:szCs w:val="20"/>
              </w:rPr>
            </w:pPr>
            <w:r>
              <w:rPr>
                <w:rFonts w:ascii="Tahoma" w:hAnsi="Tahoma"/>
                <w:noProof/>
                <w:sz w:val="20"/>
              </w:rPr>
              <w:t xml:space="preserve">Het initiatief zal positieve gevolgen hebben voor micro-ondernemingen en kmo's en zij zullen niet worden belast met extra kosten. </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b/>
                <w:i/>
                <w:noProof/>
                <w:sz w:val="20"/>
                <w:szCs w:val="20"/>
              </w:rPr>
            </w:pPr>
            <w:r>
              <w:rPr>
                <w:rFonts w:ascii="Tahoma" w:hAnsi="Tahoma"/>
                <w:b/>
                <w:noProof/>
                <w:sz w:val="20"/>
              </w:rPr>
              <w:t>Zijn er significante gevolgen voor de nationale begrotingen en overheden?</w:t>
            </w:r>
          </w:p>
        </w:tc>
      </w:tr>
      <w:tr w:rsidR="00E275C6">
        <w:tc>
          <w:tcPr>
            <w:tcW w:w="9747" w:type="dxa"/>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Het kan gevolgen hebben voor de begroting van de productcontactpunten, aangezien er passende middelen nodig zijn voor de taken waarmee zij worden belast. </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Zijn er nog andere sign</w:t>
            </w:r>
            <w:r>
              <w:rPr>
                <w:rFonts w:ascii="Tahoma" w:hAnsi="Tahoma"/>
                <w:b/>
                <w:noProof/>
                <w:sz w:val="20"/>
              </w:rPr>
              <w:t>ificante gevolgen?</w:t>
            </w:r>
            <w:r>
              <w:rPr>
                <w:rFonts w:ascii="Tahoma" w:hAnsi="Tahoma"/>
                <w:noProof/>
                <w:sz w:val="20"/>
              </w:rPr>
              <w:t xml:space="preserve">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Bedrijven, met name innovatieve, zullen grotere marktkansen kunnen benutten.  </w:t>
            </w:r>
          </w:p>
        </w:tc>
      </w:tr>
      <w:tr w:rsidR="00E275C6">
        <w:tc>
          <w:tcPr>
            <w:tcW w:w="9747" w:type="dxa"/>
            <w:tcBorders>
              <w:bottom w:val="single" w:sz="4" w:space="0" w:color="auto"/>
            </w:tcBorders>
            <w:shd w:val="clear" w:color="auto" w:fill="C0C0C0"/>
          </w:tcPr>
          <w:p w:rsidR="00E275C6" w:rsidRDefault="00CE5F4A">
            <w:pPr>
              <w:spacing w:after="60"/>
              <w:jc w:val="center"/>
              <w:rPr>
                <w:rFonts w:ascii="Tahoma" w:hAnsi="Tahoma" w:cs="Tahoma"/>
                <w:b/>
                <w:noProof/>
                <w:sz w:val="20"/>
                <w:szCs w:val="20"/>
              </w:rPr>
            </w:pPr>
            <w:bookmarkStart w:id="1" w:name="_GoBack"/>
            <w:bookmarkEnd w:id="1"/>
            <w:r>
              <w:rPr>
                <w:rFonts w:ascii="Tahoma" w:hAnsi="Tahoma"/>
                <w:b/>
                <w:noProof/>
                <w:sz w:val="20"/>
              </w:rPr>
              <w:t>D. Opvolging</w:t>
            </w:r>
          </w:p>
        </w:tc>
      </w:tr>
      <w:tr w:rsidR="00E275C6">
        <w:tc>
          <w:tcPr>
            <w:tcW w:w="9747" w:type="dxa"/>
            <w:tcBorders>
              <w:bottom w:val="single" w:sz="4" w:space="0" w:color="auto"/>
            </w:tcBorders>
            <w:shd w:val="clear" w:color="auto" w:fill="E6E6E6"/>
          </w:tcPr>
          <w:p w:rsidR="00E275C6" w:rsidRDefault="00CE5F4A">
            <w:pPr>
              <w:spacing w:after="60"/>
              <w:jc w:val="both"/>
              <w:rPr>
                <w:rFonts w:ascii="Tahoma" w:hAnsi="Tahoma" w:cs="Tahoma"/>
                <w:noProof/>
                <w:sz w:val="20"/>
                <w:szCs w:val="20"/>
              </w:rPr>
            </w:pPr>
            <w:r>
              <w:rPr>
                <w:rFonts w:ascii="Tahoma" w:hAnsi="Tahoma"/>
                <w:b/>
                <w:noProof/>
                <w:sz w:val="20"/>
              </w:rPr>
              <w:t xml:space="preserve">Wanneer wordt dit beleid geëvalueerd? </w:t>
            </w:r>
          </w:p>
        </w:tc>
      </w:tr>
      <w:tr w:rsidR="00E275C6">
        <w:tc>
          <w:tcPr>
            <w:tcW w:w="9747" w:type="dxa"/>
            <w:tcBorders>
              <w:bottom w:val="single" w:sz="4" w:space="0" w:color="auto"/>
            </w:tcBorders>
            <w:shd w:val="clear" w:color="auto" w:fill="auto"/>
          </w:tcPr>
          <w:p w:rsidR="00E275C6" w:rsidRDefault="00CE5F4A">
            <w:pPr>
              <w:spacing w:after="60"/>
              <w:jc w:val="both"/>
              <w:rPr>
                <w:rFonts w:ascii="Tahoma" w:hAnsi="Tahoma" w:cs="Tahoma"/>
                <w:noProof/>
                <w:sz w:val="20"/>
                <w:szCs w:val="20"/>
              </w:rPr>
            </w:pPr>
            <w:r>
              <w:rPr>
                <w:rFonts w:ascii="Tahoma" w:hAnsi="Tahoma"/>
                <w:noProof/>
                <w:sz w:val="20"/>
              </w:rPr>
              <w:t xml:space="preserve">De Commissie zal vijf jaar na de inwerkingtreding van de nieuwe verordening en daarna elke vijf </w:t>
            </w:r>
            <w:r>
              <w:rPr>
                <w:rFonts w:ascii="Tahoma" w:hAnsi="Tahoma"/>
                <w:noProof/>
                <w:sz w:val="20"/>
              </w:rPr>
              <w:t>jaar verslag uitbrengen aan het Europees Parlement en de Raad.</w:t>
            </w:r>
          </w:p>
        </w:tc>
      </w:tr>
    </w:tbl>
    <w:p w:rsidR="00E275C6" w:rsidRDefault="00E275C6">
      <w:pPr>
        <w:rPr>
          <w:rFonts w:ascii="Tahoma" w:hAnsi="Tahoma" w:cs="Tahoma"/>
          <w:noProof/>
          <w:sz w:val="20"/>
          <w:szCs w:val="20"/>
        </w:rPr>
      </w:pPr>
    </w:p>
    <w:sectPr w:rsidR="00E275C6">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C6" w:rsidRDefault="00CE5F4A">
      <w:r>
        <w:separator/>
      </w:r>
    </w:p>
  </w:endnote>
  <w:endnote w:type="continuationSeparator" w:id="0">
    <w:p w:rsidR="00E275C6" w:rsidRDefault="00C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FooterCoverPage"/>
      <w:rPr>
        <w:rFonts w:ascii="Arial" w:hAnsi="Arial" w:cs="Arial"/>
        <w:b/>
        <w:sz w:val="48"/>
      </w:rPr>
    </w:pPr>
    <w:r w:rsidRPr="00CE5F4A">
      <w:rPr>
        <w:rFonts w:ascii="Arial" w:hAnsi="Arial" w:cs="Arial"/>
        <w:b/>
        <w:sz w:val="48"/>
      </w:rPr>
      <w:t>NL</w:t>
    </w:r>
    <w:r w:rsidRPr="00CE5F4A">
      <w:rPr>
        <w:rFonts w:ascii="Arial" w:hAnsi="Arial" w:cs="Arial"/>
        <w:b/>
        <w:sz w:val="48"/>
      </w:rPr>
      <w:tab/>
    </w:r>
    <w:r w:rsidRPr="00CE5F4A">
      <w:rPr>
        <w:rFonts w:ascii="Arial" w:hAnsi="Arial" w:cs="Arial"/>
        <w:b/>
        <w:sz w:val="48"/>
      </w:rPr>
      <w:tab/>
    </w:r>
    <w:r w:rsidRPr="00CE5F4A">
      <w:tab/>
    </w:r>
    <w:r w:rsidRPr="00CE5F4A">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C6" w:rsidRDefault="00E27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1775996"/>
      <w:docPartObj>
        <w:docPartGallery w:val="Page Numbers (Bottom of Page)"/>
        <w:docPartUnique/>
      </w:docPartObj>
    </w:sdtPr>
    <w:sdtEndPr>
      <w:rPr>
        <w:noProof/>
      </w:rPr>
    </w:sdtEndPr>
    <w:sdtContent>
      <w:p w:rsidR="00E275C6" w:rsidRDefault="00CE5F4A">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C6" w:rsidRDefault="00E2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C6" w:rsidRDefault="00CE5F4A">
      <w:r>
        <w:separator/>
      </w:r>
    </w:p>
  </w:footnote>
  <w:footnote w:type="continuationSeparator" w:id="0">
    <w:p w:rsidR="00E275C6" w:rsidRDefault="00CE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4A" w:rsidRPr="00CE5F4A" w:rsidRDefault="00CE5F4A" w:rsidP="00CE5F4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C6" w:rsidRDefault="00E27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C6" w:rsidRDefault="00E275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C6" w:rsidRDefault="00E27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16"/>
    <w:multiLevelType w:val="hybridMultilevel"/>
    <w:tmpl w:val="2A961A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CORRIGENDUM" w:val="CORRIGENDUM :_x000b_Document SWD(2017) 472 final of 19.12.2017 is corrected in all language versions except EN._x000b_The words &quot;lawfully marketed in another Member State&quot; were missing in the title._x000b_The text shall read as follows:"/>
    <w:docVar w:name="LW_COVERPAGE_EXISTS" w:val="True"/>
    <w:docVar w:name="LW_COVERPAGE_GUID" w:val="DD0493A6-18F5-4712-8CCF-8EF716CF3CDB"/>
    <w:docVar w:name="LW_COVERPAGE_TYPE" w:val="1"/>
    <w:docVar w:name="LW_CROSSREFERENCE" w:val="{COM(2017) 796 final}_x000d__x000a_{SWD(2017) 471 final}_x000d__x000a_{SWD(2017) 475 final}_x000d__x000a_{SWD(2017) 476 final}_x000d__x000a_{SWD(2017) 477 final}"/>
    <w:docVar w:name="LW_DocType" w:val="NORMAL"/>
    <w:docVar w:name="LW_EMISSION" w:val="30.1.2018"/>
    <w:docVar w:name="LW_EMISSION_ISODATE" w:val="2018-01-30"/>
    <w:docVar w:name="LW_EMISSION_LOCATION" w:val="BRX"/>
    <w:docVar w:name="LW_EMISSION_PREFIX" w:val="Brussel,"/>
    <w:docVar w:name="LW_EMISSION_SUFFIX" w:val="&lt;EMPTY&gt;"/>
    <w:docVar w:name="LW_ID_DOCTYPE_NONLW" w:val="CP-027"/>
    <w:docVar w:name="LW_LANGUE" w:val="NL"/>
    <w:docVar w:name="LW_LEVEL_OF_SENSITIVITY" w:val="Standard treatment"/>
    <w:docVar w:name="LW_NOM.INST" w:val="EUROPESE COMMISSIE"/>
    <w:docVar w:name="LW_NOM.INST_JOINTDOC" w:val="&lt;EMPTY&gt;"/>
    <w:docVar w:name="LW_OBJETACTEPRINCIPAL.CP" w:val="betreffende de wederzijdse erkenning van goederen die in een andere lidstaat rechtmatig in de handel zijn gebracht"/>
    <w:docVar w:name="LW_PART_NBR" w:val="1"/>
    <w:docVar w:name="LW_PART_NBR_TOTAL" w:val="1"/>
    <w:docVar w:name="LW_REF.INST.NEW" w:val="SWD"/>
    <w:docVar w:name="LW_REF.INST.NEW_ADOPTED" w:val="final"/>
    <w:docVar w:name="LW_REF.INST.NEW_TEXT" w:val="(2017)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WERKDOCUMENT VAN DE DIENSTEN VAN DE COMMISSIE_x000b__x000b_SAMENVATTING VAN DE EFFECTBEOORDELING_x000b_"/>
    <w:docVar w:name="LW_TYPEACTEPRINCIPAL.CP" w:val="Voorstel voor een verordening van het Europees Parlement en de Raad"/>
  </w:docVars>
  <w:rsids>
    <w:rsidRoot w:val="00E275C6"/>
    <w:rsid w:val="00CE5F4A"/>
    <w:rsid w:val="00E27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3">
    <w:name w:val="Text 3"/>
    <w:basedOn w:val="Normal"/>
    <w:pPr>
      <w:tabs>
        <w:tab w:val="left" w:pos="2302"/>
      </w:tabs>
      <w:spacing w:after="240"/>
      <w:ind w:left="1202"/>
      <w:jc w:val="both"/>
    </w:pPr>
    <w:rPr>
      <w:szCs w:val="20"/>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7EFD9B919FF4BA61E610B5F3FFB70" ma:contentTypeVersion="1" ma:contentTypeDescription="Create a new document." ma:contentTypeScope="" ma:versionID="aa558f749e9fe6460ed6440df957c34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D33F7-210E-460D-B1EA-C6B5F230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573</Words>
  <Characters>3580</Characters>
  <Application>Microsoft Office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38</cp:revision>
  <cp:lastPrinted>2017-12-11T15:37:00Z</cp:lastPrinted>
  <dcterms:created xsi:type="dcterms:W3CDTF">2017-12-11T15:37:00Z</dcterms:created>
  <dcterms:modified xsi:type="dcterms:W3CDTF">2018-01-30T09:39:00Z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0x0101007527EFD9B919FF4BA61E610B5F3FFB70</vt:lpwstr>
  </property>
  <property fmtid="{D5CDD505-2E9C-101B-9397-08002B2CF9AE}" pid="10" name="TemplateUrl">
    <vt:lpwstr/>
  </property>
  <property fmtid="{D5CDD505-2E9C-101B-9397-08002B2CF9AE}" pid="11" name="Level of sensitivity">
    <vt:lpwstr>Standard treatment</vt:lpwstr>
  </property>
</Properties>
</file>