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42" w:rsidRDefault="0038396F" w:rsidP="0038396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248B50C-AB77-4458-A9E4-0CDB61124155" style="width:450.75pt;height:474.85pt">
            <v:imagedata r:id="rId11" o:title=""/>
          </v:shape>
        </w:pict>
      </w:r>
    </w:p>
    <w:bookmarkEnd w:id="0"/>
    <w:p w:rsidR="00E63442" w:rsidRDefault="00E63442">
      <w:pPr>
        <w:pStyle w:val="Pagedecouverture"/>
        <w:rPr>
          <w:rFonts w:ascii="Tahoma" w:hAnsi="Tahoma" w:cs="Tahoma"/>
          <w:noProof/>
          <w:sz w:val="20"/>
          <w:szCs w:val="20"/>
        </w:rPr>
        <w:sectPr w:rsidR="00E63442" w:rsidSect="0038396F">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9747" w:type="dxa"/>
        <w:tblLook w:val="01E0" w:firstRow="1" w:lastRow="1" w:firstColumn="1" w:lastColumn="1" w:noHBand="0" w:noVBand="0"/>
      </w:tblPr>
      <w:tblGrid>
        <w:gridCol w:w="9747"/>
      </w:tblGrid>
      <w:tr w:rsidR="00E63442">
        <w:tc>
          <w:tcPr>
            <w:tcW w:w="9747" w:type="dxa"/>
            <w:tcBorders>
              <w:bottom w:val="single" w:sz="4" w:space="0" w:color="auto"/>
            </w:tcBorders>
            <w:shd w:val="clear" w:color="auto" w:fill="CCCCCC"/>
          </w:tcPr>
          <w:p w:rsidR="00E63442" w:rsidRDefault="0038396F">
            <w:pPr>
              <w:spacing w:after="60"/>
              <w:jc w:val="center"/>
              <w:rPr>
                <w:rFonts w:ascii="Tahoma" w:hAnsi="Tahoma" w:cs="Tahoma"/>
                <w:b/>
                <w:noProof/>
                <w:sz w:val="22"/>
                <w:szCs w:val="22"/>
              </w:rPr>
            </w:pPr>
            <w:bookmarkStart w:id="1" w:name="_GoBack"/>
            <w:bookmarkEnd w:id="1"/>
            <w:r>
              <w:rPr>
                <w:rFonts w:ascii="Tahoma" w:hAnsi="Tahoma"/>
                <w:b/>
                <w:noProof/>
                <w:sz w:val="22"/>
              </w:rPr>
              <w:lastRenderedPageBreak/>
              <w:t>Sammanfattning</w:t>
            </w:r>
          </w:p>
        </w:tc>
      </w:tr>
      <w:tr w:rsidR="00E63442">
        <w:tc>
          <w:tcPr>
            <w:tcW w:w="9747" w:type="dxa"/>
            <w:tcBorders>
              <w:top w:val="single" w:sz="4" w:space="0" w:color="auto"/>
              <w:left w:val="single" w:sz="4" w:space="0" w:color="auto"/>
              <w:bottom w:val="single" w:sz="4" w:space="0" w:color="auto"/>
              <w:right w:val="single" w:sz="4" w:space="0" w:color="auto"/>
            </w:tcBorders>
            <w:shd w:val="clear" w:color="auto" w:fill="4F81BD" w:themeFill="accent1"/>
          </w:tcPr>
          <w:p w:rsidR="00E63442" w:rsidRDefault="0038396F">
            <w:pPr>
              <w:spacing w:after="60"/>
              <w:jc w:val="both"/>
              <w:rPr>
                <w:rFonts w:ascii="Tahoma" w:hAnsi="Tahoma" w:cs="Tahoma"/>
                <w:b/>
                <w:noProof/>
                <w:sz w:val="20"/>
                <w:szCs w:val="20"/>
              </w:rPr>
            </w:pPr>
            <w:r>
              <w:rPr>
                <w:rFonts w:ascii="Tahoma" w:hAnsi="Tahoma"/>
                <w:noProof/>
                <w:color w:val="FFFFFF" w:themeColor="background1"/>
                <w:sz w:val="20"/>
              </w:rPr>
              <w:t>Konsekvensbedömning av förslag till Europaparlamentets och rådets förordning om ömsesidigt erkännande av varor</w:t>
            </w:r>
          </w:p>
        </w:tc>
      </w:tr>
      <w:tr w:rsidR="00E63442">
        <w:tc>
          <w:tcPr>
            <w:tcW w:w="9747" w:type="dxa"/>
            <w:tcBorders>
              <w:bottom w:val="single" w:sz="4" w:space="0" w:color="auto"/>
            </w:tcBorders>
            <w:shd w:val="clear" w:color="auto" w:fill="CCCCCC"/>
          </w:tcPr>
          <w:p w:rsidR="00E63442" w:rsidRDefault="0038396F">
            <w:pPr>
              <w:spacing w:after="60"/>
              <w:jc w:val="center"/>
              <w:rPr>
                <w:rFonts w:ascii="Tahoma" w:hAnsi="Tahoma" w:cs="Tahoma"/>
                <w:b/>
                <w:noProof/>
                <w:sz w:val="20"/>
                <w:szCs w:val="20"/>
              </w:rPr>
            </w:pPr>
            <w:r>
              <w:rPr>
                <w:rFonts w:ascii="Tahoma" w:hAnsi="Tahoma"/>
                <w:b/>
                <w:noProof/>
                <w:sz w:val="20"/>
              </w:rPr>
              <w:t xml:space="preserve">A. Behov av </w:t>
            </w:r>
            <w:r>
              <w:rPr>
                <w:rFonts w:ascii="Tahoma" w:hAnsi="Tahoma"/>
                <w:b/>
                <w:noProof/>
                <w:sz w:val="20"/>
              </w:rPr>
              <w:t>åtgärder</w:t>
            </w:r>
          </w:p>
        </w:tc>
      </w:tr>
      <w:tr w:rsidR="00E63442">
        <w:tc>
          <w:tcPr>
            <w:tcW w:w="9747" w:type="dxa"/>
            <w:tcBorders>
              <w:bottom w:val="single" w:sz="4" w:space="0" w:color="auto"/>
            </w:tcBorders>
            <w:shd w:val="clear" w:color="auto" w:fill="E0E0E0"/>
          </w:tcPr>
          <w:p w:rsidR="00E63442" w:rsidRDefault="0038396F">
            <w:pPr>
              <w:spacing w:after="60"/>
              <w:jc w:val="both"/>
              <w:rPr>
                <w:rFonts w:ascii="Tahoma" w:hAnsi="Tahoma" w:cs="Tahoma"/>
                <w:noProof/>
                <w:sz w:val="20"/>
                <w:szCs w:val="20"/>
              </w:rPr>
            </w:pPr>
            <w:r>
              <w:rPr>
                <w:rFonts w:ascii="Tahoma" w:hAnsi="Tahoma"/>
                <w:b/>
                <w:noProof/>
                <w:sz w:val="20"/>
              </w:rPr>
              <w:t>Varför? Vilket problem behöver åtgärdas?</w:t>
            </w:r>
          </w:p>
        </w:tc>
      </w:tr>
      <w:tr w:rsidR="00E63442">
        <w:tc>
          <w:tcPr>
            <w:tcW w:w="9747" w:type="dxa"/>
            <w:tcBorders>
              <w:bottom w:val="single" w:sz="4" w:space="0" w:color="auto"/>
            </w:tcBorders>
            <w:shd w:val="clear" w:color="auto" w:fill="auto"/>
          </w:tcPr>
          <w:p w:rsidR="00E63442" w:rsidRDefault="0038396F">
            <w:pPr>
              <w:spacing w:after="60"/>
              <w:jc w:val="both"/>
              <w:rPr>
                <w:rFonts w:ascii="Tahoma" w:hAnsi="Tahoma" w:cs="Tahoma"/>
                <w:noProof/>
                <w:sz w:val="20"/>
                <w:szCs w:val="20"/>
              </w:rPr>
            </w:pPr>
            <w:r>
              <w:rPr>
                <w:rFonts w:ascii="Tahoma" w:hAnsi="Tahoma"/>
                <w:noProof/>
                <w:sz w:val="20"/>
              </w:rPr>
              <w:t>Slutsatsen av utvärderingen är att ömsesidigt erkännande inte fungerar som det bör på grund av bristande medvetenhet, rättslig osäkerhet och avsaknad av effektiv kommunikation och effektivt samarbete mell</w:t>
            </w:r>
            <w:r>
              <w:rPr>
                <w:rFonts w:ascii="Tahoma" w:hAnsi="Tahoma"/>
                <w:noProof/>
                <w:sz w:val="20"/>
              </w:rPr>
              <w:t>an berörda parter. De ekonomiska aktörerna drar inte full fördel av sina befintliga rättigheter. De nationella myndigheterna förlorar tid och resurser. Konsumenterna får högre priser och mindre utbud. Om ingen åtgärd vidtas på EU-nivå förväntas problemet b</w:t>
            </w:r>
            <w:r>
              <w:rPr>
                <w:rFonts w:ascii="Tahoma" w:hAnsi="Tahoma"/>
                <w:noProof/>
                <w:sz w:val="20"/>
              </w:rPr>
              <w:t>estå.</w:t>
            </w:r>
          </w:p>
        </w:tc>
      </w:tr>
      <w:tr w:rsidR="00E63442">
        <w:tc>
          <w:tcPr>
            <w:tcW w:w="9747" w:type="dxa"/>
            <w:tcBorders>
              <w:bottom w:val="single" w:sz="4" w:space="0" w:color="auto"/>
            </w:tcBorders>
            <w:shd w:val="clear" w:color="auto" w:fill="E6E6E6"/>
          </w:tcPr>
          <w:p w:rsidR="00E63442" w:rsidRDefault="0038396F">
            <w:pPr>
              <w:spacing w:after="60"/>
              <w:jc w:val="both"/>
              <w:rPr>
                <w:rFonts w:ascii="Tahoma" w:hAnsi="Tahoma" w:cs="Tahoma"/>
                <w:noProof/>
                <w:sz w:val="20"/>
                <w:szCs w:val="20"/>
              </w:rPr>
            </w:pPr>
            <w:r>
              <w:rPr>
                <w:rFonts w:ascii="Tahoma" w:hAnsi="Tahoma"/>
                <w:b/>
                <w:noProof/>
                <w:sz w:val="20"/>
              </w:rPr>
              <w:t xml:space="preserve">Vad förväntas initiativet leda till? </w:t>
            </w:r>
          </w:p>
        </w:tc>
      </w:tr>
      <w:tr w:rsidR="00E63442">
        <w:tc>
          <w:tcPr>
            <w:tcW w:w="9747" w:type="dxa"/>
            <w:tcBorders>
              <w:bottom w:val="single" w:sz="4" w:space="0" w:color="auto"/>
            </w:tcBorders>
            <w:shd w:val="clear" w:color="auto" w:fill="auto"/>
          </w:tcPr>
          <w:p w:rsidR="00E63442" w:rsidRDefault="0038396F">
            <w:pPr>
              <w:spacing w:after="60"/>
              <w:jc w:val="both"/>
              <w:rPr>
                <w:rFonts w:ascii="Tahoma" w:hAnsi="Tahoma" w:cs="Tahoma"/>
                <w:noProof/>
                <w:sz w:val="20"/>
                <w:szCs w:val="20"/>
              </w:rPr>
            </w:pPr>
            <w:r>
              <w:rPr>
                <w:rFonts w:ascii="Tahoma" w:hAnsi="Tahoma"/>
                <w:noProof/>
                <w:sz w:val="20"/>
              </w:rPr>
              <w:t xml:space="preserve">Även om de förväntade fördelarna inte kan bedömas exakt visar den nyligen genomförda undersökningen </w:t>
            </w:r>
            <w:r>
              <w:rPr>
                <w:rFonts w:ascii="Tahoma" w:hAnsi="Tahoma"/>
                <w:i/>
                <w:noProof/>
                <w:sz w:val="20"/>
              </w:rPr>
              <w:t>The Costs of Non-Europe in the Single Market</w:t>
            </w:r>
            <w:r>
              <w:rPr>
                <w:rFonts w:ascii="Tahoma" w:hAnsi="Tahoma"/>
                <w:noProof/>
                <w:sz w:val="20"/>
              </w:rPr>
              <w:t xml:space="preserve"> (kostnaderna för uteblivna åtgärder på EU-nivå på den inre marknaden) att minskade handelshinder kunde leda till en ökning av handeln inom EU på över 100 miljarder euro per år. Begreppet handelshinder i denna undersökning omfattar mer än enbart ömsesidigt</w:t>
            </w:r>
            <w:r>
              <w:rPr>
                <w:rFonts w:ascii="Tahoma" w:hAnsi="Tahoma"/>
                <w:noProof/>
                <w:sz w:val="20"/>
              </w:rPr>
              <w:t xml:space="preserve"> erkännande, men det ger en uppskattning av de förväntade fördelarna.</w:t>
            </w:r>
          </w:p>
        </w:tc>
      </w:tr>
      <w:tr w:rsidR="00E63442">
        <w:tc>
          <w:tcPr>
            <w:tcW w:w="9747" w:type="dxa"/>
            <w:tcBorders>
              <w:bottom w:val="single" w:sz="4" w:space="0" w:color="auto"/>
            </w:tcBorders>
            <w:shd w:val="clear" w:color="auto" w:fill="E6E6E6"/>
          </w:tcPr>
          <w:p w:rsidR="00E63442" w:rsidRDefault="0038396F">
            <w:pPr>
              <w:spacing w:after="60"/>
              <w:jc w:val="both"/>
              <w:rPr>
                <w:rFonts w:ascii="Tahoma" w:hAnsi="Tahoma" w:cs="Tahoma"/>
                <w:noProof/>
                <w:sz w:val="20"/>
                <w:szCs w:val="20"/>
              </w:rPr>
            </w:pPr>
            <w:r>
              <w:rPr>
                <w:rFonts w:ascii="Tahoma" w:hAnsi="Tahoma"/>
                <w:b/>
                <w:noProof/>
                <w:sz w:val="20"/>
              </w:rPr>
              <w:t>Vad är mervärdet med åtgärder på EU-nivå?</w:t>
            </w:r>
            <w:r>
              <w:rPr>
                <w:rFonts w:ascii="Tahoma" w:hAnsi="Tahoma"/>
                <w:noProof/>
                <w:sz w:val="20"/>
              </w:rPr>
              <w:t xml:space="preserve"> </w:t>
            </w:r>
          </w:p>
        </w:tc>
      </w:tr>
      <w:tr w:rsidR="00E63442">
        <w:tc>
          <w:tcPr>
            <w:tcW w:w="9747" w:type="dxa"/>
            <w:tcBorders>
              <w:bottom w:val="single" w:sz="4" w:space="0" w:color="auto"/>
            </w:tcBorders>
            <w:shd w:val="clear" w:color="auto" w:fill="auto"/>
          </w:tcPr>
          <w:p w:rsidR="00E63442" w:rsidRDefault="0038396F">
            <w:pPr>
              <w:spacing w:after="60"/>
              <w:jc w:val="both"/>
              <w:rPr>
                <w:rFonts w:ascii="Tahoma" w:hAnsi="Tahoma" w:cs="Tahoma"/>
                <w:noProof/>
                <w:sz w:val="20"/>
                <w:szCs w:val="20"/>
              </w:rPr>
            </w:pPr>
            <w:r>
              <w:rPr>
                <w:rFonts w:ascii="Tahoma" w:hAnsi="Tahoma"/>
                <w:noProof/>
                <w:sz w:val="20"/>
              </w:rPr>
              <w:t xml:space="preserve">En gemensam uppsättning regler garanterar likabehandling och medger överensstämmande tillämpning av ömsesidigt erkännande. Åtgärder av </w:t>
            </w:r>
            <w:r>
              <w:rPr>
                <w:rFonts w:ascii="Tahoma" w:hAnsi="Tahoma"/>
                <w:noProof/>
                <w:sz w:val="20"/>
              </w:rPr>
              <w:t>medlemsstaterna var för sig skulle demontera principen i 28 olika och potentiellt motstridiga nationella förfaranden.</w:t>
            </w:r>
          </w:p>
        </w:tc>
      </w:tr>
      <w:tr w:rsidR="00E63442">
        <w:tc>
          <w:tcPr>
            <w:tcW w:w="9747" w:type="dxa"/>
            <w:tcBorders>
              <w:bottom w:val="single" w:sz="4" w:space="0" w:color="auto"/>
            </w:tcBorders>
            <w:shd w:val="clear" w:color="auto" w:fill="CCCCCC"/>
          </w:tcPr>
          <w:p w:rsidR="00E63442" w:rsidRDefault="0038396F">
            <w:pPr>
              <w:spacing w:after="60"/>
              <w:jc w:val="center"/>
              <w:rPr>
                <w:rFonts w:ascii="Tahoma" w:hAnsi="Tahoma" w:cs="Tahoma"/>
                <w:b/>
                <w:noProof/>
                <w:sz w:val="20"/>
                <w:szCs w:val="20"/>
              </w:rPr>
            </w:pPr>
            <w:r>
              <w:rPr>
                <w:rFonts w:ascii="Tahoma" w:hAnsi="Tahoma"/>
                <w:b/>
                <w:noProof/>
                <w:sz w:val="20"/>
              </w:rPr>
              <w:t>B. Lösningar</w:t>
            </w:r>
          </w:p>
        </w:tc>
      </w:tr>
      <w:tr w:rsidR="00E63442">
        <w:tc>
          <w:tcPr>
            <w:tcW w:w="9747" w:type="dxa"/>
            <w:tcBorders>
              <w:bottom w:val="single" w:sz="4" w:space="0" w:color="auto"/>
            </w:tcBorders>
            <w:shd w:val="clear" w:color="auto" w:fill="E6E6E6"/>
          </w:tcPr>
          <w:p w:rsidR="00E63442" w:rsidRDefault="0038396F">
            <w:pPr>
              <w:spacing w:after="60"/>
              <w:jc w:val="both"/>
              <w:rPr>
                <w:rFonts w:ascii="Tahoma" w:hAnsi="Tahoma" w:cs="Tahoma"/>
                <w:noProof/>
                <w:sz w:val="20"/>
                <w:szCs w:val="20"/>
              </w:rPr>
            </w:pPr>
            <w:r>
              <w:rPr>
                <w:rFonts w:ascii="Tahoma" w:hAnsi="Tahoma"/>
                <w:b/>
                <w:noProof/>
                <w:sz w:val="20"/>
              </w:rPr>
              <w:t>Vilka alternativ, både lagstiftning och andra åtgärder, har övervägts? Finns det ett rekommenderat alternativ? Varför?</w:t>
            </w:r>
          </w:p>
        </w:tc>
      </w:tr>
      <w:tr w:rsidR="00E63442">
        <w:tc>
          <w:tcPr>
            <w:tcW w:w="9747" w:type="dxa"/>
            <w:tcBorders>
              <w:bottom w:val="single" w:sz="4" w:space="0" w:color="auto"/>
            </w:tcBorders>
            <w:shd w:val="clear" w:color="auto" w:fill="auto"/>
          </w:tcPr>
          <w:p w:rsidR="00E63442" w:rsidRDefault="0038396F">
            <w:pPr>
              <w:spacing w:after="60"/>
              <w:jc w:val="both"/>
              <w:rPr>
                <w:rFonts w:ascii="Tahoma" w:hAnsi="Tahoma" w:cs="Tahoma"/>
                <w:noProof/>
                <w:sz w:val="20"/>
                <w:szCs w:val="20"/>
              </w:rPr>
            </w:pPr>
            <w:r>
              <w:rPr>
                <w:rFonts w:ascii="Tahoma" w:hAnsi="Tahoma"/>
                <w:noProof/>
                <w:sz w:val="20"/>
              </w:rPr>
              <w:t xml:space="preserve">De </w:t>
            </w:r>
            <w:r>
              <w:rPr>
                <w:rFonts w:ascii="Tahoma" w:hAnsi="Tahoma"/>
                <w:noProof/>
                <w:sz w:val="20"/>
              </w:rPr>
              <w:t>bedömda politikalternativen var följande:</w:t>
            </w:r>
          </w:p>
          <w:p w:rsidR="00E63442" w:rsidRDefault="0038396F">
            <w:pPr>
              <w:pStyle w:val="ListParagraph"/>
              <w:numPr>
                <w:ilvl w:val="0"/>
                <w:numId w:val="1"/>
              </w:numPr>
              <w:spacing w:after="60"/>
              <w:ind w:left="284" w:hanging="284"/>
              <w:contextualSpacing w:val="0"/>
              <w:jc w:val="both"/>
              <w:rPr>
                <w:rFonts w:ascii="Tahoma" w:hAnsi="Tahoma"/>
                <w:noProof/>
                <w:sz w:val="20"/>
              </w:rPr>
            </w:pPr>
            <w:r>
              <w:rPr>
                <w:rFonts w:ascii="Tahoma" w:hAnsi="Tahoma"/>
                <w:noProof/>
                <w:sz w:val="20"/>
              </w:rPr>
              <w:t>Alternativ 2 – Icke-bindande regler.</w:t>
            </w:r>
          </w:p>
          <w:p w:rsidR="00E63442" w:rsidRDefault="0038396F">
            <w:pPr>
              <w:pStyle w:val="ListParagraph"/>
              <w:numPr>
                <w:ilvl w:val="0"/>
                <w:numId w:val="1"/>
              </w:numPr>
              <w:spacing w:after="60"/>
              <w:ind w:left="284" w:hanging="284"/>
              <w:contextualSpacing w:val="0"/>
              <w:jc w:val="both"/>
              <w:rPr>
                <w:rFonts w:ascii="Tahoma" w:hAnsi="Tahoma"/>
                <w:noProof/>
                <w:sz w:val="20"/>
              </w:rPr>
            </w:pPr>
            <w:r>
              <w:rPr>
                <w:rFonts w:ascii="Tahoma" w:hAnsi="Tahoma"/>
                <w:noProof/>
                <w:sz w:val="20"/>
              </w:rPr>
              <w:t>Alternativ 3 – Minsta möjliga lagändringar.</w:t>
            </w:r>
          </w:p>
          <w:p w:rsidR="00E63442" w:rsidRDefault="0038396F">
            <w:pPr>
              <w:pStyle w:val="ListParagraph"/>
              <w:numPr>
                <w:ilvl w:val="0"/>
                <w:numId w:val="1"/>
              </w:numPr>
              <w:spacing w:after="60"/>
              <w:ind w:left="284" w:hanging="284"/>
              <w:contextualSpacing w:val="0"/>
              <w:jc w:val="both"/>
              <w:rPr>
                <w:rFonts w:ascii="Tahoma" w:hAnsi="Tahoma"/>
                <w:noProof/>
                <w:sz w:val="20"/>
              </w:rPr>
            </w:pPr>
            <w:r>
              <w:rPr>
                <w:rFonts w:ascii="Tahoma" w:hAnsi="Tahoma"/>
                <w:noProof/>
                <w:sz w:val="20"/>
              </w:rPr>
              <w:t>Alternativ 4 – Omfattande lagändringar.</w:t>
            </w:r>
          </w:p>
          <w:p w:rsidR="00E63442" w:rsidRDefault="0038396F">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Alternativ 5 – Frivilligt förhandsgodkännande före utsläppande på marknaden.</w:t>
            </w:r>
          </w:p>
          <w:p w:rsidR="00E63442" w:rsidRDefault="0038396F">
            <w:pPr>
              <w:spacing w:after="60"/>
              <w:jc w:val="both"/>
              <w:rPr>
                <w:rFonts w:ascii="Tahoma" w:hAnsi="Tahoma" w:cs="Tahoma"/>
                <w:noProof/>
                <w:sz w:val="20"/>
                <w:szCs w:val="20"/>
              </w:rPr>
            </w:pPr>
            <w:r>
              <w:rPr>
                <w:rFonts w:ascii="Tahoma" w:hAnsi="Tahoma"/>
                <w:noProof/>
                <w:sz w:val="20"/>
              </w:rPr>
              <w:t>Det rekommendera</w:t>
            </w:r>
            <w:r>
              <w:rPr>
                <w:rFonts w:ascii="Tahoma" w:hAnsi="Tahoma"/>
                <w:noProof/>
                <w:sz w:val="20"/>
              </w:rPr>
              <w:t>de alternativet är alternativ 4 kompletterat med alternativ 2.</w:t>
            </w:r>
          </w:p>
        </w:tc>
      </w:tr>
      <w:tr w:rsidR="00E63442">
        <w:tc>
          <w:tcPr>
            <w:tcW w:w="9747" w:type="dxa"/>
            <w:shd w:val="clear" w:color="auto" w:fill="CCCCCC"/>
          </w:tcPr>
          <w:p w:rsidR="00E63442" w:rsidRDefault="0038396F">
            <w:pPr>
              <w:spacing w:after="60"/>
              <w:jc w:val="both"/>
              <w:rPr>
                <w:rFonts w:ascii="Tahoma" w:hAnsi="Tahoma" w:cs="Tahoma"/>
                <w:noProof/>
                <w:sz w:val="20"/>
                <w:szCs w:val="20"/>
              </w:rPr>
            </w:pPr>
            <w:r>
              <w:rPr>
                <w:rFonts w:ascii="Tahoma" w:hAnsi="Tahoma"/>
                <w:b/>
                <w:noProof/>
                <w:sz w:val="20"/>
              </w:rPr>
              <w:t>Vem stöder vilket alternativ?</w:t>
            </w:r>
            <w:r>
              <w:rPr>
                <w:rFonts w:ascii="Tahoma" w:hAnsi="Tahoma"/>
                <w:noProof/>
                <w:sz w:val="20"/>
              </w:rPr>
              <w:t xml:space="preserve"> </w:t>
            </w:r>
          </w:p>
        </w:tc>
      </w:tr>
      <w:tr w:rsidR="00E63442">
        <w:tc>
          <w:tcPr>
            <w:tcW w:w="9747" w:type="dxa"/>
            <w:shd w:val="clear" w:color="auto" w:fill="auto"/>
          </w:tcPr>
          <w:p w:rsidR="00E63442" w:rsidRDefault="0038396F">
            <w:pPr>
              <w:spacing w:after="60"/>
              <w:jc w:val="both"/>
              <w:rPr>
                <w:rFonts w:ascii="Tahoma" w:hAnsi="Tahoma"/>
                <w:noProof/>
                <w:sz w:val="20"/>
              </w:rPr>
            </w:pPr>
            <w:r>
              <w:rPr>
                <w:rFonts w:ascii="Tahoma" w:hAnsi="Tahoma"/>
                <w:noProof/>
                <w:sz w:val="20"/>
              </w:rPr>
              <w:t>Alternativ 2 fick stöd av alla om det kompletteras med andra verktyg.</w:t>
            </w:r>
          </w:p>
          <w:p w:rsidR="00E63442" w:rsidRDefault="0038396F">
            <w:pPr>
              <w:spacing w:after="60"/>
              <w:jc w:val="both"/>
              <w:rPr>
                <w:rFonts w:ascii="Tahoma" w:hAnsi="Tahoma"/>
                <w:noProof/>
                <w:sz w:val="20"/>
              </w:rPr>
            </w:pPr>
            <w:r>
              <w:rPr>
                <w:rFonts w:ascii="Tahoma" w:hAnsi="Tahoma"/>
                <w:noProof/>
                <w:sz w:val="20"/>
              </w:rPr>
              <w:t xml:space="preserve">Alternativ 3 ansågs potentiellt verkningsfullt av alla men i mindre utsträckning än andra </w:t>
            </w:r>
            <w:r>
              <w:rPr>
                <w:rFonts w:ascii="Tahoma" w:hAnsi="Tahoma"/>
                <w:noProof/>
                <w:sz w:val="20"/>
              </w:rPr>
              <w:t>alternativ.</w:t>
            </w:r>
          </w:p>
          <w:p w:rsidR="00E63442" w:rsidRDefault="0038396F">
            <w:pPr>
              <w:spacing w:after="60"/>
              <w:jc w:val="both"/>
              <w:rPr>
                <w:rFonts w:ascii="Tahoma" w:hAnsi="Tahoma"/>
                <w:noProof/>
                <w:sz w:val="20"/>
              </w:rPr>
            </w:pPr>
            <w:r>
              <w:rPr>
                <w:rFonts w:ascii="Tahoma" w:hAnsi="Tahoma"/>
                <w:noProof/>
                <w:sz w:val="20"/>
              </w:rPr>
              <w:t>Alternativ 4 ansågs av alla som det mest verkningsfulla.</w:t>
            </w:r>
          </w:p>
          <w:p w:rsidR="00E63442" w:rsidRDefault="0038396F">
            <w:pPr>
              <w:spacing w:after="60"/>
              <w:jc w:val="both"/>
              <w:rPr>
                <w:rFonts w:ascii="Tahoma" w:hAnsi="Tahoma" w:cs="Tahoma"/>
                <w:noProof/>
                <w:sz w:val="20"/>
                <w:szCs w:val="20"/>
              </w:rPr>
            </w:pPr>
            <w:r>
              <w:rPr>
                <w:rFonts w:ascii="Tahoma" w:hAnsi="Tahoma"/>
                <w:noProof/>
                <w:sz w:val="20"/>
              </w:rPr>
              <w:t>Det rådde konsensus emot alternativ 5.</w:t>
            </w:r>
          </w:p>
        </w:tc>
      </w:tr>
      <w:tr w:rsidR="00E63442">
        <w:tc>
          <w:tcPr>
            <w:tcW w:w="9747" w:type="dxa"/>
            <w:tcBorders>
              <w:bottom w:val="single" w:sz="4" w:space="0" w:color="auto"/>
            </w:tcBorders>
            <w:shd w:val="clear" w:color="auto" w:fill="CCCCCC"/>
          </w:tcPr>
          <w:p w:rsidR="00E63442" w:rsidRDefault="0038396F">
            <w:pPr>
              <w:spacing w:after="60"/>
              <w:jc w:val="center"/>
              <w:rPr>
                <w:rFonts w:ascii="Tahoma" w:hAnsi="Tahoma" w:cs="Tahoma"/>
                <w:b/>
                <w:noProof/>
                <w:sz w:val="20"/>
                <w:szCs w:val="20"/>
              </w:rPr>
            </w:pPr>
            <w:r>
              <w:rPr>
                <w:rFonts w:ascii="Tahoma" w:hAnsi="Tahoma"/>
                <w:b/>
                <w:noProof/>
                <w:sz w:val="20"/>
              </w:rPr>
              <w:t>C. Det rekommenderade alternativets konsekvenser</w:t>
            </w:r>
          </w:p>
        </w:tc>
      </w:tr>
      <w:tr w:rsidR="00E63442">
        <w:tc>
          <w:tcPr>
            <w:tcW w:w="9747" w:type="dxa"/>
            <w:tcBorders>
              <w:bottom w:val="single" w:sz="4" w:space="0" w:color="auto"/>
            </w:tcBorders>
            <w:shd w:val="clear" w:color="auto" w:fill="E6E6E6"/>
          </w:tcPr>
          <w:p w:rsidR="00E63442" w:rsidRDefault="0038396F">
            <w:pPr>
              <w:spacing w:after="60"/>
              <w:jc w:val="both"/>
              <w:rPr>
                <w:rFonts w:ascii="Tahoma" w:hAnsi="Tahoma" w:cs="Tahoma"/>
                <w:noProof/>
                <w:sz w:val="20"/>
                <w:szCs w:val="20"/>
              </w:rPr>
            </w:pPr>
            <w:r>
              <w:rPr>
                <w:rFonts w:ascii="Tahoma" w:hAnsi="Tahoma"/>
                <w:b/>
                <w:noProof/>
                <w:sz w:val="20"/>
              </w:rPr>
              <w:t xml:space="preserve">Vad är nyttan med det rekommenderade alternativet (om sådant alternativ finns, annars anges för </w:t>
            </w:r>
            <w:r>
              <w:rPr>
                <w:rFonts w:ascii="Tahoma" w:hAnsi="Tahoma"/>
                <w:b/>
                <w:noProof/>
                <w:sz w:val="20"/>
              </w:rPr>
              <w:t>huvudsakliga alternativ)?</w:t>
            </w:r>
          </w:p>
        </w:tc>
      </w:tr>
      <w:tr w:rsidR="00E63442">
        <w:tc>
          <w:tcPr>
            <w:tcW w:w="9747" w:type="dxa"/>
            <w:tcBorders>
              <w:bottom w:val="single" w:sz="4" w:space="0" w:color="auto"/>
            </w:tcBorders>
            <w:shd w:val="clear" w:color="auto" w:fill="auto"/>
          </w:tcPr>
          <w:p w:rsidR="00E63442" w:rsidRDefault="0038396F">
            <w:pPr>
              <w:spacing w:after="60"/>
              <w:jc w:val="both"/>
              <w:rPr>
                <w:rFonts w:ascii="Tahoma" w:hAnsi="Tahoma" w:cs="Tahoma"/>
                <w:noProof/>
                <w:sz w:val="20"/>
                <w:szCs w:val="20"/>
              </w:rPr>
            </w:pPr>
            <w:r>
              <w:rPr>
                <w:rFonts w:ascii="Tahoma" w:hAnsi="Tahoma"/>
                <w:noProof/>
                <w:sz w:val="20"/>
              </w:rPr>
              <w:t>Alternativ 4 i kombination med alternativ 2 kommer att öka medvetenheten och kunskapen om ömsesidigt erkännande, samtidigt som det leder till rättslig säkerhet vid tillämpning av principen och förbättrar det administrativa samarb</w:t>
            </w:r>
            <w:r>
              <w:rPr>
                <w:rFonts w:ascii="Tahoma" w:hAnsi="Tahoma"/>
                <w:noProof/>
                <w:sz w:val="20"/>
              </w:rPr>
              <w:t xml:space="preserve">etet mellan medlemsstaterna. </w:t>
            </w:r>
          </w:p>
        </w:tc>
      </w:tr>
      <w:tr w:rsidR="00E63442">
        <w:tc>
          <w:tcPr>
            <w:tcW w:w="9747" w:type="dxa"/>
            <w:tcBorders>
              <w:bottom w:val="single" w:sz="4" w:space="0" w:color="auto"/>
            </w:tcBorders>
            <w:shd w:val="clear" w:color="auto" w:fill="E6E6E6"/>
          </w:tcPr>
          <w:p w:rsidR="00E63442" w:rsidRDefault="0038396F">
            <w:pPr>
              <w:spacing w:after="60"/>
              <w:jc w:val="both"/>
              <w:rPr>
                <w:rFonts w:ascii="Tahoma" w:hAnsi="Tahoma" w:cs="Tahoma"/>
                <w:noProof/>
                <w:sz w:val="20"/>
                <w:szCs w:val="20"/>
              </w:rPr>
            </w:pPr>
            <w:r>
              <w:rPr>
                <w:rFonts w:ascii="Tahoma" w:hAnsi="Tahoma"/>
                <w:b/>
                <w:noProof/>
                <w:sz w:val="20"/>
              </w:rPr>
              <w:t>Vad är kostnaderna för det rekommenderade alternativet (om sådant alternativ finns, annars anges för huvudsakliga alternativ)?</w:t>
            </w:r>
          </w:p>
        </w:tc>
      </w:tr>
      <w:tr w:rsidR="00E63442">
        <w:tc>
          <w:tcPr>
            <w:tcW w:w="9747" w:type="dxa"/>
            <w:tcBorders>
              <w:bottom w:val="single" w:sz="4" w:space="0" w:color="auto"/>
            </w:tcBorders>
            <w:shd w:val="clear" w:color="auto" w:fill="auto"/>
          </w:tcPr>
          <w:p w:rsidR="00E63442" w:rsidRDefault="0038396F">
            <w:pPr>
              <w:spacing w:after="60"/>
              <w:jc w:val="both"/>
              <w:rPr>
                <w:rFonts w:ascii="Tahoma" w:hAnsi="Tahoma" w:cs="Tahoma"/>
                <w:noProof/>
                <w:sz w:val="20"/>
                <w:szCs w:val="20"/>
              </w:rPr>
            </w:pPr>
            <w:r>
              <w:rPr>
                <w:rFonts w:ascii="Tahoma" w:hAnsi="Tahoma"/>
                <w:noProof/>
                <w:sz w:val="20"/>
              </w:rPr>
              <w:t>Företagens kostnader är minimala. Medlemsstaterna och kommissionen kommer att bära vissa nödvändi</w:t>
            </w:r>
            <w:r>
              <w:rPr>
                <w:rFonts w:ascii="Tahoma" w:hAnsi="Tahoma"/>
                <w:noProof/>
                <w:sz w:val="20"/>
              </w:rPr>
              <w:t xml:space="preserve">ga kostnader, beräknade enligt följande: Informations- och utbildningsevenemang anordnas och samordnas (500 000 euro), plan för utbyte av tjänstemän (170 000 euro per år), snabbspår för överklagandeförfarande (motsvarande tre till fyra heltidstjänster för </w:t>
            </w:r>
            <w:r>
              <w:rPr>
                <w:rFonts w:ascii="Tahoma" w:hAnsi="Tahoma"/>
                <w:noProof/>
                <w:sz w:val="20"/>
              </w:rPr>
              <w:t xml:space="preserve">kommissionen, 225 000–300 000 euro per år), ökat administrativt samarbete (1 200 000 euro per år). </w:t>
            </w:r>
          </w:p>
        </w:tc>
      </w:tr>
      <w:tr w:rsidR="00E63442">
        <w:tc>
          <w:tcPr>
            <w:tcW w:w="9747" w:type="dxa"/>
            <w:tcBorders>
              <w:bottom w:val="single" w:sz="4" w:space="0" w:color="auto"/>
            </w:tcBorders>
            <w:shd w:val="clear" w:color="auto" w:fill="E6E6E6"/>
          </w:tcPr>
          <w:p w:rsidR="00E63442" w:rsidRDefault="0038396F">
            <w:pPr>
              <w:spacing w:after="60"/>
              <w:jc w:val="both"/>
              <w:rPr>
                <w:rFonts w:ascii="Tahoma" w:hAnsi="Tahoma" w:cs="Tahoma"/>
                <w:noProof/>
                <w:sz w:val="20"/>
                <w:szCs w:val="20"/>
              </w:rPr>
            </w:pPr>
            <w:r>
              <w:rPr>
                <w:rFonts w:ascii="Tahoma" w:hAnsi="Tahoma"/>
                <w:b/>
                <w:noProof/>
                <w:sz w:val="20"/>
              </w:rPr>
              <w:t>Hur påverkas företagen, särskilt små och medelstora företag och mikroföretag?</w:t>
            </w:r>
          </w:p>
        </w:tc>
      </w:tr>
      <w:tr w:rsidR="00E63442">
        <w:tc>
          <w:tcPr>
            <w:tcW w:w="9747" w:type="dxa"/>
            <w:tcBorders>
              <w:bottom w:val="single" w:sz="4" w:space="0" w:color="auto"/>
            </w:tcBorders>
            <w:shd w:val="clear" w:color="auto" w:fill="auto"/>
          </w:tcPr>
          <w:p w:rsidR="00E63442" w:rsidRDefault="0038396F">
            <w:pPr>
              <w:spacing w:after="60"/>
              <w:jc w:val="both"/>
              <w:rPr>
                <w:rFonts w:ascii="Tahoma" w:hAnsi="Tahoma" w:cs="Tahoma"/>
                <w:noProof/>
                <w:sz w:val="20"/>
                <w:szCs w:val="20"/>
              </w:rPr>
            </w:pPr>
            <w:r>
              <w:rPr>
                <w:rFonts w:ascii="Tahoma" w:hAnsi="Tahoma"/>
                <w:noProof/>
                <w:sz w:val="20"/>
              </w:rPr>
              <w:t>Mikroföretag och små och medelstora företag påverkas positivt av initiativet</w:t>
            </w:r>
            <w:r>
              <w:rPr>
                <w:rFonts w:ascii="Tahoma" w:hAnsi="Tahoma"/>
                <w:noProof/>
                <w:sz w:val="20"/>
              </w:rPr>
              <w:t xml:space="preserve"> utan att åsamkas ytterligare kostnader. </w:t>
            </w:r>
          </w:p>
        </w:tc>
      </w:tr>
      <w:tr w:rsidR="00E63442">
        <w:tc>
          <w:tcPr>
            <w:tcW w:w="9747" w:type="dxa"/>
            <w:tcBorders>
              <w:bottom w:val="single" w:sz="4" w:space="0" w:color="auto"/>
            </w:tcBorders>
            <w:shd w:val="clear" w:color="auto" w:fill="E6E6E6"/>
          </w:tcPr>
          <w:p w:rsidR="00E63442" w:rsidRDefault="0038396F">
            <w:pPr>
              <w:spacing w:after="60"/>
              <w:jc w:val="both"/>
              <w:rPr>
                <w:rFonts w:ascii="Tahoma" w:hAnsi="Tahoma" w:cs="Tahoma"/>
                <w:b/>
                <w:i/>
                <w:noProof/>
                <w:sz w:val="20"/>
                <w:szCs w:val="20"/>
              </w:rPr>
            </w:pPr>
            <w:r>
              <w:rPr>
                <w:rFonts w:ascii="Tahoma" w:hAnsi="Tahoma"/>
                <w:b/>
                <w:noProof/>
                <w:sz w:val="20"/>
              </w:rPr>
              <w:t>Påverkas medlemsstaternas</w:t>
            </w:r>
            <w:r>
              <w:rPr>
                <w:rFonts w:ascii="Tahoma" w:hAnsi="Tahoma"/>
                <w:noProof/>
                <w:sz w:val="20"/>
              </w:rPr>
              <w:t xml:space="preserve"> </w:t>
            </w:r>
            <w:r>
              <w:rPr>
                <w:rFonts w:ascii="Tahoma" w:hAnsi="Tahoma"/>
                <w:b/>
                <w:noProof/>
                <w:sz w:val="20"/>
              </w:rPr>
              <w:t>budgetar och förvaltningar i betydande grad?</w:t>
            </w:r>
          </w:p>
        </w:tc>
      </w:tr>
      <w:tr w:rsidR="00E63442">
        <w:tc>
          <w:tcPr>
            <w:tcW w:w="9747" w:type="dxa"/>
            <w:shd w:val="clear" w:color="auto" w:fill="auto"/>
          </w:tcPr>
          <w:p w:rsidR="00E63442" w:rsidRDefault="0038396F">
            <w:pPr>
              <w:spacing w:after="60"/>
              <w:jc w:val="both"/>
              <w:rPr>
                <w:rFonts w:ascii="Tahoma" w:hAnsi="Tahoma" w:cs="Tahoma"/>
                <w:noProof/>
                <w:sz w:val="20"/>
                <w:szCs w:val="20"/>
              </w:rPr>
            </w:pPr>
            <w:r>
              <w:rPr>
                <w:rFonts w:ascii="Tahoma" w:hAnsi="Tahoma"/>
                <w:noProof/>
                <w:sz w:val="20"/>
              </w:rPr>
              <w:t>Kontaktpunkter för produkter kan påverkas eftersom lämpliga resurser kommer att behövas för de anförtrodda arbetsuppgifterna.</w:t>
            </w:r>
          </w:p>
        </w:tc>
      </w:tr>
      <w:tr w:rsidR="00E63442">
        <w:tc>
          <w:tcPr>
            <w:tcW w:w="9747" w:type="dxa"/>
            <w:tcBorders>
              <w:bottom w:val="single" w:sz="4" w:space="0" w:color="auto"/>
            </w:tcBorders>
            <w:shd w:val="clear" w:color="auto" w:fill="E6E6E6"/>
          </w:tcPr>
          <w:p w:rsidR="00E63442" w:rsidRDefault="0038396F">
            <w:pPr>
              <w:spacing w:after="60"/>
              <w:jc w:val="both"/>
              <w:rPr>
                <w:rFonts w:ascii="Tahoma" w:hAnsi="Tahoma" w:cs="Tahoma"/>
                <w:noProof/>
                <w:sz w:val="20"/>
                <w:szCs w:val="20"/>
              </w:rPr>
            </w:pPr>
            <w:r>
              <w:rPr>
                <w:rFonts w:ascii="Tahoma" w:hAnsi="Tahoma"/>
                <w:b/>
                <w:noProof/>
                <w:sz w:val="20"/>
              </w:rPr>
              <w:t xml:space="preserve">Uppstår andra </w:t>
            </w:r>
            <w:r>
              <w:rPr>
                <w:rFonts w:ascii="Tahoma" w:hAnsi="Tahoma"/>
                <w:b/>
                <w:noProof/>
                <w:sz w:val="20"/>
              </w:rPr>
              <w:t>betydande konsekvenser?</w:t>
            </w:r>
          </w:p>
        </w:tc>
      </w:tr>
      <w:tr w:rsidR="00E63442">
        <w:tc>
          <w:tcPr>
            <w:tcW w:w="9747" w:type="dxa"/>
            <w:tcBorders>
              <w:bottom w:val="single" w:sz="4" w:space="0" w:color="auto"/>
            </w:tcBorders>
            <w:shd w:val="clear" w:color="auto" w:fill="auto"/>
          </w:tcPr>
          <w:p w:rsidR="00E63442" w:rsidRDefault="0038396F">
            <w:pPr>
              <w:spacing w:after="60"/>
              <w:jc w:val="both"/>
              <w:rPr>
                <w:rFonts w:ascii="Tahoma" w:hAnsi="Tahoma" w:cs="Tahoma"/>
                <w:noProof/>
                <w:sz w:val="20"/>
                <w:szCs w:val="20"/>
              </w:rPr>
            </w:pPr>
            <w:r>
              <w:rPr>
                <w:rFonts w:ascii="Tahoma" w:hAnsi="Tahoma"/>
                <w:noProof/>
                <w:sz w:val="20"/>
              </w:rPr>
              <w:t>Företagen får större marknadsmöjligheter, i synnerhet de innovativa företagen.</w:t>
            </w:r>
          </w:p>
        </w:tc>
      </w:tr>
      <w:tr w:rsidR="00E63442">
        <w:tc>
          <w:tcPr>
            <w:tcW w:w="9747" w:type="dxa"/>
            <w:tcBorders>
              <w:bottom w:val="single" w:sz="4" w:space="0" w:color="auto"/>
            </w:tcBorders>
            <w:shd w:val="clear" w:color="auto" w:fill="C0C0C0"/>
          </w:tcPr>
          <w:p w:rsidR="00E63442" w:rsidRDefault="0038396F">
            <w:pPr>
              <w:spacing w:after="60"/>
              <w:jc w:val="center"/>
              <w:rPr>
                <w:rFonts w:ascii="Tahoma" w:hAnsi="Tahoma" w:cs="Tahoma"/>
                <w:b/>
                <w:noProof/>
                <w:sz w:val="20"/>
                <w:szCs w:val="20"/>
              </w:rPr>
            </w:pPr>
            <w:r>
              <w:rPr>
                <w:rFonts w:ascii="Tahoma" w:hAnsi="Tahoma"/>
                <w:b/>
                <w:noProof/>
                <w:sz w:val="20"/>
              </w:rPr>
              <w:t>D. Uppföljning</w:t>
            </w:r>
          </w:p>
        </w:tc>
      </w:tr>
      <w:tr w:rsidR="00E63442">
        <w:tc>
          <w:tcPr>
            <w:tcW w:w="9747" w:type="dxa"/>
            <w:tcBorders>
              <w:bottom w:val="single" w:sz="4" w:space="0" w:color="auto"/>
            </w:tcBorders>
            <w:shd w:val="clear" w:color="auto" w:fill="E6E6E6"/>
          </w:tcPr>
          <w:p w:rsidR="00E63442" w:rsidRDefault="0038396F">
            <w:pPr>
              <w:spacing w:after="60"/>
              <w:jc w:val="both"/>
              <w:rPr>
                <w:rFonts w:ascii="Tahoma" w:hAnsi="Tahoma" w:cs="Tahoma"/>
                <w:noProof/>
                <w:sz w:val="20"/>
                <w:szCs w:val="20"/>
              </w:rPr>
            </w:pPr>
            <w:r>
              <w:rPr>
                <w:rFonts w:ascii="Tahoma" w:hAnsi="Tahoma"/>
                <w:b/>
                <w:noProof/>
                <w:sz w:val="20"/>
              </w:rPr>
              <w:t xml:space="preserve">När kommer åtgärderna att ses över? </w:t>
            </w:r>
          </w:p>
        </w:tc>
      </w:tr>
      <w:tr w:rsidR="00E63442">
        <w:tc>
          <w:tcPr>
            <w:tcW w:w="9747" w:type="dxa"/>
            <w:tcBorders>
              <w:bottom w:val="single" w:sz="4" w:space="0" w:color="auto"/>
            </w:tcBorders>
            <w:shd w:val="clear" w:color="auto" w:fill="auto"/>
          </w:tcPr>
          <w:p w:rsidR="00E63442" w:rsidRDefault="0038396F">
            <w:pPr>
              <w:spacing w:after="60"/>
              <w:jc w:val="both"/>
              <w:rPr>
                <w:rFonts w:ascii="Tahoma" w:hAnsi="Tahoma" w:cs="Tahoma"/>
                <w:noProof/>
                <w:sz w:val="20"/>
                <w:szCs w:val="20"/>
              </w:rPr>
            </w:pPr>
            <w:r>
              <w:rPr>
                <w:rFonts w:ascii="Tahoma" w:hAnsi="Tahoma"/>
                <w:noProof/>
                <w:sz w:val="20"/>
              </w:rPr>
              <w:t xml:space="preserve">Kommissionen ska rapportera till Europaparlamentet och rådet fem år efter den nya förordningens </w:t>
            </w:r>
            <w:r>
              <w:rPr>
                <w:rFonts w:ascii="Tahoma" w:hAnsi="Tahoma"/>
                <w:noProof/>
                <w:sz w:val="20"/>
              </w:rPr>
              <w:t>ikraftträdande och därefter vart femte år.</w:t>
            </w:r>
          </w:p>
        </w:tc>
      </w:tr>
    </w:tbl>
    <w:p w:rsidR="00E63442" w:rsidRDefault="00E63442">
      <w:pPr>
        <w:rPr>
          <w:rFonts w:ascii="Tahoma" w:hAnsi="Tahoma" w:cs="Tahoma"/>
          <w:noProof/>
          <w:sz w:val="20"/>
          <w:szCs w:val="20"/>
        </w:rPr>
      </w:pPr>
    </w:p>
    <w:sectPr w:rsidR="00E63442">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42" w:rsidRDefault="0038396F">
      <w:r>
        <w:separator/>
      </w:r>
    </w:p>
  </w:endnote>
  <w:endnote w:type="continuationSeparator" w:id="0">
    <w:p w:rsidR="00E63442" w:rsidRDefault="0038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F" w:rsidRPr="0038396F" w:rsidRDefault="0038396F" w:rsidP="00383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F" w:rsidRPr="0038396F" w:rsidRDefault="0038396F" w:rsidP="0038396F">
    <w:pPr>
      <w:pStyle w:val="FooterCoverPage"/>
      <w:rPr>
        <w:rFonts w:ascii="Arial" w:hAnsi="Arial" w:cs="Arial"/>
        <w:b/>
        <w:sz w:val="48"/>
      </w:rPr>
    </w:pPr>
    <w:r w:rsidRPr="0038396F">
      <w:rPr>
        <w:rFonts w:ascii="Arial" w:hAnsi="Arial" w:cs="Arial"/>
        <w:b/>
        <w:sz w:val="48"/>
      </w:rPr>
      <w:t>SV</w:t>
    </w:r>
    <w:r w:rsidRPr="0038396F">
      <w:rPr>
        <w:rFonts w:ascii="Arial" w:hAnsi="Arial" w:cs="Arial"/>
        <w:b/>
        <w:sz w:val="48"/>
      </w:rPr>
      <w:tab/>
    </w:r>
    <w:r w:rsidRPr="0038396F">
      <w:rPr>
        <w:rFonts w:ascii="Arial" w:hAnsi="Arial" w:cs="Arial"/>
        <w:b/>
        <w:sz w:val="48"/>
      </w:rPr>
      <w:tab/>
    </w:r>
    <w:r w:rsidRPr="0038396F">
      <w:tab/>
    </w:r>
    <w:proofErr w:type="spellStart"/>
    <w:r w:rsidRPr="0038396F">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F" w:rsidRPr="0038396F" w:rsidRDefault="0038396F" w:rsidP="0038396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42" w:rsidRDefault="00E634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21775996"/>
      <w:docPartObj>
        <w:docPartGallery w:val="Page Numbers (Bottom of Page)"/>
        <w:docPartUnique/>
      </w:docPartObj>
    </w:sdtPr>
    <w:sdtEndPr>
      <w:rPr>
        <w:noProof/>
      </w:rPr>
    </w:sdtEndPr>
    <w:sdtContent>
      <w:p w:rsidR="00E63442" w:rsidRDefault="0038396F">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noProof/>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42" w:rsidRDefault="00E63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42" w:rsidRDefault="0038396F">
      <w:r>
        <w:separator/>
      </w:r>
    </w:p>
  </w:footnote>
  <w:footnote w:type="continuationSeparator" w:id="0">
    <w:p w:rsidR="00E63442" w:rsidRDefault="0038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F" w:rsidRPr="0038396F" w:rsidRDefault="0038396F" w:rsidP="00383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F" w:rsidRPr="0038396F" w:rsidRDefault="0038396F" w:rsidP="0038396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F" w:rsidRPr="0038396F" w:rsidRDefault="0038396F" w:rsidP="0038396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42" w:rsidRDefault="00E634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42" w:rsidRDefault="00E634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42" w:rsidRDefault="00E63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216"/>
    <w:multiLevelType w:val="hybridMultilevel"/>
    <w:tmpl w:val="2A961AD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Följedokument till"/>
    <w:docVar w:name="LW_CORRIGENDUM" w:val="CORRIGENDUM :_x000b_Document SWD(2017) 472 final of 19.12.2017 is corrected in all language versions except EN._x000b_The words &quot;lawfully marketed in another Member State&quot; were missing in the title._x000b_The text shall read as follows:"/>
    <w:docVar w:name="LW_COVERPAGE_EXISTS" w:val="True"/>
    <w:docVar w:name="LW_COVERPAGE_GUID" w:val="0248B50C-AB77-4458-A9E4-0CDB61124155"/>
    <w:docVar w:name="LW_COVERPAGE_TYPE" w:val="1"/>
    <w:docVar w:name="LW_CROSSREFERENCE" w:val="{COM(2017) 796 final}_x000d__x000a_{SWD(2017) 471 final}_x000d__x000a_{SWD(2017) 475 final}_x000d__x000a_{SWD(2017) 476 final}_x000d__x000a_{SWD(2017) 477 final}"/>
    <w:docVar w:name="LW_DocType" w:val="NORMAL"/>
    <w:docVar w:name="LW_EMISSION" w:val="30.1.2018"/>
    <w:docVar w:name="LW_EMISSION_ISODATE" w:val="2018-01-30"/>
    <w:docVar w:name="LW_EMISSION_LOCATION" w:val="BRX"/>
    <w:docVar w:name="LW_EMISSION_PREFIX" w:val="Bryssel den"/>
    <w:docVar w:name="LW_EMISSION_SUFFIX" w:val="&lt;EMPTY&gt;"/>
    <w:docVar w:name="LW_ID_DOCTYPE_NONLW" w:val="CP-027"/>
    <w:docVar w:name="LW_LANGUE" w:val="SV"/>
    <w:docVar w:name="LW_LEVEL_OF_SENSITIVITY" w:val="Standard treatment"/>
    <w:docVar w:name="LW_NOM.INST" w:val="EUROPEISKA KOMMISSIONEN"/>
    <w:docVar w:name="LW_NOM.INST_JOINTDOC" w:val="&lt;EMPTY&gt;"/>
    <w:docVar w:name="LW_OBJETACTEPRINCIPAL.CP" w:val="om ömsesidigt erkännande av varor som lagligen saluförs i en annan medlemsstat"/>
    <w:docVar w:name="LW_PART_NBR" w:val="1"/>
    <w:docVar w:name="LW_PART_NBR_TOTAL" w:val="1"/>
    <w:docVar w:name="LW_REF.INST.NEW" w:val="SWD"/>
    <w:docVar w:name="LW_REF.INST.NEW_ADOPTED" w:val="final"/>
    <w:docVar w:name="LW_REF.INST.NEW_TEXT" w:val="(2017)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TSDOKUMENT FRÅN KOMMISSIONENS AVDELNINGAR_x000b__x000b_SAMMANFATTNING AV KONSEKVENSBEDÖMNINGEN_x000b_"/>
    <w:docVar w:name="LW_TYPEACTEPRINCIPAL.CP" w:val="Förslag till EUROPAPARLAMENTETS OCH RÅDETS FÖRORDNING"/>
  </w:docVars>
  <w:rsids>
    <w:rsidRoot w:val="00E63442"/>
    <w:rsid w:val="0038396F"/>
    <w:rsid w:val="00E634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7EFD9B919FF4BA61E610B5F3FFB70" ma:contentTypeVersion="1" ma:contentTypeDescription="Create a new document." ma:contentTypeScope="" ma:versionID="aa558f749e9fe6460ed6440df957c34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D33F7-210E-460D-B1EA-C6B5F230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228E3-FEEC-429F-8C93-CFCC37DE565D}">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518</Words>
  <Characters>3398</Characters>
  <Application>Microsoft Office Word</Application>
  <DocSecurity>0</DocSecurity>
  <Lines>61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BARTH Carmen (SG)</cp:lastModifiedBy>
  <cp:revision>36</cp:revision>
  <cp:lastPrinted>2017-12-11T15:37:00Z</cp:lastPrinted>
  <dcterms:created xsi:type="dcterms:W3CDTF">2017-12-11T15:37:00Z</dcterms:created>
  <dcterms:modified xsi:type="dcterms:W3CDTF">2018-01-30T09:43:00Z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0x0101007527EFD9B919FF4BA61E610B5F3FFB70</vt:lpwstr>
  </property>
  <property fmtid="{D5CDD505-2E9C-101B-9397-08002B2CF9AE}" pid="10" name="TemplateUrl">
    <vt:lpwstr/>
  </property>
  <property fmtid="{D5CDD505-2E9C-101B-9397-08002B2CF9AE}" pid="11" name="Level of sensitivity">
    <vt:lpwstr>Standard treatment</vt:lpwstr>
  </property>
</Properties>
</file>