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79C851F-514A-49E6-A227-3D2C1C5E6580" style="width:450.75pt;height:320.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bCs/>
          <w:noProof/>
          <w:sz w:val="24"/>
          <w:szCs w:val="24"/>
        </w:rPr>
      </w:pPr>
      <w:bookmarkStart w:id="1" w:name="_GoBack"/>
      <w:bookmarkEnd w:id="1"/>
      <w:r>
        <w:rPr>
          <w:noProof/>
        </w:rPr>
        <w:lastRenderedPageBreak/>
        <w:t xml:space="preserve">O </w:t>
      </w:r>
      <w:r>
        <w:rPr>
          <w:rFonts w:ascii="Times New Roman" w:hAnsi="Times New Roman"/>
          <w:b/>
          <w:noProof/>
          <w:sz w:val="24"/>
        </w:rPr>
        <w:t>Erasmus+</w:t>
      </w:r>
      <w:r>
        <w:rPr>
          <w:rFonts w:ascii="Times New Roman" w:hAnsi="Times New Roman"/>
          <w:noProof/>
          <w:sz w:val="24"/>
        </w:rPr>
        <w:t xml:space="preserve"> é o programa da União que apoia as medidas nos domínios da educação e da formação, da juventude e do desporto. Com um orçamento de </w:t>
      </w:r>
      <w:r>
        <w:rPr>
          <w:rFonts w:ascii="Times New Roman" w:hAnsi="Times New Roman"/>
          <w:b/>
          <w:noProof/>
          <w:sz w:val="24"/>
        </w:rPr>
        <w:t>16,45 mil milhões de EUR para o período de 2014-2020</w:t>
      </w:r>
      <w:r>
        <w:rPr>
          <w:rFonts w:ascii="Times New Roman" w:hAnsi="Times New Roman"/>
          <w:b/>
          <w:noProof/>
          <w:sz w:val="24"/>
          <w:vertAlign w:val="superscript"/>
        </w:rPr>
        <w:footnoteReference w:id="1"/>
      </w:r>
      <w:r>
        <w:rPr>
          <w:rFonts w:ascii="Times New Roman" w:hAnsi="Times New Roman"/>
          <w:b/>
          <w:noProof/>
          <w:sz w:val="24"/>
        </w:rPr>
        <w:t>,</w:t>
      </w:r>
      <w:r>
        <w:rPr>
          <w:rFonts w:ascii="Times New Roman" w:hAnsi="Times New Roman"/>
          <w:noProof/>
          <w:sz w:val="24"/>
        </w:rPr>
        <w:t xml:space="preserve"> o programa tem por objetivo proporcionar a mais de </w:t>
      </w:r>
      <w:r>
        <w:rPr>
          <w:rFonts w:ascii="Times New Roman" w:hAnsi="Times New Roman"/>
          <w:b/>
          <w:noProof/>
          <w:sz w:val="24"/>
        </w:rPr>
        <w:t>4 milhões de pessoas</w:t>
      </w:r>
      <w:r>
        <w:rPr>
          <w:rFonts w:ascii="Times New Roman" w:hAnsi="Times New Roman"/>
          <w:noProof/>
          <w:sz w:val="24"/>
        </w:rPr>
        <w:t xml:space="preserve"> a oportunidade de adquirir competências e desenvolver as suas facetas pessoal, socioeducativa e profissional, graças a estudos, formações, experiências profissionais ou voluntariado realizado no estrangeiro, em todo o mundo. O programa visa promover melhorias da qualidade, inovação, excelência e internacionalização das </w:t>
      </w:r>
      <w:r>
        <w:rPr>
          <w:rFonts w:ascii="Times New Roman" w:hAnsi="Times New Roman"/>
          <w:b/>
          <w:noProof/>
          <w:sz w:val="24"/>
        </w:rPr>
        <w:t>organizações</w:t>
      </w:r>
      <w:r>
        <w:rPr>
          <w:rFonts w:ascii="Times New Roman" w:hAnsi="Times New Roman"/>
          <w:noProof/>
          <w:sz w:val="24"/>
        </w:rPr>
        <w:t xml:space="preserve"> ativas na educação e na formação, na juventude e no desporto. O Erasmus+ também ajuda os países europeus a modernizarem e melhorarem os seus </w:t>
      </w:r>
      <w:r>
        <w:rPr>
          <w:rFonts w:ascii="Times New Roman" w:hAnsi="Times New Roman"/>
          <w:b/>
          <w:noProof/>
          <w:sz w:val="24"/>
        </w:rPr>
        <w:t>sistemas</w:t>
      </w:r>
      <w:r>
        <w:rPr>
          <w:rFonts w:ascii="Times New Roman" w:hAnsi="Times New Roman"/>
          <w:noProof/>
          <w:sz w:val="24"/>
        </w:rPr>
        <w:t xml:space="preserve"> de educação e formação, assim como as suas </w:t>
      </w:r>
      <w:r>
        <w:rPr>
          <w:rFonts w:ascii="Times New Roman" w:hAnsi="Times New Roman"/>
          <w:b/>
          <w:noProof/>
          <w:sz w:val="24"/>
        </w:rPr>
        <w:t>políticas</w:t>
      </w:r>
      <w:r>
        <w:rPr>
          <w:rFonts w:ascii="Times New Roman" w:hAnsi="Times New Roman"/>
          <w:noProof/>
          <w:sz w:val="24"/>
        </w:rPr>
        <w:t xml:space="preserve"> de juventude e desporto, reforçando o seu papel como motores de crescimento, emprego, competitividade, inovação e coesão social.</w:t>
      </w:r>
    </w:p>
    <w:p>
      <w:pPr>
        <w:jc w:val="both"/>
        <w:rPr>
          <w:rFonts w:ascii="Times New Roman" w:hAnsi="Times New Roman" w:cs="Times New Roman"/>
          <w:bCs/>
          <w:noProof/>
          <w:sz w:val="24"/>
          <w:szCs w:val="24"/>
        </w:rPr>
      </w:pPr>
      <w:r>
        <w:rPr>
          <w:rFonts w:ascii="Times New Roman" w:hAnsi="Times New Roman"/>
          <w:noProof/>
          <w:sz w:val="24"/>
        </w:rPr>
        <w:t xml:space="preserve">O presente relatório da </w:t>
      </w:r>
      <w:r>
        <w:rPr>
          <w:rFonts w:ascii="Times New Roman" w:hAnsi="Times New Roman"/>
          <w:b/>
          <w:noProof/>
          <w:sz w:val="24"/>
        </w:rPr>
        <w:t>avaliação intercalar</w:t>
      </w:r>
      <w:r>
        <w:rPr>
          <w:rFonts w:ascii="Times New Roman" w:hAnsi="Times New Roman"/>
          <w:noProof/>
          <w:sz w:val="24"/>
        </w:rPr>
        <w:t xml:space="preserve"> do programa Erasmus+, incluindo a avaliação do impacto a longo prazo dos programas antecessores, é apresentado ao abrigo do disposto no artigo 21.º do Regulamento (UE) n.º 1288/2013 do Parlamento Europeu e do Conselho</w:t>
      </w:r>
      <w:r>
        <w:rPr>
          <w:rStyle w:val="FootnoteReference"/>
          <w:noProof/>
        </w:rPr>
        <w:footnoteReference w:id="2"/>
      </w:r>
      <w:r>
        <w:rPr>
          <w:rFonts w:ascii="Times New Roman" w:hAnsi="Times New Roman"/>
          <w:noProof/>
          <w:sz w:val="24"/>
        </w:rPr>
        <w:t xml:space="preserve">, e é acompanhado por um documento de trabalho que apresenta todos os dados factuais. O relatório baseia-se em relatórios nacionais apresentados pelos países abrangidos pelo programa, num relatório de avaliação realizado por uma empresa externa, noutros estudos analisados, em experiências angariadas com a gestão do programa, e em </w:t>
      </w:r>
      <w:r>
        <w:rPr>
          <w:rFonts w:ascii="Times New Roman" w:hAnsi="Times New Roman"/>
          <w:b/>
          <w:noProof/>
          <w:sz w:val="24"/>
        </w:rPr>
        <w:t>mais de um milhão de respostas de todas as partes interessadas</w:t>
      </w:r>
      <w:r>
        <w:rPr>
          <w:rFonts w:ascii="Times New Roman" w:hAnsi="Times New Roman"/>
          <w:noProof/>
          <w:sz w:val="24"/>
        </w:rPr>
        <w:t>. Avalia os progressos da aplicação do programa Erasmus+ alcançados no período de 2014-2016 em todos os países participantes</w:t>
      </w:r>
      <w:r>
        <w:rPr>
          <w:rStyle w:val="FootnoteReference"/>
          <w:rFonts w:ascii="Times New Roman" w:hAnsi="Times New Roman"/>
          <w:noProof/>
          <w:sz w:val="24"/>
        </w:rPr>
        <w:footnoteReference w:id="3"/>
      </w:r>
      <w:r>
        <w:rPr>
          <w:rFonts w:ascii="Times New Roman" w:hAnsi="Times New Roman"/>
          <w:noProof/>
          <w:sz w:val="24"/>
        </w:rPr>
        <w:t xml:space="preserve">, antes do aumento geral do orçamento. Examina também o impacto a longo prazo de sete programas anteriores executados no período de </w:t>
      </w:r>
      <w:r>
        <w:rPr>
          <w:rFonts w:ascii="Times New Roman" w:hAnsi="Times New Roman"/>
          <w:b/>
          <w:noProof/>
          <w:sz w:val="24"/>
        </w:rPr>
        <w:t>2007-2013</w:t>
      </w:r>
      <w:r>
        <w:rPr>
          <w:rFonts w:ascii="Times New Roman" w:hAnsi="Times New Roman"/>
          <w:noProof/>
          <w:sz w:val="24"/>
        </w:rPr>
        <w:t xml:space="preserve"> (avaliação </w:t>
      </w:r>
      <w:r>
        <w:rPr>
          <w:rFonts w:ascii="Times New Roman" w:hAnsi="Times New Roman"/>
          <w:i/>
          <w:noProof/>
          <w:sz w:val="24"/>
        </w:rPr>
        <w:t>ex post</w:t>
      </w:r>
      <w:r>
        <w:rPr>
          <w:rFonts w:ascii="Times New Roman" w:hAnsi="Times New Roman"/>
          <w:noProof/>
          <w:sz w:val="24"/>
        </w:rPr>
        <w:t>), incluindo nos países parceiros.</w:t>
      </w:r>
    </w:p>
    <w:p>
      <w:pPr>
        <w:jc w:val="both"/>
        <w:rPr>
          <w:rFonts w:ascii="Times New Roman" w:hAnsi="Times New Roman" w:cs="Times New Roman"/>
          <w:noProof/>
          <w:sz w:val="24"/>
          <w:szCs w:val="24"/>
        </w:rPr>
      </w:pPr>
      <w:r>
        <w:rPr>
          <w:rFonts w:ascii="Times New Roman" w:hAnsi="Times New Roman"/>
          <w:noProof/>
          <w:sz w:val="24"/>
        </w:rPr>
        <w:t xml:space="preserve">O programa Erasmus+ está no bom caminho para </w:t>
      </w:r>
      <w:r>
        <w:rPr>
          <w:rFonts w:ascii="Times New Roman" w:hAnsi="Times New Roman"/>
          <w:b/>
          <w:noProof/>
          <w:sz w:val="24"/>
        </w:rPr>
        <w:t>alcançar os seus indicadores de desempenho</w:t>
      </w:r>
      <w:r>
        <w:rPr>
          <w:rFonts w:ascii="Times New Roman" w:hAnsi="Times New Roman"/>
          <w:noProof/>
          <w:sz w:val="24"/>
        </w:rPr>
        <w:t xml:space="preserve">, tal como estabelecidos na base jurídica, sendo de destacar que, em menos de três anos, </w:t>
      </w:r>
      <w:r>
        <w:rPr>
          <w:rFonts w:ascii="Times New Roman" w:hAnsi="Times New Roman"/>
          <w:b/>
          <w:noProof/>
          <w:sz w:val="24"/>
        </w:rPr>
        <w:t>1,8 milhões de pessoas</w:t>
      </w:r>
      <w:r>
        <w:rPr>
          <w:rFonts w:ascii="Times New Roman" w:hAnsi="Times New Roman"/>
          <w:noProof/>
          <w:sz w:val="24"/>
        </w:rPr>
        <w:t xml:space="preserve"> participaram em atividades de mobilidade e </w:t>
      </w:r>
      <w:r>
        <w:rPr>
          <w:rFonts w:ascii="Times New Roman" w:hAnsi="Times New Roman"/>
          <w:b/>
          <w:noProof/>
          <w:sz w:val="24"/>
        </w:rPr>
        <w:t>mais de 240 000 organizações</w:t>
      </w:r>
      <w:r>
        <w:rPr>
          <w:rFonts w:ascii="Times New Roman" w:hAnsi="Times New Roman"/>
          <w:noProof/>
          <w:sz w:val="24"/>
        </w:rPr>
        <w:t xml:space="preserve"> estiveram envolvidas em projetos de cooperação. Tendo em conta os dados de referência da avaliação, entre 2007 e 2016, os programas analisados financiaram a mobilidade para fins de aprendizagem de </w:t>
      </w:r>
      <w:r>
        <w:rPr>
          <w:rFonts w:ascii="Times New Roman" w:hAnsi="Times New Roman"/>
          <w:b/>
          <w:noProof/>
          <w:sz w:val="24"/>
        </w:rPr>
        <w:t>4,3 milhões de jovens e mais de 880 000 profissionais</w:t>
      </w:r>
      <w:r>
        <w:rPr>
          <w:rFonts w:ascii="Times New Roman" w:hAnsi="Times New Roman"/>
          <w:noProof/>
          <w:sz w:val="24"/>
        </w:rPr>
        <w:t xml:space="preserve">. Além disso, muitas outras pessoas beneficiaram de projetos de cooperação que envolveram </w:t>
      </w:r>
      <w:r>
        <w:rPr>
          <w:rFonts w:ascii="Times New Roman" w:hAnsi="Times New Roman"/>
          <w:b/>
          <w:noProof/>
          <w:sz w:val="24"/>
        </w:rPr>
        <w:t>940 000 organizações</w:t>
      </w:r>
      <w:r>
        <w:rPr>
          <w:rFonts w:ascii="Times New Roman" w:hAnsi="Times New Roman"/>
          <w:noProof/>
          <w:sz w:val="24"/>
        </w:rPr>
        <w:t>.</w:t>
      </w:r>
    </w:p>
    <w:p>
      <w:pPr>
        <w:jc w:val="both"/>
        <w:rPr>
          <w:rFonts w:ascii="Times New Roman" w:hAnsi="Times New Roman" w:cs="Times New Roman"/>
          <w:bCs/>
          <w:noProof/>
          <w:sz w:val="24"/>
          <w:szCs w:val="24"/>
        </w:rPr>
      </w:pPr>
      <w:r>
        <w:rPr>
          <w:rFonts w:ascii="Times New Roman" w:hAnsi="Times New Roman"/>
          <w:noProof/>
          <w:sz w:val="24"/>
        </w:rPr>
        <w:t xml:space="preserve">Em geral, a avaliação mostra que </w:t>
      </w:r>
      <w:r>
        <w:rPr>
          <w:rFonts w:ascii="Times New Roman" w:hAnsi="Times New Roman"/>
          <w:b/>
          <w:noProof/>
          <w:sz w:val="24"/>
        </w:rPr>
        <w:t>o Erasmus+ é muito apreciado pelas partes interessadas e pelo público</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As conclusões desta avaliação, tal como descritas em pormenor no documento de trabalho, mostram que todos os programas avaliados se revelam </w:t>
      </w:r>
      <w:r>
        <w:rPr>
          <w:rFonts w:ascii="Times New Roman" w:hAnsi="Times New Roman"/>
          <w:b/>
          <w:noProof/>
          <w:sz w:val="24"/>
        </w:rPr>
        <w:t>muito eficazes</w:t>
      </w:r>
      <w:r>
        <w:rPr>
          <w:rFonts w:ascii="Times New Roman" w:hAnsi="Times New Roman"/>
          <w:noProof/>
          <w:sz w:val="24"/>
        </w:rPr>
        <w:t xml:space="preserve">. O seu valor acrescentado europeu é indiscutível. Além disso, o Erasmus+ é encarado como </w:t>
      </w:r>
      <w:r>
        <w:rPr>
          <w:rFonts w:ascii="Times New Roman" w:hAnsi="Times New Roman"/>
          <w:b/>
          <w:noProof/>
          <w:sz w:val="24"/>
        </w:rPr>
        <w:t>mais coerente, relevante</w:t>
      </w:r>
      <w:r>
        <w:rPr>
          <w:rFonts w:ascii="Times New Roman" w:hAnsi="Times New Roman"/>
          <w:noProof/>
          <w:sz w:val="24"/>
        </w:rPr>
        <w:t xml:space="preserve"> e apenas parcialmente </w:t>
      </w:r>
      <w:r>
        <w:rPr>
          <w:rFonts w:ascii="Times New Roman" w:hAnsi="Times New Roman"/>
          <w:b/>
          <w:noProof/>
          <w:sz w:val="24"/>
        </w:rPr>
        <w:t>mais eficiente</w:t>
      </w:r>
      <w:r>
        <w:rPr>
          <w:rFonts w:ascii="Times New Roman" w:hAnsi="Times New Roman"/>
          <w:noProof/>
          <w:sz w:val="24"/>
        </w:rPr>
        <w:t xml:space="preserve"> do que os seus antecessores. Tendo por base as sugestões dos relatórios nacionais, e tendo em conta as recomendações formuladas pelo avaliador externo, a avaliação propõe que seja ajustada a execução do atual programa para ajudar a alcançar o seu potencial máximo até 2020, e toma em consideração as sugestões sobre melhorias destinadas a um programa sucessor.</w:t>
      </w:r>
    </w:p>
    <w:p>
      <w:pPr>
        <w:keepNext/>
        <w:spacing w:before="480" w:after="240"/>
        <w:rPr>
          <w:rFonts w:ascii="Times New Roman" w:hAnsi="Times New Roman" w:cs="Times New Roman"/>
          <w:i/>
          <w:noProof/>
          <w:sz w:val="24"/>
          <w:szCs w:val="24"/>
          <w:u w:val="single"/>
        </w:rPr>
      </w:pPr>
      <w:r>
        <w:rPr>
          <w:rFonts w:ascii="Times New Roman" w:hAnsi="Times New Roman"/>
          <w:i/>
          <w:noProof/>
          <w:sz w:val="24"/>
          <w:u w:val="single"/>
        </w:rPr>
        <w:t>Eficácia</w:t>
      </w:r>
    </w:p>
    <w:p>
      <w:pPr>
        <w:jc w:val="both"/>
        <w:rPr>
          <w:rFonts w:ascii="Times New Roman" w:hAnsi="Times New Roman" w:cs="Times New Roman"/>
          <w:noProof/>
          <w:sz w:val="24"/>
          <w:szCs w:val="24"/>
        </w:rPr>
      </w:pPr>
      <w:r>
        <w:rPr>
          <w:rFonts w:ascii="Times New Roman" w:hAnsi="Times New Roman"/>
          <w:noProof/>
          <w:sz w:val="24"/>
        </w:rPr>
        <w:t xml:space="preserve">A avaliação revelou que o </w:t>
      </w:r>
      <w:r>
        <w:rPr>
          <w:rFonts w:ascii="Times New Roman" w:hAnsi="Times New Roman"/>
          <w:b/>
          <w:noProof/>
          <w:sz w:val="24"/>
        </w:rPr>
        <w:t>Erasmus+ é muito apreciado</w:t>
      </w:r>
      <w:r>
        <w:rPr>
          <w:rFonts w:ascii="Times New Roman" w:hAnsi="Times New Roman"/>
          <w:noProof/>
          <w:sz w:val="24"/>
        </w:rPr>
        <w:t xml:space="preserve"> tanto pelas partes interessadas como pelo público em geral, pelo que o programa ocupa, </w:t>
      </w:r>
      <w:r>
        <w:rPr>
          <w:rFonts w:ascii="Times New Roman" w:hAnsi="Times New Roman"/>
          <w:b/>
          <w:noProof/>
          <w:sz w:val="24"/>
        </w:rPr>
        <w:t>tendo em conta os seus resultados positivos, o terceiro lugar na UE</w:t>
      </w:r>
      <w:r>
        <w:rPr>
          <w:rFonts w:ascii="Times New Roman" w:hAnsi="Times New Roman"/>
          <w:noProof/>
          <w:sz w:val="24"/>
        </w:rPr>
        <w:t>. Os beneficiários do programa apresentam taxas de satisfação superiores a 90 %.</w:t>
      </w:r>
    </w:p>
    <w:p>
      <w:pPr>
        <w:jc w:val="both"/>
        <w:rPr>
          <w:rFonts w:ascii="Times New Roman" w:hAnsi="Times New Roman" w:cs="Times New Roman"/>
          <w:noProof/>
          <w:sz w:val="24"/>
          <w:szCs w:val="24"/>
        </w:rPr>
      </w:pPr>
      <w:r>
        <w:rPr>
          <w:rFonts w:ascii="Times New Roman" w:hAnsi="Times New Roman"/>
          <w:noProof/>
          <w:sz w:val="24"/>
        </w:rPr>
        <w:t xml:space="preserve">Para os </w:t>
      </w:r>
      <w:r>
        <w:rPr>
          <w:rFonts w:ascii="Times New Roman" w:hAnsi="Times New Roman"/>
          <w:b/>
          <w:noProof/>
          <w:sz w:val="24"/>
        </w:rPr>
        <w:t>alunos</w:t>
      </w:r>
      <w:r>
        <w:rPr>
          <w:rFonts w:ascii="Times New Roman" w:hAnsi="Times New Roman"/>
          <w:noProof/>
          <w:sz w:val="24"/>
        </w:rPr>
        <w:t xml:space="preserve"> (estudantes, aprendizes, voluntários, jovens, etc.), os programas avaliados tiveram, e continuam a ter, um efeito positivo na </w:t>
      </w:r>
      <w:r>
        <w:rPr>
          <w:rFonts w:ascii="Times New Roman" w:hAnsi="Times New Roman"/>
          <w:b/>
          <w:noProof/>
          <w:sz w:val="24"/>
        </w:rPr>
        <w:t>aquisição de aptidões e competências</w:t>
      </w:r>
      <w:r>
        <w:rPr>
          <w:rFonts w:ascii="Times New Roman" w:hAnsi="Times New Roman"/>
          <w:noProof/>
          <w:sz w:val="24"/>
        </w:rPr>
        <w:t xml:space="preserve">, aumentando, deste modo, a </w:t>
      </w:r>
      <w:r>
        <w:rPr>
          <w:rFonts w:ascii="Times New Roman" w:hAnsi="Times New Roman"/>
          <w:b/>
          <w:noProof/>
          <w:sz w:val="24"/>
        </w:rPr>
        <w:t>empregabilidade</w:t>
      </w:r>
      <w:r>
        <w:rPr>
          <w:rFonts w:ascii="Times New Roman" w:hAnsi="Times New Roman"/>
          <w:noProof/>
          <w:sz w:val="24"/>
        </w:rPr>
        <w:t xml:space="preserve"> e o empreendedorismo e encurtando a transição da educação para o emprego (13 % superior, em comparação com as pessoas que não participaram no programa Erasmus+ nem nos programas antecessores). A avaliação indica que o programa Erasmus+ promove a vontade de trabalhar ou de estudar no estrangeiro (+31 %) e o desenvolvimento de competências em línguas estrangeiras (7 % mais alto em testes de proficiência); que influencia a perceção positiva das pessoas no que diz respeito ao valor da aprendizagem para o seu </w:t>
      </w:r>
      <w:r>
        <w:rPr>
          <w:rFonts w:ascii="Times New Roman" w:hAnsi="Times New Roman"/>
          <w:b/>
          <w:noProof/>
          <w:sz w:val="24"/>
        </w:rPr>
        <w:t>desenvolvimento pessoal</w:t>
      </w:r>
      <w:r>
        <w:rPr>
          <w:rFonts w:ascii="Times New Roman" w:hAnsi="Times New Roman"/>
          <w:noProof/>
          <w:sz w:val="24"/>
        </w:rPr>
        <w:t xml:space="preserve"> e profissional (+8 %); e que melhora ainda as taxas de conclusão dos alunos (+2 %). </w:t>
      </w:r>
    </w:p>
    <w:p>
      <w:pPr>
        <w:jc w:val="both"/>
        <w:rPr>
          <w:rFonts w:ascii="Times New Roman" w:hAnsi="Times New Roman" w:cs="Times New Roman"/>
          <w:noProof/>
          <w:sz w:val="24"/>
          <w:szCs w:val="24"/>
        </w:rPr>
      </w:pPr>
      <w:r>
        <w:rPr>
          <w:rFonts w:ascii="Times New Roman" w:hAnsi="Times New Roman"/>
          <w:noProof/>
          <w:sz w:val="24"/>
        </w:rPr>
        <w:t xml:space="preserve">Existem igualmente indícios de um </w:t>
      </w:r>
      <w:r>
        <w:rPr>
          <w:rFonts w:ascii="Times New Roman" w:hAnsi="Times New Roman"/>
          <w:b/>
          <w:noProof/>
          <w:sz w:val="24"/>
        </w:rPr>
        <w:t>contributo para uma União mais coesa</w:t>
      </w:r>
      <w:r>
        <w:rPr>
          <w:rFonts w:ascii="Times New Roman" w:hAnsi="Times New Roman"/>
          <w:noProof/>
          <w:sz w:val="24"/>
        </w:rPr>
        <w:t xml:space="preserve">. O programa Erasmus+ promove um comportamento cívico e social/positivo e um </w:t>
      </w:r>
      <w:r>
        <w:rPr>
          <w:rFonts w:ascii="Times New Roman" w:hAnsi="Times New Roman"/>
          <w:b/>
          <w:noProof/>
          <w:sz w:val="24"/>
        </w:rPr>
        <w:t>sentimento «europeu»</w:t>
      </w:r>
      <w:r>
        <w:rPr>
          <w:rFonts w:ascii="Times New Roman" w:hAnsi="Times New Roman"/>
          <w:noProof/>
          <w:sz w:val="24"/>
        </w:rPr>
        <w:t xml:space="preserve"> (+19 % em comparação com os não participantes). Abarca mais jovens desfavorecidos (11,5 % do número total de participantes do programa Erasmus+) do que os seus antecessores ou do que os programas nacionais semelhantes. No entanto, a avaliação aponta para a necessidade de realizar mais esforços de modo a chegar às pessoas mais vulneráveis da sociedade e facilitar a participação de pequenas organizações.</w:t>
      </w:r>
    </w:p>
    <w:p>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No âmbito da estrutura atual do programa para 2020, a Comissão irá intensificar os seus esforços a fim de </w:t>
      </w:r>
      <w:r>
        <w:rPr>
          <w:rFonts w:ascii="Times New Roman" w:hAnsi="Times New Roman"/>
          <w:b/>
          <w:noProof/>
          <w:sz w:val="24"/>
        </w:rPr>
        <w:t>tornar o programa Erasmus+ mais acessível</w:t>
      </w:r>
      <w:r>
        <w:rPr>
          <w:rFonts w:ascii="Times New Roman" w:hAnsi="Times New Roman"/>
          <w:noProof/>
          <w:sz w:val="24"/>
        </w:rPr>
        <w:t xml:space="preserve"> às pessoas provenientes de meios desfavorecidos ou com necessidades especiais. A Comissão tomará medidas de forma a </w:t>
      </w:r>
      <w:r>
        <w:rPr>
          <w:rFonts w:ascii="Times New Roman" w:hAnsi="Times New Roman"/>
          <w:b/>
          <w:noProof/>
          <w:sz w:val="24"/>
        </w:rPr>
        <w:t>facilitar a participação das escolas e de outros intervenientes de menor escala</w:t>
      </w:r>
      <w:r>
        <w:rPr>
          <w:rFonts w:ascii="Times New Roman" w:hAnsi="Times New Roman"/>
          <w:noProof/>
          <w:sz w:val="24"/>
        </w:rPr>
        <w:t xml:space="preserve"> no programa.</w:t>
      </w:r>
    </w:p>
    <w:p>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Após 2020, a Comissão irá ponderar de que forma irá continuar a </w:t>
      </w:r>
      <w:r>
        <w:rPr>
          <w:rFonts w:ascii="Times New Roman" w:hAnsi="Times New Roman"/>
          <w:b/>
          <w:noProof/>
          <w:sz w:val="24"/>
        </w:rPr>
        <w:t>incentivar a dimensão da inclusão</w:t>
      </w:r>
      <w:r>
        <w:rPr>
          <w:rFonts w:ascii="Times New Roman" w:hAnsi="Times New Roman"/>
          <w:noProof/>
          <w:sz w:val="24"/>
        </w:rPr>
        <w:t xml:space="preserve"> de qualquer futuro programa, através de uma maior integração de grupos desfavorecidos e vulneráveis, na educação e na formação, e em atividades de juventude e desportivas.</w:t>
      </w:r>
    </w:p>
    <w:p>
      <w:pPr>
        <w:jc w:val="both"/>
        <w:rPr>
          <w:rFonts w:ascii="Times New Roman" w:hAnsi="Times New Roman" w:cs="Times New Roman"/>
          <w:noProof/>
          <w:sz w:val="24"/>
          <w:szCs w:val="24"/>
        </w:rPr>
      </w:pPr>
      <w:r>
        <w:rPr>
          <w:rFonts w:ascii="Times New Roman" w:hAnsi="Times New Roman"/>
          <w:noProof/>
          <w:sz w:val="24"/>
        </w:rPr>
        <w:t xml:space="preserve">Para </w:t>
      </w:r>
      <w:r>
        <w:rPr>
          <w:rFonts w:ascii="Times New Roman" w:hAnsi="Times New Roman"/>
          <w:b/>
          <w:noProof/>
          <w:sz w:val="24"/>
        </w:rPr>
        <w:t>profissionais</w:t>
      </w:r>
      <w:r>
        <w:rPr>
          <w:rFonts w:ascii="Times New Roman" w:hAnsi="Times New Roman"/>
          <w:noProof/>
          <w:sz w:val="24"/>
        </w:rPr>
        <w:t xml:space="preserve"> (professores, formadores, técnicos de juventude, funcionários, etc.), a participação traduz-se em desenvolvimento profissional — nomeadamente em termos de opções alargadas de </w:t>
      </w:r>
      <w:r>
        <w:rPr>
          <w:rFonts w:ascii="Times New Roman" w:hAnsi="Times New Roman"/>
          <w:b/>
          <w:noProof/>
          <w:sz w:val="24"/>
        </w:rPr>
        <w:t>trabalho em rede</w:t>
      </w:r>
      <w:r>
        <w:rPr>
          <w:rFonts w:ascii="Times New Roman" w:hAnsi="Times New Roman"/>
          <w:noProof/>
          <w:sz w:val="24"/>
        </w:rPr>
        <w:t xml:space="preserve"> (+ 22 pontos percentuais) e de uma maior utilização dos </w:t>
      </w:r>
      <w:r>
        <w:rPr>
          <w:rFonts w:ascii="Times New Roman" w:hAnsi="Times New Roman"/>
          <w:b/>
          <w:noProof/>
          <w:sz w:val="24"/>
        </w:rPr>
        <w:t>recursos digitais</w:t>
      </w:r>
      <w:r>
        <w:rPr>
          <w:rFonts w:ascii="Times New Roman" w:hAnsi="Times New Roman"/>
          <w:noProof/>
          <w:sz w:val="24"/>
        </w:rPr>
        <w:t xml:space="preserve"> (+ 5 pontos) — a par de uma maior ligação à Europa (+ 6 pontos).</w:t>
      </w:r>
    </w:p>
    <w:p>
      <w:pPr>
        <w:jc w:val="both"/>
        <w:rPr>
          <w:rFonts w:ascii="Times New Roman" w:hAnsi="Times New Roman" w:cs="Times New Roman"/>
          <w:noProof/>
          <w:sz w:val="24"/>
          <w:szCs w:val="24"/>
        </w:rPr>
      </w:pPr>
      <w:r>
        <w:rPr>
          <w:rFonts w:ascii="Times New Roman" w:hAnsi="Times New Roman"/>
          <w:noProof/>
          <w:sz w:val="24"/>
        </w:rPr>
        <w:t xml:space="preserve">Para </w:t>
      </w:r>
      <w:r>
        <w:rPr>
          <w:rFonts w:ascii="Times New Roman" w:hAnsi="Times New Roman"/>
          <w:b/>
          <w:noProof/>
          <w:sz w:val="24"/>
        </w:rPr>
        <w:t>as organizações participantes</w:t>
      </w:r>
      <w:r>
        <w:rPr>
          <w:rFonts w:ascii="Times New Roman" w:hAnsi="Times New Roman"/>
          <w:noProof/>
          <w:sz w:val="24"/>
        </w:rPr>
        <w:t xml:space="preserve"> (escolas, universidades, centros de educação e formação profissional e de educação de adultos, organizações desportivas e de juventude, etc.), as alterações graduais esperadas diferem na intensidade entre os setores do programa. É necessária uma maior participação contínua para uma transformação mais profunda. No entanto, a avaliação demonstra que o programa tem um </w:t>
      </w:r>
      <w:r>
        <w:rPr>
          <w:rFonts w:ascii="Times New Roman" w:hAnsi="Times New Roman"/>
          <w:b/>
          <w:noProof/>
          <w:sz w:val="24"/>
        </w:rPr>
        <w:t>claro efeito de «Europeização»</w:t>
      </w:r>
      <w:r>
        <w:rPr>
          <w:rStyle w:val="FootnoteReference"/>
          <w:noProof/>
        </w:rPr>
        <w:footnoteReference w:id="4"/>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 xml:space="preserve">Embora menos visível, a avaliação também confirmou que os </w:t>
      </w:r>
      <w:r>
        <w:rPr>
          <w:rFonts w:ascii="Times New Roman" w:hAnsi="Times New Roman"/>
          <w:b/>
          <w:noProof/>
          <w:sz w:val="24"/>
        </w:rPr>
        <w:t>programas analisados tiveram um impacto sobre a formulação e execução de políticas de educação, formação, juventude e desporto</w:t>
      </w:r>
      <w:r>
        <w:rPr>
          <w:rStyle w:val="FootnoteReference"/>
          <w:noProof/>
        </w:rPr>
        <w:footnoteReference w:id="5"/>
      </w:r>
      <w:r>
        <w:rPr>
          <w:rFonts w:ascii="Times New Roman" w:hAnsi="Times New Roman"/>
          <w:noProof/>
          <w:sz w:val="24"/>
        </w:rPr>
        <w:t xml:space="preserve">, especialmente no âmbito do ensino superior, para o qual o orçamento pertinente disponibilizado foi largamente suficiente, ou teve um efeito indireto ao financiar a cooperação política entre as autoridades. A longo prazo, os programas incutiram na Europa a perceção de que a </w:t>
      </w:r>
      <w:r>
        <w:rPr>
          <w:rFonts w:ascii="Times New Roman" w:hAnsi="Times New Roman"/>
          <w:b/>
          <w:noProof/>
          <w:sz w:val="24"/>
        </w:rPr>
        <w:t>mobilidade para fins de aprendizagem traz benefícios para as pessoas</w:t>
      </w:r>
      <w:r>
        <w:rPr>
          <w:rFonts w:ascii="Times New Roman" w:hAnsi="Times New Roman"/>
          <w:noProof/>
          <w:sz w:val="24"/>
        </w:rPr>
        <w:t xml:space="preserve"> e de que </w:t>
      </w:r>
      <w:r>
        <w:rPr>
          <w:rFonts w:ascii="Times New Roman" w:hAnsi="Times New Roman"/>
          <w:b/>
          <w:noProof/>
          <w:sz w:val="24"/>
        </w:rPr>
        <w:t>os seus resultados de aprendizagem são geralmente validados e reconhecidos</w:t>
      </w:r>
      <w:r>
        <w:rPr>
          <w:rFonts w:ascii="Times New Roman" w:hAnsi="Times New Roman"/>
          <w:noProof/>
          <w:sz w:val="24"/>
        </w:rPr>
        <w:t>. Os programas avaliados foram igualmente importantes para ações de sensibilização da UE a nível mundial, nomeadamente para facilitar o reconhecimento dos títulos e das habilitações entre a Europa e países parceiros.</w:t>
      </w:r>
    </w:p>
    <w:p>
      <w:pPr>
        <w:jc w:val="both"/>
        <w:rPr>
          <w:rFonts w:ascii="Times New Roman" w:hAnsi="Times New Roman" w:cs="Times New Roman"/>
          <w:noProof/>
          <w:sz w:val="24"/>
          <w:szCs w:val="24"/>
        </w:rPr>
      </w:pPr>
      <w:r>
        <w:rPr>
          <w:rFonts w:ascii="Times New Roman" w:hAnsi="Times New Roman"/>
          <w:noProof/>
          <w:sz w:val="24"/>
        </w:rPr>
        <w:t xml:space="preserve">Os efeitos sistémicos são acompanhados pelo </w:t>
      </w:r>
      <w:r>
        <w:rPr>
          <w:rFonts w:ascii="Times New Roman" w:hAnsi="Times New Roman"/>
          <w:b/>
          <w:noProof/>
          <w:sz w:val="24"/>
        </w:rPr>
        <w:t>progresso na divulgação</w:t>
      </w:r>
      <w:r>
        <w:rPr>
          <w:rFonts w:ascii="Times New Roman" w:hAnsi="Times New Roman"/>
          <w:noProof/>
          <w:sz w:val="24"/>
        </w:rPr>
        <w:t xml:space="preserve"> dos resultados dos projetos financiados graças a uma plataforma única específica</w:t>
      </w:r>
      <w:r>
        <w:rPr>
          <w:rStyle w:val="FootnoteReference"/>
          <w:rFonts w:ascii="Times New Roman" w:hAnsi="Times New Roman"/>
          <w:noProof/>
          <w:sz w:val="24"/>
        </w:rPr>
        <w:footnoteReference w:id="6"/>
      </w:r>
      <w:r>
        <w:rPr>
          <w:rFonts w:ascii="Times New Roman" w:hAnsi="Times New Roman"/>
          <w:noProof/>
          <w:sz w:val="24"/>
        </w:rPr>
        <w:t xml:space="preserve">. No entanto, a </w:t>
      </w:r>
      <w:r>
        <w:rPr>
          <w:rFonts w:ascii="Times New Roman" w:hAnsi="Times New Roman"/>
          <w:b/>
          <w:noProof/>
          <w:sz w:val="24"/>
        </w:rPr>
        <w:t>prova de que os resultados do projeto são utilizados por decisores políticos nem sempre é clara</w:t>
      </w:r>
      <w:r>
        <w:rPr>
          <w:rFonts w:ascii="Times New Roman" w:hAnsi="Times New Roman"/>
          <w:noProof/>
          <w:sz w:val="24"/>
        </w:rPr>
        <w:t>, especialmente se estes não participarem no projeto desde o início.</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b/>
          <w:noProof/>
          <w:sz w:val="24"/>
        </w:rPr>
        <w:t>Para aumentar o impacto nas políticas</w:t>
      </w:r>
      <w:r>
        <w:rPr>
          <w:rFonts w:ascii="Times New Roman" w:hAnsi="Times New Roman"/>
          <w:noProof/>
          <w:sz w:val="24"/>
        </w:rPr>
        <w:t>, a Comissão estudará outras formas de promover os efeitos ao nível dos sistemas e integrar os resultados de projetos bem sucedidos a nível nacional de forma mais eficaz.</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Na preparação de futuros programas, a Comissão debruçar-se-á sobre as opções para desenvolver e financiar </w:t>
      </w:r>
      <w:r>
        <w:rPr>
          <w:rFonts w:ascii="Times New Roman" w:hAnsi="Times New Roman"/>
          <w:b/>
          <w:noProof/>
          <w:sz w:val="24"/>
        </w:rPr>
        <w:t>em maior escala</w:t>
      </w:r>
      <w:r>
        <w:rPr>
          <w:rFonts w:ascii="Times New Roman" w:hAnsi="Times New Roman"/>
          <w:noProof/>
          <w:sz w:val="24"/>
        </w:rPr>
        <w:t xml:space="preserve"> (nomeadamente com o apoio dos Fundos Europeus Estruturais e de Investimento) os projetos Erasmus+ bem sucedidos que tenham o potencial de desencadear reformas estruturais a nível nacional.</w:t>
      </w:r>
    </w:p>
    <w:p>
      <w:pPr>
        <w:jc w:val="both"/>
        <w:rPr>
          <w:rFonts w:ascii="Times New Roman" w:hAnsi="Times New Roman" w:cs="Times New Roman"/>
          <w:noProof/>
          <w:sz w:val="24"/>
          <w:szCs w:val="24"/>
        </w:rPr>
      </w:pPr>
      <w:r>
        <w:rPr>
          <w:rFonts w:ascii="Times New Roman" w:hAnsi="Times New Roman"/>
          <w:noProof/>
          <w:sz w:val="24"/>
        </w:rPr>
        <w:t xml:space="preserve">Em geral, a avaliação revelou que, a meio da sua execução, o programa Erasmus+ </w:t>
      </w:r>
      <w:r>
        <w:rPr>
          <w:rFonts w:ascii="Times New Roman" w:hAnsi="Times New Roman"/>
          <w:b/>
          <w:noProof/>
          <w:sz w:val="24"/>
        </w:rPr>
        <w:t>atingiu ou ultrapassou a maior parte dos indicadores</w:t>
      </w:r>
      <w:r>
        <w:rPr>
          <w:rFonts w:ascii="Times New Roman" w:hAnsi="Times New Roman"/>
          <w:noProof/>
          <w:sz w:val="24"/>
        </w:rPr>
        <w:t xml:space="preserve"> estabelecidos na sua base jurídica. A procura ultrapassa largamente o financiamento disponível. Para o futuro, sem prejuízo do próximo Quadro Financeiro Plurianual, a avaliação confirmou a </w:t>
      </w:r>
      <w:r>
        <w:rPr>
          <w:rFonts w:ascii="Times New Roman" w:hAnsi="Times New Roman"/>
          <w:b/>
          <w:noProof/>
          <w:sz w:val="24"/>
        </w:rPr>
        <w:t>capacidade do programa para absorver um aumento geral do orçamento</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Sendo esse o caso, a avaliação sugeriu que a atual </w:t>
      </w:r>
      <w:r>
        <w:rPr>
          <w:rFonts w:ascii="Times New Roman" w:hAnsi="Times New Roman"/>
          <w:b/>
          <w:noProof/>
          <w:sz w:val="24"/>
        </w:rPr>
        <w:t>repartição entre os setores do programa poderia ser alterada</w:t>
      </w:r>
      <w:r>
        <w:rPr>
          <w:rFonts w:ascii="Times New Roman" w:hAnsi="Times New Roman"/>
          <w:noProof/>
          <w:sz w:val="24"/>
        </w:rPr>
        <w:t xml:space="preserve"> de modo a reforçar os setores para os quais um aumento do orçamento determinaria ganhos mais eficientes em termos de impacto. </w:t>
      </w:r>
      <w:r>
        <w:rPr>
          <w:rFonts w:ascii="Times New Roman" w:hAnsi="Times New Roman"/>
          <w:b/>
          <w:noProof/>
          <w:sz w:val="24"/>
        </w:rPr>
        <w:t>O ensino escolar, a educação e a formação profissionais</w:t>
      </w:r>
      <w:r>
        <w:rPr>
          <w:rFonts w:ascii="Times New Roman" w:hAnsi="Times New Roman"/>
          <w:noProof/>
          <w:sz w:val="24"/>
        </w:rPr>
        <w:t xml:space="preserve"> (EFP) e as atividades no domínio da juventude, onde o impacto dos programas se comprovou, embora ainda não seja tão generalizado como no ensino superior devido a dotações orçamentais mais baixas, são setores que foram identificados como </w:t>
      </w:r>
      <w:r>
        <w:rPr>
          <w:rFonts w:ascii="Times New Roman" w:hAnsi="Times New Roman"/>
          <w:b/>
          <w:noProof/>
          <w:sz w:val="24"/>
        </w:rPr>
        <w:t>tendo um elevado potencial</w:t>
      </w:r>
      <w:r>
        <w:rPr>
          <w:rFonts w:ascii="Times New Roman" w:hAnsi="Times New Roman"/>
          <w:noProof/>
          <w:sz w:val="24"/>
        </w:rPr>
        <w:t xml:space="preserve"> para o aumento da participação em atividades do programa Erasmus+ durante os próximos anos.</w:t>
      </w:r>
    </w:p>
    <w:p>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A partir de 2018, serão lançadas novas medidas e atividades no âmbito do programa Erasmus+ destinadas a </w:t>
      </w:r>
      <w:r>
        <w:rPr>
          <w:rFonts w:ascii="Times New Roman" w:hAnsi="Times New Roman"/>
          <w:b/>
          <w:noProof/>
          <w:sz w:val="24"/>
        </w:rPr>
        <w:t>aumentar o número de oportunidades de mobilidade</w:t>
      </w:r>
      <w:r>
        <w:rPr>
          <w:rFonts w:ascii="Times New Roman" w:hAnsi="Times New Roman"/>
          <w:noProof/>
          <w:sz w:val="24"/>
        </w:rPr>
        <w:t xml:space="preserve"> para alunos, formandos da EFP e aprendizes.</w:t>
      </w:r>
    </w:p>
    <w:p>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noProof/>
          <w:sz w:val="24"/>
        </w:rPr>
        <w:t>Na sua comunicação</w:t>
      </w:r>
      <w:r>
        <w:rPr>
          <w:rFonts w:ascii="Times New Roman" w:hAnsi="Times New Roman"/>
          <w:b/>
          <w:noProof/>
          <w:sz w:val="24"/>
        </w:rPr>
        <w:t xml:space="preserve"> </w:t>
      </w:r>
      <w:r>
        <w:rPr>
          <w:rFonts w:ascii="Times New Roman" w:hAnsi="Times New Roman"/>
          <w:b/>
          <w:i/>
          <w:noProof/>
          <w:sz w:val="24"/>
        </w:rPr>
        <w:t>Promover a identidade europeia através da educação e cultura</w:t>
      </w:r>
      <w:r>
        <w:rPr>
          <w:rStyle w:val="FootnoteReference"/>
          <w:rFonts w:ascii="Times New Roman" w:hAnsi="Times New Roman"/>
          <w:noProof/>
          <w:sz w:val="24"/>
        </w:rPr>
        <w:footnoteReference w:id="7"/>
      </w:r>
      <w:r>
        <w:rPr>
          <w:rFonts w:ascii="Times New Roman" w:hAnsi="Times New Roman"/>
          <w:noProof/>
          <w:sz w:val="24"/>
        </w:rPr>
        <w:t xml:space="preserve">, a Comissão apresenta uma visão para promover o futuro do programa Erasmus+ em todas as categorias de discentes que já abrange (incluindo alunos, estudantes, estagiários e aprendizes) e docentes, com o objetivo de </w:t>
      </w:r>
      <w:r>
        <w:rPr>
          <w:rFonts w:ascii="Times New Roman" w:hAnsi="Times New Roman"/>
          <w:b/>
          <w:noProof/>
          <w:sz w:val="24"/>
        </w:rPr>
        <w:t>duplicar o número de participantes</w:t>
      </w:r>
      <w:r>
        <w:rPr>
          <w:rFonts w:ascii="Times New Roman" w:hAnsi="Times New Roman"/>
          <w:noProof/>
          <w:sz w:val="24"/>
        </w:rPr>
        <w:t xml:space="preserve"> e chegar aos alunos oriundos de meios desfavorecidos até 2025</w:t>
      </w:r>
      <w:r>
        <w:rPr>
          <w:rStyle w:val="FootnoteReference"/>
          <w:noProof/>
        </w:rPr>
        <w:footnoteReference w:id="8"/>
      </w:r>
      <w:r>
        <w:rPr>
          <w:rFonts w:ascii="Times New Roman" w:hAnsi="Times New Roman"/>
          <w:noProof/>
          <w:sz w:val="24"/>
        </w:rPr>
        <w:t>.</w:t>
      </w:r>
    </w:p>
    <w:p>
      <w:pPr>
        <w:jc w:val="both"/>
        <w:rPr>
          <w:noProof/>
          <w:sz w:val="23"/>
          <w:szCs w:val="23"/>
        </w:rPr>
      </w:pPr>
      <w:r>
        <w:rPr>
          <w:rFonts w:ascii="Times New Roman" w:hAnsi="Times New Roman"/>
          <w:noProof/>
          <w:sz w:val="24"/>
        </w:rPr>
        <w:t xml:space="preserve">O </w:t>
      </w:r>
      <w:r>
        <w:rPr>
          <w:rFonts w:ascii="Times New Roman" w:hAnsi="Times New Roman"/>
          <w:b/>
          <w:noProof/>
          <w:sz w:val="24"/>
        </w:rPr>
        <w:t>mecanismo de garantia de empréstimos para mestrados</w:t>
      </w:r>
      <w:r>
        <w:rPr>
          <w:rFonts w:ascii="Times New Roman" w:hAnsi="Times New Roman"/>
          <w:noProof/>
          <w:sz w:val="24"/>
        </w:rPr>
        <w:t xml:space="preserve"> só recentemente foi iniciado.</w:t>
      </w:r>
      <w:r>
        <w:rPr>
          <w:rFonts w:ascii="Times New Roman" w:hAnsi="Times New Roman"/>
          <w:b/>
          <w:noProof/>
          <w:sz w:val="24"/>
        </w:rPr>
        <w:t xml:space="preserve"> </w:t>
      </w:r>
      <w:r>
        <w:rPr>
          <w:rFonts w:ascii="Times New Roman" w:hAnsi="Times New Roman"/>
          <w:noProof/>
          <w:sz w:val="24"/>
        </w:rPr>
        <w:t xml:space="preserve">Os primeiros beneficiários exprimiram impressões positivas. No entanto, até à data, </w:t>
      </w:r>
      <w:r>
        <w:rPr>
          <w:rFonts w:ascii="Times New Roman" w:hAnsi="Times New Roman"/>
          <w:b/>
          <w:noProof/>
          <w:sz w:val="24"/>
        </w:rPr>
        <w:t>ainda não correspondeu ao volume esperado</w:t>
      </w:r>
      <w:r>
        <w:rPr>
          <w:rFonts w:ascii="Times New Roman" w:hAnsi="Times New Roman"/>
          <w:noProof/>
          <w:sz w:val="24"/>
        </w:rPr>
        <w:t xml:space="preserve"> devido a atrasos no seu lançamento, adesão reduzida entre instituições financeiras e uma falta de sensibilização dos estudantes.</w:t>
      </w:r>
    </w:p>
    <w:p>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Até 2020, a Comissão pretende </w:t>
      </w:r>
      <w:r>
        <w:rPr>
          <w:rFonts w:ascii="Times New Roman" w:hAnsi="Times New Roman"/>
          <w:b/>
          <w:noProof/>
          <w:sz w:val="24"/>
        </w:rPr>
        <w:t>reduzir as dotações orçamentais anuais para o mecanismo de garantia de empréstimos para mestrados</w:t>
      </w:r>
      <w:r>
        <w:rPr>
          <w:rFonts w:ascii="Times New Roman" w:hAnsi="Times New Roman"/>
          <w:noProof/>
          <w:sz w:val="24"/>
        </w:rPr>
        <w:t>, sem alterar a dotação global prevista para as outras atividades do ensino superior.</w:t>
      </w:r>
    </w:p>
    <w:p>
      <w:pPr>
        <w:spacing w:before="480" w:after="240"/>
        <w:jc w:val="both"/>
        <w:outlineLvl w:val="0"/>
        <w:rPr>
          <w:rFonts w:ascii="Times New Roman" w:hAnsi="Times New Roman" w:cs="Times New Roman"/>
          <w:i/>
          <w:noProof/>
          <w:sz w:val="24"/>
          <w:szCs w:val="24"/>
          <w:u w:val="single"/>
        </w:rPr>
      </w:pPr>
      <w:r>
        <w:rPr>
          <w:rFonts w:ascii="Times New Roman" w:hAnsi="Times New Roman"/>
          <w:i/>
          <w:noProof/>
          <w:sz w:val="24"/>
          <w:u w:val="single"/>
        </w:rPr>
        <w:t>Relevância e valor acrescentado da UE</w:t>
      </w:r>
    </w:p>
    <w:p>
      <w:pPr>
        <w:jc w:val="both"/>
        <w:rPr>
          <w:rFonts w:ascii="Times New Roman" w:hAnsi="Times New Roman" w:cs="Times New Roman"/>
          <w:noProof/>
          <w:sz w:val="24"/>
          <w:szCs w:val="24"/>
        </w:rPr>
      </w:pPr>
      <w:r>
        <w:rPr>
          <w:rFonts w:ascii="Times New Roman" w:hAnsi="Times New Roman"/>
          <w:noProof/>
          <w:sz w:val="24"/>
        </w:rPr>
        <w:t xml:space="preserve">À luz dos resultados obtidos, a avaliação salienta o </w:t>
      </w:r>
      <w:r>
        <w:rPr>
          <w:rFonts w:ascii="Times New Roman" w:hAnsi="Times New Roman"/>
          <w:b/>
          <w:noProof/>
          <w:sz w:val="24"/>
        </w:rPr>
        <w:t>indiscutível valor acrescentado europeu</w:t>
      </w:r>
      <w:r>
        <w:rPr>
          <w:rFonts w:ascii="Times New Roman" w:hAnsi="Times New Roman"/>
          <w:noProof/>
          <w:sz w:val="24"/>
        </w:rPr>
        <w:t xml:space="preserve"> dos programas avaliados</w:t>
      </w:r>
      <w:r>
        <w:rPr>
          <w:rStyle w:val="FootnoteReference"/>
          <w:noProof/>
        </w:rPr>
        <w:footnoteReference w:id="9"/>
      </w:r>
      <w:r>
        <w:rPr>
          <w:rFonts w:ascii="Times New Roman" w:hAnsi="Times New Roman"/>
          <w:noProof/>
          <w:sz w:val="24"/>
        </w:rPr>
        <w:t>. Tal decorre do volume elevado e do âmbito alargado das atividades financiadas, juntamente com o acesso mais justo à mobilidade para fins de aprendizagem, melhores práticas integradas, maior integração da UE e uma clara dimensão internacional. Outros regimes de financiamento de medidas semelhantes a nível nacional continuam a ser significativamente inferiores, tanto em termos de volume como de âmbito de aplicação. Dificilmente poderão substituir o financiamento do programa Erasmus+.</w:t>
      </w:r>
    </w:p>
    <w:p>
      <w:pPr>
        <w:jc w:val="both"/>
        <w:rPr>
          <w:rFonts w:ascii="Times New Roman" w:hAnsi="Times New Roman" w:cs="Times New Roman"/>
          <w:noProof/>
          <w:sz w:val="24"/>
          <w:szCs w:val="24"/>
        </w:rPr>
      </w:pPr>
      <w:r>
        <w:rPr>
          <w:rFonts w:ascii="Times New Roman" w:hAnsi="Times New Roman"/>
          <w:noProof/>
          <w:sz w:val="24"/>
        </w:rPr>
        <w:t xml:space="preserve">A avaliação revelou que o programa Erasmus+ está </w:t>
      </w:r>
      <w:r>
        <w:rPr>
          <w:rFonts w:ascii="Times New Roman" w:hAnsi="Times New Roman"/>
          <w:b/>
          <w:noProof/>
          <w:sz w:val="24"/>
        </w:rPr>
        <w:t>mais bem alinhado com as políticas da UE</w:t>
      </w:r>
      <w:r>
        <w:rPr>
          <w:rFonts w:ascii="Times New Roman" w:hAnsi="Times New Roman"/>
          <w:noProof/>
          <w:sz w:val="24"/>
        </w:rPr>
        <w:t xml:space="preserve"> do que os seus antecessores, sendo suficientemente flexível para se adaptar às novas necessidades ao nível da UE, como, por exemplo, o reforço da inclusão social e a prevenção da radicalização violenta</w:t>
      </w:r>
      <w:r>
        <w:rPr>
          <w:rStyle w:val="FootnoteReference"/>
          <w:noProof/>
        </w:rPr>
        <w:footnoteReference w:id="10"/>
      </w:r>
      <w:r>
        <w:rPr>
          <w:rFonts w:ascii="Times New Roman" w:hAnsi="Times New Roman"/>
          <w:noProof/>
          <w:sz w:val="24"/>
        </w:rPr>
        <w:t xml:space="preserve">. De forma a maximizar o impacto do programa, a avaliação recomenda que </w:t>
      </w:r>
      <w:r>
        <w:rPr>
          <w:rFonts w:ascii="Times New Roman" w:hAnsi="Times New Roman"/>
          <w:b/>
          <w:noProof/>
          <w:sz w:val="24"/>
        </w:rPr>
        <w:t>se reduza o número das prioridades e que estas sejam mais bem direcionadas</w:t>
      </w:r>
      <w:r>
        <w:rPr>
          <w:rFonts w:ascii="Times New Roman" w:hAnsi="Times New Roman"/>
          <w:noProof/>
          <w:sz w:val="24"/>
        </w:rPr>
        <w:t>.</w:t>
      </w:r>
    </w:p>
    <w:p>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No atual programa foi dada uma maior ênfase a ações que contribuem para a </w:t>
      </w:r>
      <w:r>
        <w:rPr>
          <w:rFonts w:ascii="Times New Roman" w:hAnsi="Times New Roman"/>
          <w:b/>
          <w:noProof/>
          <w:sz w:val="24"/>
        </w:rPr>
        <w:t>inclusão social</w:t>
      </w:r>
      <w:r>
        <w:rPr>
          <w:rFonts w:ascii="Times New Roman" w:hAnsi="Times New Roman"/>
          <w:noProof/>
          <w:sz w:val="24"/>
        </w:rPr>
        <w:t xml:space="preserve"> com base na </w:t>
      </w:r>
      <w:hyperlink r:id="rId16">
        <w:r>
          <w:rPr>
            <w:rStyle w:val="Hyperlink"/>
            <w:rFonts w:ascii="Times New Roman" w:hAnsi="Times New Roman"/>
            <w:b/>
            <w:noProof/>
            <w:sz w:val="24"/>
          </w:rPr>
          <w:t>Declaração de Paris</w:t>
        </w:r>
      </w:hyperlink>
      <w:r>
        <w:rPr>
          <w:rStyle w:val="FootnoteReference"/>
          <w:rFonts w:ascii="Times New Roman" w:hAnsi="Times New Roman"/>
          <w:b/>
          <w:noProof/>
          <w:sz w:val="24"/>
        </w:rPr>
        <w:footnoteReference w:id="11"/>
      </w:r>
      <w:r>
        <w:rPr>
          <w:rStyle w:val="Hyperlink"/>
          <w:rFonts w:ascii="Times New Roman" w:hAnsi="Times New Roman"/>
          <w:b/>
          <w:noProof/>
          <w:sz w:val="24"/>
        </w:rPr>
        <w:t>,</w:t>
      </w:r>
      <w:r>
        <w:rPr>
          <w:rFonts w:ascii="Times New Roman" w:hAnsi="Times New Roman"/>
          <w:noProof/>
          <w:sz w:val="24"/>
        </w:rPr>
        <w:t xml:space="preserve"> nas novas áreas prioritárias no âmbito do </w:t>
      </w:r>
      <w:r>
        <w:rPr>
          <w:rFonts w:ascii="Times New Roman" w:hAnsi="Times New Roman"/>
          <w:b/>
          <w:noProof/>
          <w:sz w:val="24"/>
        </w:rPr>
        <w:t xml:space="preserve">EF 2020 </w:t>
      </w:r>
      <w:r>
        <w:rPr>
          <w:rFonts w:ascii="Times New Roman" w:hAnsi="Times New Roman"/>
          <w:noProof/>
          <w:sz w:val="24"/>
        </w:rPr>
        <w:t xml:space="preserve">e da </w:t>
      </w:r>
      <w:r>
        <w:rPr>
          <w:rFonts w:ascii="Times New Roman" w:hAnsi="Times New Roman"/>
          <w:b/>
          <w:noProof/>
          <w:sz w:val="24"/>
        </w:rPr>
        <w:t>Estratégia para a Juventude</w:t>
      </w:r>
      <w:r>
        <w:rPr>
          <w:rStyle w:val="FootnoteReference"/>
          <w:rFonts w:ascii="Times New Roman" w:hAnsi="Times New Roman"/>
          <w:noProof/>
          <w:sz w:val="24"/>
        </w:rPr>
        <w:footnoteReference w:id="12"/>
      </w:r>
      <w:r>
        <w:rPr>
          <w:rFonts w:ascii="Times New Roman" w:hAnsi="Times New Roman"/>
          <w:b/>
          <w:noProof/>
          <w:sz w:val="24"/>
        </w:rPr>
        <w:t xml:space="preserve"> </w:t>
      </w:r>
      <w:r>
        <w:rPr>
          <w:rFonts w:ascii="Times New Roman" w:hAnsi="Times New Roman"/>
          <w:noProof/>
          <w:sz w:val="24"/>
        </w:rPr>
        <w:t xml:space="preserve"> ou da </w:t>
      </w:r>
      <w:r>
        <w:rPr>
          <w:rFonts w:ascii="Times New Roman" w:hAnsi="Times New Roman"/>
          <w:b/>
          <w:noProof/>
          <w:sz w:val="24"/>
        </w:rPr>
        <w:t xml:space="preserve"> Nova Agenda de Competências para a Europa</w:t>
      </w:r>
      <w:r>
        <w:rPr>
          <w:rStyle w:val="FootnoteReference"/>
          <w:rFonts w:ascii="Times New Roman" w:hAnsi="Times New Roman"/>
          <w:noProof/>
          <w:sz w:val="24"/>
        </w:rPr>
        <w:footnoteReference w:id="13"/>
      </w:r>
      <w:r>
        <w:rPr>
          <w:rFonts w:ascii="Times New Roman" w:hAnsi="Times New Roman"/>
          <w:noProof/>
          <w:sz w:val="24"/>
        </w:rPr>
        <w:t>.</w:t>
      </w:r>
    </w:p>
    <w:p>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O futuro programa deve continuar a </w:t>
      </w:r>
      <w:r>
        <w:rPr>
          <w:rFonts w:ascii="Times New Roman" w:hAnsi="Times New Roman"/>
          <w:b/>
          <w:noProof/>
          <w:sz w:val="24"/>
        </w:rPr>
        <w:t>ajudar a implementar as prioridades políticas da UE</w:t>
      </w:r>
      <w:r>
        <w:rPr>
          <w:rFonts w:ascii="Times New Roman" w:hAnsi="Times New Roman"/>
          <w:noProof/>
          <w:sz w:val="24"/>
        </w:rPr>
        <w:t xml:space="preserve">, mantendo ao mesmo tempo a flexibilidade para, se necessário, realizar ajustamentos e, assim, manter a sua alta relevância para os países participantes. Algumas ações, nomeadamente aquelas que apoiam parcerias, poderiam </w:t>
      </w:r>
      <w:r>
        <w:rPr>
          <w:rFonts w:ascii="Times New Roman" w:hAnsi="Times New Roman"/>
          <w:b/>
          <w:noProof/>
          <w:sz w:val="24"/>
        </w:rPr>
        <w:t>centrar-se num número menor de prioridades</w:t>
      </w:r>
      <w:r>
        <w:rPr>
          <w:rFonts w:ascii="Times New Roman" w:hAnsi="Times New Roman"/>
          <w:noProof/>
          <w:sz w:val="24"/>
        </w:rPr>
        <w:t>.</w:t>
      </w:r>
    </w:p>
    <w:p>
      <w:pPr>
        <w:spacing w:before="240"/>
        <w:jc w:val="both"/>
        <w:rPr>
          <w:rFonts w:ascii="Times New Roman" w:hAnsi="Times New Roman" w:cs="Times New Roman"/>
          <w:noProof/>
          <w:sz w:val="24"/>
          <w:szCs w:val="24"/>
        </w:rPr>
      </w:pPr>
      <w:r>
        <w:rPr>
          <w:rFonts w:ascii="Times New Roman" w:hAnsi="Times New Roman"/>
          <w:noProof/>
          <w:sz w:val="24"/>
        </w:rPr>
        <w:t xml:space="preserve">A avaliação final do programa irá também analisar os resultados das grandes alianças do conhecimento e das alianças de competências setoriais introduzidas no Erasmus+ para </w:t>
      </w:r>
      <w:r>
        <w:rPr>
          <w:rFonts w:ascii="Times New Roman" w:hAnsi="Times New Roman"/>
          <w:b/>
          <w:noProof/>
          <w:sz w:val="24"/>
        </w:rPr>
        <w:t>incentivar a inovação</w:t>
      </w:r>
      <w:r>
        <w:rPr>
          <w:rFonts w:ascii="Times New Roman" w:hAnsi="Times New Roman"/>
          <w:noProof/>
          <w:sz w:val="24"/>
        </w:rPr>
        <w:t xml:space="preserve"> no ensino superior e na EFP. Estas medidas não estavam suficientemente avançadas para serem objeto da avaliação intermédia.</w:t>
      </w:r>
    </w:p>
    <w:p>
      <w:pPr>
        <w:pStyle w:val="ListParagraph"/>
        <w:numPr>
          <w:ilvl w:val="0"/>
          <w:numId w:val="5"/>
        </w:numPr>
        <w:pBdr>
          <w:top w:val="single" w:sz="4" w:space="1" w:color="auto"/>
          <w:left w:val="single" w:sz="4" w:space="1" w:color="auto"/>
          <w:bottom w:val="single" w:sz="4" w:space="1" w:color="auto"/>
          <w:right w:val="single" w:sz="4" w:space="1" w:color="auto"/>
        </w:pBdr>
        <w:jc w:val="both"/>
        <w:rPr>
          <w:rFonts w:ascii="Times New Roman" w:hAnsi="Times New Roman" w:cs="Times New Roman"/>
          <w:noProof/>
          <w:sz w:val="24"/>
          <w:szCs w:val="24"/>
        </w:rPr>
      </w:pPr>
      <w:r>
        <w:rPr>
          <w:rFonts w:ascii="Times New Roman" w:hAnsi="Times New Roman"/>
          <w:noProof/>
          <w:sz w:val="24"/>
        </w:rPr>
        <w:t xml:space="preserve">Até 2020, a Comissão irá continuar a consolidar as </w:t>
      </w:r>
      <w:r>
        <w:rPr>
          <w:rFonts w:ascii="Times New Roman" w:hAnsi="Times New Roman"/>
          <w:b/>
          <w:noProof/>
          <w:sz w:val="24"/>
        </w:rPr>
        <w:t>diferentes formas de gerir projetos</w:t>
      </w:r>
      <w:r>
        <w:rPr>
          <w:rFonts w:ascii="Times New Roman" w:hAnsi="Times New Roman"/>
          <w:noProof/>
          <w:sz w:val="24"/>
        </w:rPr>
        <w:t xml:space="preserve"> que têm como objetivo principal fomentar a cooperação e os intercâmbios, por oposição aos projetos destinados a incentivar a inovação.</w:t>
      </w:r>
    </w:p>
    <w:p>
      <w:pPr>
        <w:pStyle w:val="ListParagraph"/>
        <w:numPr>
          <w:ilvl w:val="0"/>
          <w:numId w:val="5"/>
        </w:numPr>
        <w:pBdr>
          <w:top w:val="single" w:sz="4" w:space="1" w:color="auto"/>
          <w:left w:val="single" w:sz="4" w:space="1" w:color="auto"/>
          <w:bottom w:val="single" w:sz="4" w:space="1" w:color="auto"/>
          <w:right w:val="single" w:sz="4" w:space="1" w:color="auto"/>
        </w:pBdr>
        <w:jc w:val="both"/>
        <w:rPr>
          <w:rFonts w:ascii="Times New Roman" w:hAnsi="Times New Roman" w:cs="Times New Roman"/>
          <w:noProof/>
          <w:sz w:val="24"/>
          <w:szCs w:val="24"/>
        </w:rPr>
      </w:pPr>
      <w:r>
        <w:rPr>
          <w:rFonts w:ascii="Times New Roman" w:hAnsi="Times New Roman"/>
          <w:noProof/>
          <w:sz w:val="24"/>
        </w:rPr>
        <w:t xml:space="preserve">No novo programa, serão tomadas em consideração as diferentes maneiras de </w:t>
      </w:r>
      <w:r>
        <w:rPr>
          <w:rFonts w:ascii="Times New Roman" w:hAnsi="Times New Roman"/>
          <w:b/>
          <w:noProof/>
          <w:sz w:val="24"/>
        </w:rPr>
        <w:t>incentivar a inovação</w:t>
      </w:r>
      <w:r>
        <w:rPr>
          <w:rFonts w:ascii="Times New Roman" w:hAnsi="Times New Roman"/>
          <w:noProof/>
          <w:sz w:val="24"/>
        </w:rPr>
        <w:t>.</w:t>
      </w:r>
    </w:p>
    <w:p>
      <w:pPr>
        <w:spacing w:after="120"/>
        <w:jc w:val="both"/>
        <w:rPr>
          <w:rFonts w:ascii="Times New Roman" w:hAnsi="Times New Roman" w:cs="Times New Roman"/>
          <w:noProof/>
          <w:sz w:val="24"/>
          <w:szCs w:val="24"/>
        </w:rPr>
      </w:pPr>
      <w:r>
        <w:rPr>
          <w:rFonts w:ascii="Times New Roman" w:hAnsi="Times New Roman"/>
          <w:noProof/>
          <w:sz w:val="24"/>
        </w:rPr>
        <w:t xml:space="preserve">A avaliação também assinalou que é possível introduzir medidas mais específicas destinadas a </w:t>
      </w:r>
      <w:r>
        <w:rPr>
          <w:rFonts w:ascii="Times New Roman" w:hAnsi="Times New Roman"/>
          <w:b/>
          <w:noProof/>
          <w:sz w:val="24"/>
        </w:rPr>
        <w:t>maximizar a relevância</w:t>
      </w:r>
      <w:r>
        <w:rPr>
          <w:rFonts w:ascii="Times New Roman" w:hAnsi="Times New Roman"/>
          <w:noProof/>
          <w:sz w:val="24"/>
        </w:rPr>
        <w:t xml:space="preserve"> das atividades </w:t>
      </w:r>
      <w:r>
        <w:rPr>
          <w:rFonts w:ascii="Times New Roman" w:hAnsi="Times New Roman"/>
          <w:b/>
          <w:noProof/>
          <w:sz w:val="24"/>
        </w:rPr>
        <w:t>Jean Monnet</w:t>
      </w:r>
      <w:r>
        <w:rPr>
          <w:rFonts w:ascii="Times New Roman" w:hAnsi="Times New Roman"/>
          <w:noProof/>
          <w:sz w:val="24"/>
        </w:rPr>
        <w:t xml:space="preserve"> e o </w:t>
      </w:r>
      <w:r>
        <w:rPr>
          <w:rFonts w:ascii="Times New Roman" w:hAnsi="Times New Roman"/>
          <w:b/>
          <w:noProof/>
          <w:sz w:val="24"/>
        </w:rPr>
        <w:t>valor acrescentado do programa</w:t>
      </w:r>
      <w:r>
        <w:rPr>
          <w:rFonts w:ascii="Times New Roman" w:hAnsi="Times New Roman"/>
          <w:noProof/>
          <w:sz w:val="24"/>
        </w:rPr>
        <w:t xml:space="preserve"> no setor da </w:t>
      </w:r>
      <w:r>
        <w:rPr>
          <w:rFonts w:ascii="Times New Roman" w:hAnsi="Times New Roman"/>
          <w:b/>
          <w:noProof/>
          <w:sz w:val="24"/>
        </w:rPr>
        <w:t>educação de adultos</w:t>
      </w:r>
      <w:r>
        <w:rPr>
          <w:rFonts w:ascii="Times New Roman" w:hAnsi="Times New Roman"/>
          <w:noProof/>
          <w:sz w:val="24"/>
        </w:rPr>
        <w:t>.</w:t>
      </w:r>
    </w:p>
    <w:p>
      <w:pPr>
        <w:spacing w:after="120"/>
        <w:jc w:val="both"/>
        <w:rPr>
          <w:rFonts w:ascii="Times New Roman" w:hAnsi="Times New Roman" w:cs="Times New Roman"/>
          <w:noProof/>
          <w:sz w:val="24"/>
          <w:szCs w:val="24"/>
        </w:rPr>
      </w:pPr>
      <w:r>
        <w:rPr>
          <w:rFonts w:ascii="Times New Roman" w:hAnsi="Times New Roman"/>
          <w:noProof/>
          <w:sz w:val="24"/>
        </w:rPr>
        <w:t>O ensino e a investigação sobre temas da União Europeia estão hoje em dia relativamente generalizados no ensino superior. Em contrapartida, existe a necessidade de uma maior compreensão da integração europeia e de um maior sentimento de pertença à Europa entre as gerações mais jovens, na sequência das crises económicas e políticas dos últimos dez anos.</w:t>
      </w:r>
    </w:p>
    <w:p>
      <w:pPr>
        <w:pStyle w:val="ListParagraph"/>
        <w:numPr>
          <w:ilvl w:val="0"/>
          <w:numId w:val="4"/>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rPr>
        <w:t xml:space="preserve">O programa </w:t>
      </w:r>
      <w:r>
        <w:rPr>
          <w:rFonts w:ascii="Times New Roman" w:hAnsi="Times New Roman"/>
          <w:b/>
          <w:noProof/>
          <w:sz w:val="24"/>
        </w:rPr>
        <w:t>Jean Monnet</w:t>
      </w:r>
      <w:r>
        <w:rPr>
          <w:rFonts w:ascii="Times New Roman" w:hAnsi="Times New Roman"/>
          <w:noProof/>
          <w:sz w:val="24"/>
        </w:rPr>
        <w:t xml:space="preserve"> poderá ser reformulado no futuro para </w:t>
      </w:r>
      <w:r>
        <w:rPr>
          <w:rFonts w:ascii="Times New Roman" w:hAnsi="Times New Roman"/>
          <w:b/>
          <w:noProof/>
          <w:sz w:val="24"/>
        </w:rPr>
        <w:t>dar resposta a um grupo-alvo mais amplo</w:t>
      </w:r>
      <w:r>
        <w:rPr>
          <w:rFonts w:ascii="Times New Roman" w:hAnsi="Times New Roman"/>
          <w:noProof/>
          <w:sz w:val="24"/>
        </w:rPr>
        <w:t xml:space="preserve"> (incluindo as escolas), de modo a sensibilizar sobre o que são os valores europeus comuns.</w:t>
      </w:r>
    </w:p>
    <w:p>
      <w:pPr>
        <w:spacing w:after="120"/>
        <w:jc w:val="both"/>
        <w:rPr>
          <w:rFonts w:ascii="Times New Roman" w:hAnsi="Times New Roman" w:cs="Times New Roman"/>
          <w:noProof/>
          <w:sz w:val="24"/>
          <w:szCs w:val="24"/>
        </w:rPr>
      </w:pPr>
      <w:r>
        <w:rPr>
          <w:rFonts w:ascii="Times New Roman" w:hAnsi="Times New Roman"/>
          <w:noProof/>
          <w:sz w:val="24"/>
        </w:rPr>
        <w:t>A avaliação realça que o impacto sobre o setor da educação de adultos, que atualmente abarca uma população importante, se dilui devido à fragmentação e à natureza diversa do setor.</w:t>
      </w:r>
    </w:p>
    <w:p>
      <w:pPr>
        <w:pStyle w:val="ListParagraph"/>
        <w:numPr>
          <w:ilvl w:val="0"/>
          <w:numId w:val="4"/>
        </w:num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rPr>
        <w:t xml:space="preserve">A Comissão irá examinar a maneira de </w:t>
      </w:r>
      <w:r>
        <w:rPr>
          <w:rFonts w:ascii="Times New Roman" w:hAnsi="Times New Roman"/>
          <w:b/>
          <w:noProof/>
          <w:sz w:val="24"/>
        </w:rPr>
        <w:t>aumentar a focalização no apoio da UE para as atividades transnacionais no setor da educação de adultos</w:t>
      </w:r>
      <w:r>
        <w:rPr>
          <w:rFonts w:ascii="Times New Roman" w:hAnsi="Times New Roman"/>
          <w:noProof/>
          <w:sz w:val="24"/>
        </w:rPr>
        <w:t>.</w:t>
      </w:r>
    </w:p>
    <w:p>
      <w:pPr>
        <w:spacing w:before="480" w:after="240"/>
        <w:rPr>
          <w:rFonts w:ascii="Times New Roman" w:hAnsi="Times New Roman" w:cs="Times New Roman"/>
          <w:i/>
          <w:noProof/>
          <w:sz w:val="24"/>
          <w:szCs w:val="24"/>
          <w:u w:val="single"/>
        </w:rPr>
      </w:pPr>
      <w:r>
        <w:rPr>
          <w:rFonts w:ascii="Times New Roman" w:hAnsi="Times New Roman"/>
          <w:i/>
          <w:noProof/>
          <w:sz w:val="24"/>
          <w:u w:val="single"/>
        </w:rPr>
        <w:t>Coerência</w:t>
      </w:r>
    </w:p>
    <w:p>
      <w:pPr>
        <w:jc w:val="both"/>
        <w:rPr>
          <w:rFonts w:ascii="Times New Roman" w:hAnsi="Times New Roman" w:cs="Times New Roman"/>
          <w:noProof/>
          <w:sz w:val="24"/>
          <w:szCs w:val="24"/>
        </w:rPr>
      </w:pPr>
      <w:r>
        <w:rPr>
          <w:rFonts w:ascii="Times New Roman" w:hAnsi="Times New Roman"/>
          <w:noProof/>
          <w:sz w:val="24"/>
        </w:rPr>
        <w:t xml:space="preserve">A avaliação revelou um </w:t>
      </w:r>
      <w:r>
        <w:rPr>
          <w:rFonts w:ascii="Times New Roman" w:hAnsi="Times New Roman"/>
          <w:b/>
          <w:noProof/>
          <w:sz w:val="24"/>
        </w:rPr>
        <w:t>elevado grau de complementaridade entre</w:t>
      </w:r>
      <w:r>
        <w:rPr>
          <w:rFonts w:ascii="Times New Roman" w:hAnsi="Times New Roman"/>
          <w:noProof/>
          <w:sz w:val="24"/>
        </w:rPr>
        <w:t xml:space="preserve"> o programa Erasmus+ e outros programas e políticas pertinentes da UE (por exemplo, o Fundo Social Europeu e a iniciativa Horizonte 2020). Embora o nível de sinergias varie, é de destacar que a avaliação detetou </w:t>
      </w:r>
      <w:r>
        <w:rPr>
          <w:rFonts w:ascii="Times New Roman" w:hAnsi="Times New Roman"/>
          <w:b/>
          <w:noProof/>
          <w:sz w:val="24"/>
        </w:rPr>
        <w:t>muito</w:t>
      </w:r>
      <w:r>
        <w:rPr>
          <w:rFonts w:ascii="Times New Roman" w:hAnsi="Times New Roman"/>
          <w:noProof/>
          <w:sz w:val="24"/>
        </w:rPr>
        <w:t xml:space="preserve"> </w:t>
      </w:r>
      <w:r>
        <w:rPr>
          <w:rFonts w:ascii="Times New Roman" w:hAnsi="Times New Roman"/>
          <w:b/>
          <w:noProof/>
          <w:sz w:val="24"/>
        </w:rPr>
        <w:t>poucas sobreposições</w:t>
      </w:r>
      <w:r>
        <w:rPr>
          <w:rStyle w:val="FootnoteReference"/>
          <w:noProof/>
        </w:rPr>
        <w:footnoteReference w:id="14"/>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 xml:space="preserve">A </w:t>
      </w:r>
      <w:r>
        <w:rPr>
          <w:rFonts w:ascii="Times New Roman" w:hAnsi="Times New Roman"/>
          <w:b/>
          <w:noProof/>
          <w:sz w:val="24"/>
        </w:rPr>
        <w:t>grande coerência interna</w:t>
      </w:r>
      <w:r>
        <w:rPr>
          <w:rFonts w:ascii="Times New Roman" w:hAnsi="Times New Roman"/>
          <w:noProof/>
          <w:sz w:val="24"/>
        </w:rPr>
        <w:t xml:space="preserve"> do programa, em comparação com a dos seus antecessores, deriva da sua </w:t>
      </w:r>
      <w:r>
        <w:rPr>
          <w:rFonts w:ascii="Times New Roman" w:hAnsi="Times New Roman"/>
          <w:b/>
          <w:noProof/>
          <w:sz w:val="24"/>
        </w:rPr>
        <w:t>cobertura da aprendizagem ao longo da vida</w:t>
      </w:r>
      <w:r>
        <w:rPr>
          <w:rFonts w:ascii="Times New Roman" w:hAnsi="Times New Roman"/>
          <w:noProof/>
          <w:sz w:val="24"/>
        </w:rPr>
        <w:t>. O facto de se reunirem domínios que estão normalmente separados (a nível nacional) num único programa da UE é considerado como uma forma de encorajar a complementaridade e a perspetiva internacional</w:t>
      </w:r>
      <w:r>
        <w:rPr>
          <w:rStyle w:val="FootnoteReference"/>
          <w:noProof/>
        </w:rPr>
        <w:footnoteReference w:id="15"/>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b/>
          <w:noProof/>
          <w:sz w:val="24"/>
        </w:rPr>
        <w:t>A cooperação intersetorial</w:t>
      </w:r>
      <w:r>
        <w:rPr>
          <w:rFonts w:ascii="Times New Roman" w:hAnsi="Times New Roman"/>
          <w:noProof/>
          <w:sz w:val="24"/>
        </w:rPr>
        <w:t xml:space="preserve"> aumentou consideravelmente no âmbito do programa Erasmus+ </w:t>
      </w:r>
      <w:r>
        <w:rPr>
          <w:noProof/>
        </w:rPr>
        <w:t xml:space="preserve"> </w:t>
      </w:r>
      <w:r>
        <w:rPr>
          <w:rFonts w:ascii="Times New Roman" w:hAnsi="Times New Roman"/>
          <w:noProof/>
          <w:sz w:val="24"/>
        </w:rPr>
        <w:t>(+ 23 pontos percentuais do que nos programas anteriores). A grande maioria dos projetos de cooperação incluem agora pelo menos uma organização de outro setor do programa. A cooperação entre o ensino e a formação e a sociedade civil tem vindo a crescer no âmbito do programa Erasmus+.</w:t>
      </w:r>
    </w:p>
    <w:p>
      <w:pPr>
        <w:jc w:val="both"/>
        <w:rPr>
          <w:rFonts w:ascii="Times New Roman" w:hAnsi="Times New Roman" w:cs="Times New Roman"/>
          <w:noProof/>
          <w:sz w:val="24"/>
          <w:szCs w:val="24"/>
        </w:rPr>
      </w:pPr>
      <w:r>
        <w:rPr>
          <w:rFonts w:ascii="Times New Roman" w:hAnsi="Times New Roman"/>
          <w:noProof/>
          <w:sz w:val="24"/>
        </w:rPr>
        <w:t xml:space="preserve">A avaliação destacou que o programa beneficiou claramente de uma estrutura </w:t>
      </w:r>
      <w:r>
        <w:rPr>
          <w:rFonts w:ascii="Times New Roman" w:hAnsi="Times New Roman"/>
          <w:b/>
          <w:noProof/>
          <w:sz w:val="24"/>
        </w:rPr>
        <w:t>mais simples</w:t>
      </w:r>
      <w:r>
        <w:rPr>
          <w:rFonts w:ascii="Times New Roman" w:hAnsi="Times New Roman"/>
          <w:noProof/>
          <w:sz w:val="24"/>
        </w:rPr>
        <w:t xml:space="preserve">, que agrupa as atividades em três ações fundamentais (mobilidade, cooperação e apoio à reforma das políticas), tal como previsto na avaliação de impacto. O </w:t>
      </w:r>
      <w:r>
        <w:rPr>
          <w:rFonts w:ascii="Times New Roman" w:hAnsi="Times New Roman"/>
          <w:b/>
          <w:noProof/>
          <w:sz w:val="24"/>
        </w:rPr>
        <w:t>nome de marca único</w:t>
      </w:r>
      <w:r>
        <w:rPr>
          <w:rFonts w:ascii="Times New Roman" w:hAnsi="Times New Roman"/>
          <w:noProof/>
          <w:sz w:val="24"/>
        </w:rPr>
        <w:t xml:space="preserve"> contribuiu para </w:t>
      </w:r>
      <w:r>
        <w:rPr>
          <w:rFonts w:ascii="Times New Roman" w:hAnsi="Times New Roman"/>
          <w:b/>
          <w:noProof/>
          <w:sz w:val="24"/>
        </w:rPr>
        <w:t>aumentar a visibilidade</w:t>
      </w:r>
      <w:r>
        <w:rPr>
          <w:rFonts w:ascii="Times New Roman" w:hAnsi="Times New Roman"/>
          <w:noProof/>
          <w:sz w:val="24"/>
        </w:rPr>
        <w:t xml:space="preserve"> do programa, em benefício de cada setor. O programa Erasmus+ melhorou o seu </w:t>
      </w:r>
      <w:r>
        <w:rPr>
          <w:rFonts w:ascii="Times New Roman" w:hAnsi="Times New Roman"/>
          <w:b/>
          <w:noProof/>
          <w:sz w:val="24"/>
        </w:rPr>
        <w:t>equilíbrio geográfico</w:t>
      </w:r>
      <w:r>
        <w:rPr>
          <w:rFonts w:ascii="Times New Roman" w:hAnsi="Times New Roman"/>
          <w:noProof/>
          <w:sz w:val="24"/>
        </w:rPr>
        <w:t>, fomentando uma maior participação dos países pequenos e dos países da Europa Central e Oriental.</w:t>
      </w:r>
    </w:p>
    <w:p>
      <w:pPr>
        <w:jc w:val="both"/>
        <w:rPr>
          <w:rFonts w:ascii="Times New Roman" w:hAnsi="Times New Roman" w:cs="Times New Roman"/>
          <w:noProof/>
          <w:sz w:val="24"/>
          <w:szCs w:val="24"/>
        </w:rPr>
      </w:pPr>
      <w:r>
        <w:rPr>
          <w:rFonts w:ascii="Times New Roman" w:hAnsi="Times New Roman"/>
          <w:noProof/>
          <w:sz w:val="24"/>
        </w:rPr>
        <w:t xml:space="preserve">A coerência </w:t>
      </w:r>
      <w:r>
        <w:rPr>
          <w:rFonts w:ascii="Times New Roman" w:hAnsi="Times New Roman"/>
          <w:b/>
          <w:noProof/>
          <w:sz w:val="24"/>
        </w:rPr>
        <w:t>em relação ao desporto pode ainda ser melhorada</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Para atingir resultados significativos, os recursos não se devem dispersar demasiado.</w:t>
      </w:r>
    </w:p>
    <w:p>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A Comissão procurará </w:t>
      </w:r>
      <w:r>
        <w:rPr>
          <w:rFonts w:ascii="Times New Roman" w:hAnsi="Times New Roman"/>
          <w:b/>
          <w:noProof/>
          <w:sz w:val="24"/>
        </w:rPr>
        <w:t>centrar a sua atenção em algumas medidas desportivas, nomeadamente nos aspetos de inclusão social</w:t>
      </w:r>
      <w:r>
        <w:rPr>
          <w:rFonts w:ascii="Times New Roman" w:hAnsi="Times New Roman"/>
          <w:noProof/>
          <w:sz w:val="24"/>
        </w:rPr>
        <w:t>, e reduzir a sobreposição com as atividades no domínio da juventude.</w:t>
      </w:r>
    </w:p>
    <w:p>
      <w:pPr>
        <w:spacing w:before="480" w:after="240"/>
        <w:rPr>
          <w:rFonts w:ascii="Times New Roman" w:hAnsi="Times New Roman" w:cs="Times New Roman"/>
          <w:i/>
          <w:noProof/>
          <w:sz w:val="24"/>
          <w:szCs w:val="24"/>
          <w:u w:val="single"/>
        </w:rPr>
      </w:pPr>
      <w:r>
        <w:rPr>
          <w:rFonts w:ascii="Times New Roman" w:hAnsi="Times New Roman"/>
          <w:i/>
          <w:noProof/>
          <w:sz w:val="24"/>
          <w:u w:val="single"/>
        </w:rPr>
        <w:t>Eficiência e simplificação</w:t>
      </w:r>
      <w:r>
        <w:rPr>
          <w:rStyle w:val="FootnoteReference"/>
          <w:noProof/>
        </w:rPr>
        <w:footnoteReference w:id="16"/>
      </w:r>
    </w:p>
    <w:p>
      <w:pPr>
        <w:jc w:val="both"/>
        <w:rPr>
          <w:rFonts w:ascii="Times New Roman" w:hAnsi="Times New Roman" w:cs="Times New Roman"/>
          <w:noProof/>
          <w:sz w:val="24"/>
          <w:szCs w:val="24"/>
        </w:rPr>
      </w:pPr>
      <w:r>
        <w:rPr>
          <w:rFonts w:ascii="Times New Roman" w:hAnsi="Times New Roman"/>
          <w:noProof/>
          <w:sz w:val="24"/>
        </w:rPr>
        <w:t>As provas mostram que</w:t>
      </w:r>
      <w:r>
        <w:rPr>
          <w:rFonts w:ascii="Times New Roman" w:hAnsi="Times New Roman"/>
          <w:b/>
          <w:noProof/>
          <w:sz w:val="24"/>
        </w:rPr>
        <w:t xml:space="preserve"> as ações de mobilidade do programa Erasmus+ são claramente rentáveis</w:t>
      </w:r>
      <w:r>
        <w:rPr>
          <w:rFonts w:ascii="Times New Roman" w:hAnsi="Times New Roman"/>
          <w:noProof/>
          <w:sz w:val="24"/>
        </w:rPr>
        <w:t xml:space="preserve">, especialmente no que toca a mobilidade dos estudantes (com um custo para a UE de 15 EUR por dia/pessoa). Um dos desafios fundamentais será </w:t>
      </w:r>
      <w:r>
        <w:rPr>
          <w:rFonts w:ascii="Times New Roman" w:hAnsi="Times New Roman"/>
          <w:b/>
          <w:noProof/>
          <w:sz w:val="24"/>
        </w:rPr>
        <w:t>melhorar a eficiência das ações descentralizadas com os países parceiros</w:t>
      </w:r>
      <w:r>
        <w:rPr>
          <w:rFonts w:ascii="Times New Roman" w:hAnsi="Times New Roman"/>
          <w:noProof/>
          <w:sz w:val="24"/>
        </w:rPr>
        <w:t>, que têm critérios específicos e orçamentos fragmentados provenientes dos fundos da UE destinados às relações externas.</w:t>
      </w:r>
    </w:p>
    <w:p>
      <w:pPr>
        <w:jc w:val="both"/>
        <w:rPr>
          <w:rFonts w:ascii="Times New Roman" w:hAnsi="Times New Roman" w:cs="Times New Roman"/>
          <w:noProof/>
          <w:sz w:val="24"/>
          <w:szCs w:val="24"/>
        </w:rPr>
      </w:pPr>
      <w:r>
        <w:rPr>
          <w:rFonts w:ascii="Times New Roman" w:hAnsi="Times New Roman"/>
          <w:b/>
          <w:noProof/>
          <w:sz w:val="24"/>
        </w:rPr>
        <w:t xml:space="preserve">Os custos de gestão </w:t>
      </w:r>
      <w:r>
        <w:rPr>
          <w:rFonts w:ascii="Times New Roman" w:hAnsi="Times New Roman"/>
          <w:noProof/>
          <w:sz w:val="24"/>
        </w:rPr>
        <w:t>(6 % do orçamento do Erasmus+</w:t>
      </w:r>
      <w:r>
        <w:rPr>
          <w:rStyle w:val="FootnoteReference"/>
          <w:rFonts w:ascii="Times New Roman" w:hAnsi="Times New Roman"/>
          <w:noProof/>
          <w:sz w:val="24"/>
        </w:rPr>
        <w:footnoteReference w:id="17"/>
      </w:r>
      <w:r>
        <w:rPr>
          <w:rFonts w:ascii="Times New Roman" w:hAnsi="Times New Roman"/>
          <w:noProof/>
          <w:sz w:val="24"/>
        </w:rPr>
        <w:t xml:space="preserve">) </w:t>
      </w:r>
      <w:r>
        <w:rPr>
          <w:rFonts w:ascii="Times New Roman" w:hAnsi="Times New Roman"/>
          <w:b/>
          <w:noProof/>
          <w:sz w:val="24"/>
        </w:rPr>
        <w:t>são razoáveis</w:t>
      </w:r>
      <w:r>
        <w:rPr>
          <w:rFonts w:ascii="Times New Roman" w:hAnsi="Times New Roman"/>
          <w:noProof/>
          <w:sz w:val="24"/>
        </w:rPr>
        <w:t xml:space="preserve">, especialmente se comparados com os programas semelhantes a nível nacional (14 % em média), embora </w:t>
      </w:r>
      <w:r>
        <w:rPr>
          <w:rFonts w:ascii="Times New Roman" w:hAnsi="Times New Roman"/>
          <w:b/>
          <w:noProof/>
          <w:sz w:val="24"/>
        </w:rPr>
        <w:t>se pudessem ter alcançado economias de escala maiores</w:t>
      </w:r>
      <w:r>
        <w:rPr>
          <w:rFonts w:ascii="Times New Roman" w:hAnsi="Times New Roman"/>
          <w:noProof/>
          <w:sz w:val="24"/>
        </w:rPr>
        <w:t>. Esperam-se, por isso, melhorias na eficiência até 2020.</w:t>
      </w:r>
    </w:p>
    <w:p>
      <w:pPr>
        <w:jc w:val="both"/>
        <w:rPr>
          <w:rFonts w:ascii="Times New Roman" w:hAnsi="Times New Roman" w:cs="Times New Roman"/>
          <w:noProof/>
          <w:sz w:val="24"/>
          <w:szCs w:val="24"/>
        </w:rPr>
      </w:pPr>
      <w:r>
        <w:rPr>
          <w:rFonts w:ascii="Times New Roman" w:hAnsi="Times New Roman"/>
          <w:noProof/>
          <w:sz w:val="24"/>
        </w:rPr>
        <w:t xml:space="preserve">Em termos de simplificação, a natureza integrada do programa Erasmus + permite que se utilizem ferramentas interdisciplinares para pedir subvenções e realizar atividades de acompanhamento, auditoria e divulgação. </w:t>
      </w:r>
      <w:r>
        <w:rPr>
          <w:rFonts w:ascii="Times New Roman" w:hAnsi="Times New Roman"/>
          <w:b/>
          <w:noProof/>
          <w:sz w:val="24"/>
        </w:rPr>
        <w:t xml:space="preserve">Após um complicado período de transição </w:t>
      </w:r>
      <w:r>
        <w:rPr>
          <w:rFonts w:ascii="Times New Roman" w:hAnsi="Times New Roman"/>
          <w:noProof/>
          <w:sz w:val="24"/>
        </w:rPr>
        <w:t xml:space="preserve">entre os programas antecessores e o programa atual, é amplamente consensual que o Erasmus+ registou grandes progressos (por exemplo, subvenções simplificadas, digitalização, a Carta de mobilidade da EFP e o </w:t>
      </w:r>
      <w:r>
        <w:rPr>
          <w:noProof/>
        </w:rPr>
        <w:t>apoio linguístico em linha</w:t>
      </w:r>
      <w:r>
        <w:rPr>
          <w:rStyle w:val="FootnoteReference"/>
          <w:rFonts w:ascii="Times New Roman" w:hAnsi="Times New Roman"/>
          <w:noProof/>
          <w:sz w:val="24"/>
        </w:rPr>
        <w:footnoteReference w:id="18"/>
      </w:r>
      <w:r>
        <w:rPr>
          <w:rFonts w:ascii="Times New Roman" w:hAnsi="Times New Roman"/>
          <w:noProof/>
          <w:sz w:val="24"/>
        </w:rPr>
        <w:t xml:space="preserve">), embora se considerasse que a utilização dos </w:t>
      </w:r>
      <w:r>
        <w:rPr>
          <w:rFonts w:ascii="Times New Roman" w:hAnsi="Times New Roman"/>
          <w:b/>
          <w:noProof/>
          <w:sz w:val="24"/>
        </w:rPr>
        <w:t>procedimentos e das ferramentas de gestão informática poderia ser facilitada</w:t>
      </w:r>
      <w:r>
        <w:rPr>
          <w:rFonts w:ascii="Times New Roman" w:hAnsi="Times New Roman"/>
          <w:noProof/>
          <w:sz w:val="24"/>
        </w:rPr>
        <w:t>, de modo a reduzir a carga administrativa sobre os organismos de execução e os beneficiários, em proporção com as subvenções</w:t>
      </w:r>
      <w:r>
        <w:rPr>
          <w:noProof/>
        </w:rPr>
        <w:t xml:space="preserve"> </w:t>
      </w:r>
      <w:r>
        <w:rPr>
          <w:rFonts w:ascii="Times New Roman" w:hAnsi="Times New Roman"/>
          <w:noProof/>
          <w:sz w:val="24"/>
        </w:rPr>
        <w:t>que recebem.</w:t>
      </w:r>
    </w:p>
    <w:p>
      <w:pPr>
        <w:pStyle w:val="ListParagraph"/>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noProof/>
          <w:sz w:val="24"/>
        </w:rPr>
        <w:t xml:space="preserve">A partir de 2018, a Comissão vai facilitar o pedido de subvenções através da introdução de formulários em linha. Estas </w:t>
      </w:r>
      <w:r>
        <w:rPr>
          <w:rFonts w:ascii="Times New Roman" w:hAnsi="Times New Roman"/>
          <w:b/>
          <w:noProof/>
          <w:sz w:val="24"/>
        </w:rPr>
        <w:t xml:space="preserve">melhorias progressivas irão continuar </w:t>
      </w:r>
      <w:r>
        <w:rPr>
          <w:rFonts w:ascii="Times New Roman" w:hAnsi="Times New Roman"/>
          <w:noProof/>
          <w:sz w:val="24"/>
        </w:rPr>
        <w:t>ao longo do tempo de vida do programa.</w:t>
      </w:r>
    </w:p>
    <w:p>
      <w:pPr>
        <w:pStyle w:val="ListParagraph"/>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O futuro programa deve continuar a consolidar as atuais melhorias de eficiência, em especial </w:t>
      </w:r>
      <w:r>
        <w:rPr>
          <w:rFonts w:ascii="Times New Roman" w:hAnsi="Times New Roman"/>
          <w:b/>
          <w:noProof/>
          <w:sz w:val="24"/>
        </w:rPr>
        <w:t>reduzindo a carga administrativa</w:t>
      </w:r>
      <w:r>
        <w:rPr>
          <w:rFonts w:ascii="Times New Roman" w:hAnsi="Times New Roman"/>
          <w:noProof/>
          <w:sz w:val="24"/>
        </w:rPr>
        <w:t xml:space="preserve"> através da simplificação dos procedimentos de candidatura e de apresentação de relatórios, tornando as ferramentas informáticas mais interoperáveis e fáceis de utilizar, e aumentando a flexibilidade orçamental sem contudo deixar de preservar a responsabilidade.</w:t>
      </w:r>
    </w:p>
    <w:p>
      <w:pPr>
        <w:jc w:val="both"/>
        <w:rPr>
          <w:rFonts w:ascii="Times New Roman" w:hAnsi="Times New Roman" w:cs="Times New Roman"/>
          <w:noProof/>
          <w:sz w:val="24"/>
          <w:szCs w:val="24"/>
        </w:rPr>
      </w:pPr>
      <w:r>
        <w:rPr>
          <w:rFonts w:ascii="Times New Roman" w:hAnsi="Times New Roman"/>
          <w:noProof/>
          <w:sz w:val="24"/>
        </w:rPr>
        <w:t xml:space="preserve">A </w:t>
      </w:r>
      <w:r>
        <w:rPr>
          <w:rFonts w:ascii="Times New Roman" w:hAnsi="Times New Roman"/>
          <w:b/>
          <w:noProof/>
          <w:sz w:val="24"/>
        </w:rPr>
        <w:t>modalidade de execução descentralizada através de agências nacionais está agora bem estabelecida</w:t>
      </w:r>
      <w:r>
        <w:rPr>
          <w:rFonts w:ascii="Times New Roman" w:hAnsi="Times New Roman"/>
          <w:noProof/>
          <w:sz w:val="24"/>
        </w:rPr>
        <w:t xml:space="preserve">. Em 2014 foi introduzida uma abordagem da gestão de programas </w:t>
      </w:r>
      <w:r>
        <w:rPr>
          <w:rFonts w:ascii="Times New Roman" w:hAnsi="Times New Roman"/>
          <w:b/>
          <w:noProof/>
          <w:sz w:val="24"/>
        </w:rPr>
        <w:t>claramente baseada no rendimento</w:t>
      </w:r>
      <w:r>
        <w:rPr>
          <w:rFonts w:ascii="Times New Roman" w:hAnsi="Times New Roman"/>
          <w:noProof/>
          <w:sz w:val="24"/>
        </w:rPr>
        <w:t xml:space="preserve">. Com base nas melhorias reconhecidas no acompanhamento dos resultados do Erasmus+, alguns indicadores precisam de ser aperfeiçoados, podendo </w:t>
      </w:r>
      <w:r>
        <w:rPr>
          <w:rFonts w:ascii="Times New Roman" w:hAnsi="Times New Roman"/>
          <w:b/>
          <w:noProof/>
          <w:sz w:val="24"/>
        </w:rPr>
        <w:t>recolher-se menos dados dos participantes se fossem mais bem aproveitados</w:t>
      </w:r>
      <w:r>
        <w:rPr>
          <w:rFonts w:ascii="Times New Roman" w:hAnsi="Times New Roman"/>
          <w:noProof/>
          <w:sz w:val="24"/>
        </w:rPr>
        <w:t>.</w:t>
      </w:r>
    </w:p>
    <w:p>
      <w:pPr>
        <w:pStyle w:val="ListParagraph"/>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A comunicação entre a Agência de Execução relativa à Educação, ao Audiovisual e à Cultura e as agências nacionais foi melhorada no sentido de aumentar as </w:t>
      </w:r>
      <w:r>
        <w:rPr>
          <w:rFonts w:ascii="Times New Roman" w:hAnsi="Times New Roman"/>
          <w:b/>
          <w:noProof/>
          <w:sz w:val="24"/>
        </w:rPr>
        <w:t>sinergias entre as ações centralizadas e descentralizadas</w:t>
      </w:r>
      <w:r>
        <w:rPr>
          <w:rFonts w:ascii="Times New Roman" w:hAnsi="Times New Roman"/>
          <w:noProof/>
          <w:sz w:val="24"/>
        </w:rPr>
        <w:t>.</w:t>
      </w:r>
    </w:p>
    <w:p>
      <w:pPr>
        <w:pStyle w:val="ListParagraph"/>
        <w:numPr>
          <w:ilvl w:val="0"/>
          <w:numId w:val="7"/>
        </w:num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A Comissão irá analisar a forma de aperfeiçoar o acompanhamento do programa Erasmus+, estendendo-o a projetos de cooperação e a ações centralizadas com vista ao </w:t>
      </w:r>
      <w:r>
        <w:rPr>
          <w:rFonts w:ascii="Times New Roman" w:hAnsi="Times New Roman"/>
          <w:b/>
          <w:noProof/>
          <w:sz w:val="24"/>
        </w:rPr>
        <w:t>tratamento dos dados recolhidos, de forma proporcionada, de modo a que os responsáveis pela tomada de decisões sejam informados por elementos factuais</w:t>
      </w:r>
      <w:r>
        <w:rPr>
          <w:rFonts w:ascii="Times New Roman" w:hAnsi="Times New Roman"/>
          <w:noProof/>
          <w:sz w:val="24"/>
        </w:rPr>
        <w:t>.</w:t>
      </w:r>
    </w:p>
    <w:p>
      <w:pPr>
        <w:spacing w:after="160" w:line="259" w:lineRule="auto"/>
        <w:jc w:val="both"/>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8233"/>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rPr>
          <w:rFonts w:ascii="Times New Roman" w:eastAsiaTheme="majorEastAsia" w:hAnsi="Times New Roman"/>
          <w:bCs/>
        </w:rPr>
      </w:pPr>
      <w:r>
        <w:rPr>
          <w:rStyle w:val="FootnoteReference"/>
          <w:sz w:val="18"/>
        </w:rPr>
        <w:footnoteRef/>
      </w:r>
      <w:r>
        <w:rPr>
          <w:sz w:val="18"/>
        </w:rPr>
        <w:t xml:space="preserve"> </w:t>
      </w:r>
      <w:r>
        <w:rPr>
          <w:rFonts w:ascii="Times New Roman" w:eastAsiaTheme="majorEastAsia" w:hAnsi="Times New Roman"/>
        </w:rPr>
        <w:t>Incluindo o financiamento de instrumentos de ação externa.</w:t>
      </w:r>
    </w:p>
  </w:footnote>
  <w:footnote w:id="2">
    <w:p>
      <w:pPr>
        <w:pStyle w:val="FootnoteText"/>
        <w:spacing w:after="60"/>
        <w:rPr>
          <w:rFonts w:ascii="Times New Roman" w:hAnsi="Times New Roman"/>
        </w:rPr>
      </w:pPr>
      <w:r>
        <w:rPr>
          <w:rStyle w:val="FootnoteReference"/>
          <w:rFonts w:ascii="Times New Roman" w:hAnsi="Times New Roman"/>
        </w:rPr>
        <w:footnoteRef/>
      </w:r>
      <w:r>
        <w:rPr>
          <w:rFonts w:ascii="Times New Roman" w:hAnsi="Times New Roman"/>
        </w:rPr>
        <w:t xml:space="preserve"> JO L 347 de 20.12.2013, p. 50</w:t>
      </w:r>
      <w:r>
        <w:rPr>
          <w:sz w:val="18"/>
        </w:rPr>
        <w:t xml:space="preserve"> orçamento</w:t>
      </w:r>
      <w:r>
        <w:t>.</w:t>
      </w:r>
    </w:p>
  </w:footnote>
  <w:footnote w:id="3">
    <w:p>
      <w:pPr>
        <w:pStyle w:val="FootnoteText"/>
        <w:spacing w:after="60"/>
        <w:rPr>
          <w:rFonts w:ascii="Times New Roman" w:hAnsi="Times New Roman"/>
        </w:rPr>
      </w:pPr>
      <w:r>
        <w:rPr>
          <w:rStyle w:val="FootnoteReference"/>
          <w:rFonts w:ascii="Times New Roman" w:hAnsi="Times New Roman"/>
        </w:rPr>
        <w:footnoteRef/>
      </w:r>
      <w:r>
        <w:rPr>
          <w:rFonts w:ascii="Times New Roman" w:hAnsi="Times New Roman"/>
        </w:rPr>
        <w:t xml:space="preserve"> Países do programa: Estados-Membros da UE, Antiga República Jugoslava da Macedónia, Islândia, Listenstaine, Noruega e Turquia. Países parceiros: outros países não membros da UE.</w:t>
      </w:r>
    </w:p>
  </w:footnote>
  <w:footnote w:id="4">
    <w:p>
      <w:pPr>
        <w:pStyle w:val="FootnoteText"/>
        <w:spacing w:after="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Documento de trabalho, 5.1.2.1.</w:t>
      </w:r>
    </w:p>
  </w:footnote>
  <w:footnote w:id="5">
    <w:p>
      <w:pPr>
        <w:pStyle w:val="FootnoteText"/>
        <w:spacing w:after="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Documento de trabalho, 5.1.2.2.</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http://ec.europa.eu/programmes/erasmus-plus/projects</w:t>
      </w:r>
    </w:p>
  </w:footnote>
  <w:footnote w:id="7">
    <w:p>
      <w:pPr>
        <w:pStyle w:val="FootnoteText"/>
        <w:spacing w:after="60"/>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Reforçar a identidade europeia através da educação e da cultura — Contributo da Comissão para a cimeira de Gotemburgo</w:t>
      </w:r>
      <w:r>
        <w:rPr>
          <w:rFonts w:ascii="Times New Roman" w:hAnsi="Times New Roman"/>
        </w:rPr>
        <w:t xml:space="preserve"> de 17 de novembro de 2017, COM(2017) 673.</w:t>
      </w:r>
    </w:p>
  </w:footnote>
  <w:footnote w:id="8">
    <w:p>
      <w:pPr>
        <w:pStyle w:val="FootnoteText"/>
        <w:spacing w:after="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Sem prejuízo do próximo Quadro Financeiro Plurianual.</w:t>
      </w:r>
    </w:p>
  </w:footnote>
  <w:footnote w:id="9">
    <w:p>
      <w:pPr>
        <w:pStyle w:val="FootnoteText"/>
        <w:spacing w:after="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Documento de trabalho, 5.5.</w:t>
      </w:r>
    </w:p>
  </w:footnote>
  <w:footnote w:id="10">
    <w:p>
      <w:pPr>
        <w:pStyle w:val="FootnoteText"/>
        <w:spacing w:after="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Documento de trabalho, 5.2.</w:t>
      </w:r>
    </w:p>
  </w:footnote>
  <w:footnote w:id="11">
    <w:p>
      <w:pPr>
        <w:pStyle w:val="FootnoteText"/>
        <w:spacing w:after="60"/>
      </w:pPr>
      <w:r>
        <w:rPr>
          <w:rStyle w:val="FootnoteReference"/>
        </w:rPr>
        <w:footnoteRef/>
      </w:r>
      <w:r>
        <w:t xml:space="preserve"> </w:t>
      </w:r>
      <w:r>
        <w:rPr>
          <w:rFonts w:ascii="Times New Roman" w:hAnsi="Times New Roman"/>
        </w:rPr>
        <w:t>Declaração sobre a promoção da cidadania e dos valores comuns da liberdade, tolerância e não-discriminação através da educação, Paris, 17 de março de 2015.</w:t>
      </w:r>
    </w:p>
  </w:footnote>
  <w:footnote w:id="12">
    <w:p>
      <w:pPr>
        <w:shd w:val="clear" w:color="auto" w:fill="FFFFFF"/>
        <w:spacing w:after="60"/>
        <w:jc w:val="both"/>
        <w:textAlignment w:val="baseline"/>
      </w:pPr>
      <w:r>
        <w:rPr>
          <w:rStyle w:val="FootnoteReference"/>
          <w:rFonts w:ascii="Times New Roman" w:hAnsi="Times New Roman"/>
          <w:sz w:val="20"/>
        </w:rPr>
        <w:footnoteRef/>
      </w:r>
      <w:r>
        <w:rPr>
          <w:rFonts w:ascii="Times New Roman" w:hAnsi="Times New Roman"/>
          <w:sz w:val="20"/>
        </w:rPr>
        <w:t xml:space="preserve"> Relatório conjunto de 2015 do Conselho e da Comissão sobre a aplicação do quadro estratégico para a cooperação europeia no domínio da educação e da formação (EF 2020) (JO C 417 de 15.12.2015) p. 25; Resolução do Conselho e dos Representantes dos Governos dos Estados-Membros, reunidos no Conselho, sobre um Plano de Trabalho da União Europeia para a Juventude (2016-2018) (2016-2018) (JO C 417 de 15.12.2015) p. 1.</w:t>
      </w:r>
    </w:p>
  </w:footnote>
  <w:footnote w:id="13">
    <w:p>
      <w:pPr>
        <w:shd w:val="clear" w:color="auto" w:fill="FFFFFF"/>
        <w:spacing w:after="60"/>
        <w:jc w:val="both"/>
        <w:textAlignment w:val="baseline"/>
      </w:pPr>
      <w:r>
        <w:rPr>
          <w:rStyle w:val="FootnoteReference"/>
          <w:rFonts w:ascii="Times New Roman" w:hAnsi="Times New Roman"/>
          <w:sz w:val="20"/>
        </w:rPr>
        <w:footnoteRef/>
      </w:r>
      <w:r>
        <w:rPr>
          <w:rFonts w:ascii="Times New Roman" w:hAnsi="Times New Roman"/>
          <w:sz w:val="20"/>
        </w:rPr>
        <w:t xml:space="preserve"> COM(2016) 381 de 10 de junho de 2016.</w:t>
      </w:r>
    </w:p>
  </w:footnote>
  <w:footnote w:id="14">
    <w:p>
      <w:pPr>
        <w:pStyle w:val="FootnoteText"/>
        <w:spacing w:after="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Documento de trabalho, 5.3.2</w:t>
      </w:r>
    </w:p>
  </w:footnote>
  <w:footnote w:id="15">
    <w:p>
      <w:pPr>
        <w:pStyle w:val="FootnoteText"/>
        <w:spacing w:after="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Documento de trabalho, 5.3.1</w:t>
      </w:r>
    </w:p>
  </w:footnote>
  <w:footnote w:id="16">
    <w:p>
      <w:pPr>
        <w:pStyle w:val="FootnoteText"/>
        <w:spacing w:after="6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Documento de trabalho, 5.4.</w:t>
      </w:r>
    </w:p>
  </w:footnote>
  <w:footnote w:id="17">
    <w:p>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Incluindo as despesas de gestão das agências nacionais, apoiadas pelo orçamento operacional. </w:t>
      </w:r>
    </w:p>
  </w:footnote>
  <w:footnote w:id="18">
    <w:p>
      <w:pPr>
        <w:pStyle w:val="FootnoteText"/>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https://erasmusplusols.eu/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4EB3"/>
    <w:multiLevelType w:val="hybridMultilevel"/>
    <w:tmpl w:val="AAA0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74357"/>
    <w:multiLevelType w:val="hybridMultilevel"/>
    <w:tmpl w:val="72FC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FF39C9"/>
    <w:multiLevelType w:val="hybridMultilevel"/>
    <w:tmpl w:val="4B427060"/>
    <w:lvl w:ilvl="0" w:tplc="B7CA5A9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F078B5"/>
    <w:multiLevelType w:val="hybridMultilevel"/>
    <w:tmpl w:val="FED4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C50464"/>
    <w:multiLevelType w:val="hybridMultilevel"/>
    <w:tmpl w:val="2224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C1353E"/>
    <w:multiLevelType w:val="hybridMultilevel"/>
    <w:tmpl w:val="7FAA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B042F9"/>
    <w:multiLevelType w:val="hybridMultilevel"/>
    <w:tmpl w:val="117C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3D3FAA"/>
    <w:multiLevelType w:val="hybridMultilevel"/>
    <w:tmpl w:val="15D2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79C851F-514A-49E6-A227-3D2C1C5E6580"/>
    <w:docVar w:name="LW_COVERPAGE_TYPE" w:val="1"/>
    <w:docVar w:name="LW_CROSSREFERENCE" w:val="{SWD(2018) 40 final}"/>
    <w:docVar w:name="LW_DocType" w:val="NORMAL"/>
    <w:docVar w:name="LW_EMISSION" w:val="31.1.2018"/>
    <w:docVar w:name="LW_EMISSION_ISODATE" w:val="2018-01-31"/>
    <w:docVar w:name="LW_EMISSION_LOCATION" w:val="BRX"/>
    <w:docVar w:name="LW_EMISSION_PREFIX" w:val="Bruxelas, "/>
    <w:docVar w:name="LW_EMISSION_SUFFIX" w:val="&lt;EMPTY&gt;"/>
    <w:docVar w:name="LW_ID_DOCTYPE_NONLW" w:val="CP-008"/>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8) 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Avaliação intercalar do programa Erasmus+ (2014-2020)&lt;/FMT&gt;"/>
    <w:docVar w:name="LW_TYPE.DOC.CP" w:val="RELATÓRIO DA COMISSÃO AO PARLAMENTO EUROPEU, AO CONSELHO, AO COMITÉ ECONÓMICO E SOCIAL EUROPEU E AO COMITÉ DAS REGIÕES"/>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qFormat/>
    <w:pPr>
      <w:spacing w:after="0" w:line="240" w:lineRule="auto"/>
    </w:pPr>
    <w:rPr>
      <w:sz w:val="20"/>
      <w:szCs w:val="20"/>
    </w:r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basedOn w:val="DefaultParagraphFont"/>
    <w:uiPriority w:val="99"/>
    <w:rPr>
      <w:sz w:val="20"/>
      <w:szCs w:val="2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customStyle="1" w:styleId="CommentText1">
    <w:name w:val="Comment Text1"/>
    <w:basedOn w:val="Normal"/>
    <w:next w:val="CommentText"/>
    <w:link w:val="CommentTextChar"/>
    <w:uiPriority w:val="99"/>
    <w:semiHidden/>
    <w:unhideWhenUsed/>
    <w:pPr>
      <w:spacing w:after="160" w:line="240" w:lineRule="auto"/>
    </w:pPr>
    <w:rPr>
      <w:sz w:val="20"/>
      <w:szCs w:val="20"/>
    </w:rPr>
  </w:style>
  <w:style w:type="character" w:customStyle="1" w:styleId="CommentTextChar">
    <w:name w:val="Comment Text Char"/>
    <w:basedOn w:val="DefaultParagraphFont"/>
    <w:link w:val="CommentText1"/>
    <w:uiPriority w:val="99"/>
    <w:semiHidden/>
    <w:rPr>
      <w:sz w:val="20"/>
      <w:szCs w:val="20"/>
    </w:rPr>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ListParagraph">
    <w:name w:val="List Paragraph"/>
    <w:aliases w:val="1st level - Bullet List Paragraph,List Paragraph1,Lettre d'introduction,Paragrafo elenco,Medium Grid 1 - Accent 21,Bullet Paragraph,Lijstalinea,Bullet List Paragraph,Bulletpoints,Heading 2_sj"/>
    <w:basedOn w:val="Normal"/>
    <w:link w:val="ListParagraphChar"/>
    <w:uiPriority w:val="34"/>
    <w:qFormat/>
    <w:pPr>
      <w:spacing w:after="160" w:line="259" w:lineRule="auto"/>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Bullet Paragraph Char,Lijstalinea Char,Bullet List Paragraph Char,Bulletpoints Char"/>
    <w:basedOn w:val="DefaultParagraphFont"/>
    <w:link w:val="ListParagraph"/>
    <w:uiPriority w:val="34"/>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1"/>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Default">
    <w:name w:val="Default"/>
    <w:uiPriority w:val="99"/>
    <w:pPr>
      <w:suppressAutoHyphens/>
      <w:autoSpaceDE w:val="0"/>
      <w:autoSpaceDN w:val="0"/>
      <w:spacing w:after="0" w:line="240" w:lineRule="auto"/>
      <w:textAlignment w:val="baseline"/>
    </w:pPr>
    <w:rPr>
      <w:rFonts w:ascii="Arial" w:eastAsia="Times New Roman" w:hAnsi="Arial" w:cs="Arial"/>
      <w:color w:val="00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qFormat/>
    <w:pPr>
      <w:spacing w:after="0" w:line="240" w:lineRule="auto"/>
    </w:pPr>
    <w:rPr>
      <w:sz w:val="20"/>
      <w:szCs w:val="20"/>
    </w:r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basedOn w:val="DefaultParagraphFont"/>
    <w:uiPriority w:val="99"/>
    <w:rPr>
      <w:sz w:val="20"/>
      <w:szCs w:val="2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customStyle="1" w:styleId="CommentText1">
    <w:name w:val="Comment Text1"/>
    <w:basedOn w:val="Normal"/>
    <w:next w:val="CommentText"/>
    <w:link w:val="CommentTextChar"/>
    <w:uiPriority w:val="99"/>
    <w:semiHidden/>
    <w:unhideWhenUsed/>
    <w:pPr>
      <w:spacing w:after="160" w:line="240" w:lineRule="auto"/>
    </w:pPr>
    <w:rPr>
      <w:sz w:val="20"/>
      <w:szCs w:val="20"/>
    </w:rPr>
  </w:style>
  <w:style w:type="character" w:customStyle="1" w:styleId="CommentTextChar">
    <w:name w:val="Comment Text Char"/>
    <w:basedOn w:val="DefaultParagraphFont"/>
    <w:link w:val="CommentText1"/>
    <w:uiPriority w:val="99"/>
    <w:semiHidden/>
    <w:rPr>
      <w:sz w:val="20"/>
      <w:szCs w:val="20"/>
    </w:rPr>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ListParagraph">
    <w:name w:val="List Paragraph"/>
    <w:aliases w:val="1st level - Bullet List Paragraph,List Paragraph1,Lettre d'introduction,Paragrafo elenco,Medium Grid 1 - Accent 21,Bullet Paragraph,Lijstalinea,Bullet List Paragraph,Bulletpoints,Heading 2_sj"/>
    <w:basedOn w:val="Normal"/>
    <w:link w:val="ListParagraphChar"/>
    <w:uiPriority w:val="34"/>
    <w:qFormat/>
    <w:pPr>
      <w:spacing w:after="160" w:line="259" w:lineRule="auto"/>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Bullet Paragraph Char,Lijstalinea Char,Bullet List Paragraph Char,Bulletpoints Char"/>
    <w:basedOn w:val="DefaultParagraphFont"/>
    <w:link w:val="ListParagraph"/>
    <w:uiPriority w:val="34"/>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1"/>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Default">
    <w:name w:val="Default"/>
    <w:uiPriority w:val="99"/>
    <w:pPr>
      <w:suppressAutoHyphens/>
      <w:autoSpaceDE w:val="0"/>
      <w:autoSpaceDN w:val="0"/>
      <w:spacing w:after="0" w:line="240" w:lineRule="auto"/>
      <w:textAlignment w:val="baseline"/>
    </w:pPr>
    <w:rPr>
      <w:rFonts w:ascii="Arial" w:eastAsia="Times New Roman" w:hAnsi="Arial" w:cs="Arial"/>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ebgate.ec.europa.eu/fpfis/mwikis/eurydice/images/1/14/Leaflet_Paris_Declaration.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F6DE4-6870-4881-ACE3-C47D362E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2848</Words>
  <Characters>15839</Characters>
  <Application>Microsoft Office Word</Application>
  <DocSecurity>0</DocSecurity>
  <Lines>243</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2017-12-21T09:16:00Z</cp:lastPrinted>
  <dcterms:created xsi:type="dcterms:W3CDTF">2018-01-24T08:18:00Z</dcterms:created>
  <dcterms:modified xsi:type="dcterms:W3CDTF">2018-01-29T11:47:00Z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