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07F2B2EB-3745-45A1-9457-2A761A153D3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ind w:left="1440" w:firstLine="720"/>
        <w:jc w:val="both"/>
        <w:rPr>
          <w:noProof/>
        </w:rPr>
      </w:pPr>
      <w:bookmarkStart w:id="0" w:name="_GoBack"/>
      <w:bookmarkEnd w:id="0"/>
      <w:r>
        <w:rPr>
          <w:noProof/>
        </w:rPr>
        <w:lastRenderedPageBreak/>
        <w:t>PERUSTELUT</w:t>
      </w:r>
    </w:p>
    <w:p>
      <w:pPr>
        <w:pBdr>
          <w:top w:val="nil"/>
          <w:left w:val="nil"/>
          <w:bottom w:val="nil"/>
          <w:right w:val="nil"/>
          <w:between w:val="nil"/>
          <w:bar w:val="nil"/>
        </w:pBdr>
        <w:spacing w:before="0" w:after="240"/>
        <w:rPr>
          <w:rFonts w:eastAsia="Arial Unicode MS"/>
          <w:noProof/>
        </w:rPr>
      </w:pPr>
      <w:r>
        <w:rPr>
          <w:noProof/>
        </w:rPr>
        <w:t>Yhteisestä arvonlisäverojärjestelmästä 28. marraskuuta 2006 annetun direktiivin 2006/112/EY, jäljempänä ’alv-direktiivi’, 395 artiklan 1 kohdan mukaan neuvosto voi yksimielisesti komission ehdotuksesta antaa jäsenvaltiolle luvan soveltaa kyseisestä direktiivistä poikkeavia erityistoimenpiteitä veronkannon yksinkertaistamiseksi tai tietyntyyppisten veropetosten taikka veron kiertämisen estämiseksi.</w:t>
      </w:r>
    </w:p>
    <w:p>
      <w:pPr>
        <w:pBdr>
          <w:top w:val="nil"/>
          <w:left w:val="nil"/>
          <w:bottom w:val="nil"/>
          <w:right w:val="nil"/>
          <w:between w:val="nil"/>
          <w:bar w:val="nil"/>
        </w:pBdr>
        <w:spacing w:before="0" w:after="240"/>
        <w:rPr>
          <w:noProof/>
          <w:color w:val="008000"/>
        </w:rPr>
      </w:pPr>
      <w:r>
        <w:rPr>
          <w:noProof/>
        </w:rPr>
        <w:t>Latvia on pyytänyt kirjeessä, jonka komissio kirjasi saapuneeksi 15. marraskuuta 2017, alv-direktiivin 193 artiklaa koskevaa poikkeusta, jotta se voisi soveltaa käännetyn verovelvollisuuden mekanismia pelikonsoleiden luovutuksiin. Komissio antoi alv-direktiivin 395 artiklan 2 kohdan mukaisesti Latvian pyynnön tiedoksi muille jäsenvaltioille 23. marraskuuta 2017 päivätyllä kirjeellä. Komissio ilmoitti 24. marraskuuta päivätyllä kirjeellä Latvialle saaneensa kaikki hakemuksen arviointiin tarvitsemansa tiedot.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Alv-direktiivin 193 artiklassa säädetään yleissääntönä, että tavaroita luovuttava tai palveluita suorittava verovelvollinen on tavallisesti velvollinen maksamaan arvonlisäveron.</w:t>
      </w:r>
    </w:p>
    <w:p>
      <w:pPr>
        <w:rPr>
          <w:noProof/>
        </w:rPr>
      </w:pPr>
      <w:r>
        <w:rPr>
          <w:noProof/>
        </w:rPr>
        <w:t xml:space="preserve">Alv-direktiivin 199 a artiklan 1 kohdan nojalla jäsenvaltiot voivat säätää, että henkilö, joka on velvollinen maksamaan arvonlisäveron kyseisessä artiklassa luetelluista luovutuksista tai suorituksista, on luovutuksen tai suorituksen vastaanottaja (käännetyn verovelvollisuuden mekanismi). Käännetyn verovelvollisuuden menettelyssä verovelvollisesta, jolle suoritus suoritetaan, tulee arvonlisäverovelvollinen. Kyseinen verovelvollinen, edellyttäen että sillä on täysi vähennysoikeus, voi samanaikaisesti ilmoittaa ja vähentää suoritusta koskevan arvonlisäveron. Arvonlisäveroa ei siis tosiasiallisesti makseta valtionkassaan. Pelikonsoleiden luovutukset sisältyvät 199 a artiklan 1 kohdan h alakohtaan. </w:t>
      </w:r>
    </w:p>
    <w:p>
      <w:pPr>
        <w:pBdr>
          <w:top w:val="nil"/>
          <w:left w:val="nil"/>
          <w:bottom w:val="nil"/>
          <w:right w:val="nil"/>
          <w:between w:val="nil"/>
          <w:bar w:val="nil"/>
        </w:pBdr>
        <w:spacing w:before="0" w:after="240"/>
        <w:rPr>
          <w:rFonts w:eastAsia="Arial Unicode MS"/>
          <w:noProof/>
        </w:rPr>
      </w:pPr>
      <w:r>
        <w:rPr>
          <w:noProof/>
        </w:rPr>
        <w:t xml:space="preserve">Latvia ei hyödyntänyt alv-direktiivin 199 a artiklan 1 kohdan h alakohdan mukaista mahdollisuutta eikä sovella käännetyn verovelvollisuuden mekanismia pelikonsoleiden luovutuksiin. Viime aikoina Latviassa on kuitenkin havaittu petosten lisääntyneen pelikonsoleiden alalla, ja kyseinen jäsenvaltio haluaisi ottaa käyttöön käännetyn verovelvollisuuden mekanismin pelikonsoleiden luovutuksissa kotimarkkinoilla. </w:t>
      </w:r>
    </w:p>
    <w:p>
      <w:pPr>
        <w:rPr>
          <w:noProof/>
        </w:rPr>
      </w:pPr>
      <w:r>
        <w:rPr>
          <w:noProof/>
        </w:rPr>
        <w:t xml:space="preserve">Alv-direktiivin 199 a artiklan 1 kohdan mukaan käännetyn verovelvollisuuden mekanismia voidaan soveltaa 31. joulukuuta 2018 saakka ja vähintään kahden vuoden ajan. Koska kahden vuoden määräaikaa koskeva edellytys ei täyty, Latvia ei voi soveltaa käännetyn verovelvollisuuden mekanismia tämän artiklan perusteella. </w:t>
      </w:r>
    </w:p>
    <w:p>
      <w:pPr>
        <w:rPr>
          <w:noProof/>
        </w:rPr>
      </w:pPr>
      <w:r>
        <w:rPr>
          <w:noProof/>
        </w:rPr>
        <w:t xml:space="preserve">Tästä syystä Latvia pyytää poikkeusta alv-direktiivin 193 artiklasta saadakseen luvan soveltaa käännetyn verovelvollisuuden mekanismia pelikonsoleiden luovutuksiin alv-direktiivin 395 artiklan perusteella. </w:t>
      </w:r>
    </w:p>
    <w:p>
      <w:pPr>
        <w:rPr>
          <w:noProof/>
        </w:rPr>
      </w:pPr>
      <w:r>
        <w:rPr>
          <w:noProof/>
        </w:rPr>
        <w:t xml:space="preserve">Pyydetyn poikkeuksen tarkoituksena on estää alv-petokset pelikonsoleiden alalla. Latvia on soveltanut 199 a artiklan 1 kohdan c, d ja h alakohdassa esitettyjen mahdollisuuksien pohjalta alv:n osalta käännetyn verovelvollisuuden mekanismia 1. huhtikuuta 2016 lähtien matkapuhelimien, taulutietokoneiden, kannettavien tietokoneiden ja integroitujen piirien luovutuksiin. On todettu, että sen jälkeen kun käännetty verovelvollisuus otettiin käyttöön edellä mainittujen luovutusten osalta, pelikonsoleiden luovutuksiin liittyvien alv-petosten määrä on kasvanut. Nämä tuotteet ovat alttiita petoksille, koska ne ovat suhteellisen </w:t>
      </w:r>
      <w:r>
        <w:rPr>
          <w:noProof/>
        </w:rPr>
        <w:lastRenderedPageBreak/>
        <w:t>pienikokoisia, niiden arvo on suhteellisen suuri ja niiden kauppa internetissä hyvin kehittynyttä.</w:t>
      </w:r>
    </w:p>
    <w:p>
      <w:pPr>
        <w:spacing w:after="240"/>
        <w:rPr>
          <w:noProof/>
        </w:rPr>
      </w:pPr>
      <w:r>
        <w:rPr>
          <w:noProof/>
        </w:rPr>
        <w:t xml:space="preserve">Latvian mukaan pelikonsoleiden luovutusten alalla on tehty tarkastuksia. Vuonna 2017 todettiin, että pelikonsoleiden luovutusten alalla toimi 14 postilaatikkoyhtiötä, joiden osuus kaikista tämän alan yrityksistä oli 6,4 prosenttia. Vuonna 2016 pelikonsoleiden luovutusten alalla toimivista 219 rekisteröidystä alv-velvollisesta kahdeksan oli ilmoittanut arvonlisäveron tuotantopanoksista maksettuna verona liiketoimista muiden verovelvollisten kanssa, jotka luokitellaan postilaatikkoyhtiöiksi (3,7 prosenttia kaikista alv-tarkoituksiin rekisteröidyistä). Talouden toimijoiden petollisen toiminnan estämiseksi Latvian verohallinto (VID) hyödyntää mahdollisuutta jättää ne arvonlisäverovelvollisten rekisterin ulkopuolelle. Vuonna 2017 niiden tällä alalla toimivien verovelvollisten lukumäärä, jotka jätettiin VID:n arvonlisäverovelvollisten rekisterin ulkopuolelle, on kasvanut huomattavasti. Vuoden ensimmäisten kahdeksan kuukauden aikana rekisterin ulkopuolelle jätettiin 16 alalla toimivaa verovelvollista, mikä on jo 88,9 prosenttia kaikista vuonna 2016 sen ulkopuolelle jätetyistä (18 verovelvollista). </w:t>
      </w:r>
    </w:p>
    <w:p>
      <w:pPr>
        <w:rPr>
          <w:noProof/>
        </w:rPr>
      </w:pPr>
      <w:r>
        <w:rPr>
          <w:noProof/>
        </w:rPr>
        <w:t xml:space="preserve">Latvian toimittamien tietojen mukaan maassa toteutetaan useita toimenpiteitä alv-petosten vähentämiseksi ja torjumiseksi. Esimerkkeinä voidaan mainita seuraavat: kassakoneisiin sovelletaan uutta vaatimusta, jolla pyritään pääsemään täysin eroon jo kirjattujen liiketoimien poistamisesta, liiketoimet on jaoteltava yksityiskohtaisesti alv-ilmoituksessa, erityistä huomiota kiinnitetään lisäksi rutiiniluonteisiin tarkastuksiin ja hallinnollisiin toimenpiteisiin ja käyttöön on otettu luottolaitoksiin ja muihin tahoihin kohdistuva velvoite ilmoittaa VID:lle epäilyttävistä liiketoimista. Myös sähköisen laskutuksen käyttöönottoa harkitaan. Kaikista näistä toimenpiteistä huolimatta Latvia katsoo kuitenkin, että käännetyn verovelvollisuuden mekanismin käyttöönotto on tarpeen pelikonsoleiden luovutusten osalta, jotta vältettäisiin talousarviossa arvonlisätulojen menetykset. </w:t>
      </w:r>
    </w:p>
    <w:p>
      <w:pPr>
        <w:rPr>
          <w:noProof/>
        </w:rPr>
      </w:pPr>
      <w:r>
        <w:rPr>
          <w:noProof/>
        </w:rPr>
        <w:t xml:space="preserve">Pelikonsoleiden luovutusten katsotaan olevan alttiita petoksille, ja ne sisältyvät arvonlisäverodirektiivin 199 a artiklan 1 kohdan h alakohtaan taulutietokoneiden ja kannettavien tietokoneiden rinnalla. Jos soveltamisen vähimmäiskestoa koskeva edellytys täyttyisi, Latvia olisi voinut turvautua mainittuun artiklaan käännetyn verovelvollisuuden mekanismin soveltamiseksi. </w:t>
      </w:r>
    </w:p>
    <w:p>
      <w:pPr>
        <w:rPr>
          <w:noProof/>
        </w:rPr>
      </w:pPr>
      <w:r>
        <w:rPr>
          <w:noProof/>
        </w:rPr>
        <w:t xml:space="preserve">Tämän vuoksi ehdotetaan, että poikkeus hyväksytään alv-direktiivin 199 a artiklan voimassaoloajan loppuun asti. Poikkeuksen ehdotetaan näin olevan voimassa 31. päivään joulukuuta 2018 eli alv-direktiivin 199 a artiklan voimassaolon päättymispäivään asti. </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Alv-direktiivin 199 a artiklan 1 kohdan h alakohdan mukaan käännetyn verovelvollisuuden mekanismia voidaan soveltaa pelikonsoleiden luovutuksiin. Jotkin jäsenvaltiot soveltavat käännettyä verovelvollisuutta tämän säännöksen perusteella</w:t>
      </w:r>
      <w:r>
        <w:rPr>
          <w:rStyle w:val="FootnoteReference"/>
          <w:noProof/>
        </w:rPr>
        <w:footnoteReference w:id="1"/>
      </w:r>
      <w:r>
        <w:rPr>
          <w:noProof/>
        </w:rPr>
        <w:t xml:space="preserve">. Jos kahden vuoden vähimmäisaika täyttyisi, Latvia voisi soveltaa käännetyn verovelvollisuuden mekanismia pelikonsoleiden luovutuksiin pyytämättä poikkeusta alv-direktiivin 395 artiklan perusteella.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Ehdotettu toimenpide on näin ollen johdonmukainen nykyisen alv-direktiivin säännösten kanssa. </w:t>
      </w:r>
    </w:p>
    <w:p>
      <w:pPr>
        <w:pStyle w:val="ManualHeading1"/>
        <w:rPr>
          <w:noProof/>
        </w:rPr>
      </w:pPr>
      <w:r>
        <w:rPr>
          <w:noProof/>
        </w:rPr>
        <w:lastRenderedPageBreak/>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rPr>
          <w:noProof/>
        </w:rPr>
      </w:pPr>
      <w:r>
        <w:rPr>
          <w:noProof/>
        </w:rPr>
        <w:t>Alv-direktiivin 395 artikla.</w:t>
      </w:r>
    </w:p>
    <w:p>
      <w:pPr>
        <w:pStyle w:val="ManualHeading2"/>
        <w:rPr>
          <w:rFonts w:eastAsia="Arial Unicode MS"/>
          <w:noProof/>
          <w:u w:color="000000"/>
          <w:bdr w:val="nil"/>
        </w:rPr>
      </w:pPr>
      <w:r>
        <w:rPr>
          <w:noProof/>
        </w:rPr>
        <w:t>•</w:t>
      </w:r>
      <w:r>
        <w:rPr>
          <w:noProof/>
        </w:rPr>
        <w:tab/>
        <w:t xml:space="preserve">Toissijaisuusperiaate (jaetun toimivallan osalta) </w:t>
      </w:r>
    </w:p>
    <w:p>
      <w:pPr>
        <w:rPr>
          <w:noProof/>
        </w:rPr>
      </w:pPr>
      <w:r>
        <w:rPr>
          <w:noProof/>
        </w:rPr>
        <w:t>Kun otetaan huomioon ehdotuksen perustana oleva alv-direktiivin säännös, toissijaisuusperiaatetta ei sovelleta.</w:t>
      </w:r>
    </w:p>
    <w:p>
      <w:pPr>
        <w:pStyle w:val="ManualHeading2"/>
        <w:rPr>
          <w:rFonts w:eastAsia="Arial Unicode MS"/>
          <w:noProof/>
          <w:u w:color="000000"/>
          <w:bdr w:val="nil"/>
        </w:rPr>
      </w:pPr>
      <w:r>
        <w:rPr>
          <w:noProof/>
        </w:rPr>
        <w:t>•</w:t>
      </w:r>
      <w:r>
        <w:rPr>
          <w:noProof/>
        </w:rPr>
        <w:tab/>
        <w:t>Suhteellisuusperiaate</w:t>
      </w:r>
    </w:p>
    <w:p>
      <w:pPr>
        <w:rPr>
          <w:noProof/>
        </w:rPr>
      </w:pPr>
      <w:r>
        <w:rPr>
          <w:noProof/>
        </w:rPr>
        <w:t>Päätös koskee jäsenvaltiolle sen omasta pyynnöstä annettavaa lupaa, eikä siihen liity mitään velvollisuutta.</w:t>
      </w:r>
    </w:p>
    <w:p>
      <w:pPr>
        <w:rPr>
          <w:noProof/>
        </w:rPr>
      </w:pPr>
      <w:r>
        <w:rPr>
          <w:noProof/>
        </w:rPr>
        <w:t xml:space="preserve">Koska poikkeuksen soveltamisala on rajallinen, erityistoimenpide on oikeassa suhteessa tavoitteeseen nähden eli siihen, että tarkoituksena on estää tietyntyyppisiä veropetoksia taikka veron kiertämistä tietyllä alalla. </w:t>
      </w:r>
    </w:p>
    <w:p>
      <w:pPr>
        <w:pStyle w:val="ManualHeading2"/>
        <w:rPr>
          <w:rFonts w:eastAsia="Arial Unicode MS"/>
          <w:noProof/>
          <w:u w:color="000000"/>
          <w:bdr w:val="nil"/>
        </w:rPr>
      </w:pPr>
      <w:r>
        <w:rPr>
          <w:noProof/>
        </w:rPr>
        <w:t>•</w:t>
      </w:r>
      <w:r>
        <w:rPr>
          <w:noProof/>
        </w:rPr>
        <w:tab/>
        <w:t>Toimintatavan valinta</w:t>
      </w:r>
    </w:p>
    <w:p>
      <w:pPr>
        <w:rPr>
          <w:noProof/>
        </w:rPr>
      </w:pPr>
      <w:r>
        <w:rPr>
          <w:noProof/>
        </w:rPr>
        <w:t>Alv-direktiivin 395 artiklan mukaan yhteisistä arvonlisäverosäännöistä voidaan poiketa vain, jos neuvosto antaa siihen luvan komission ehdotuksesta tekemällään yksimielisellä päätöksellä. Neuvoston päätös on parhaiten soveltuva toimintatapa myös sen vuoksi, että se voidaan osoittaa yksittäisille jäsenvaltioille.</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Tämä ehdotus perustuu Latvian esittämään hakemukseen ja koskee ainoastaan kyseistä jäsenvaltiota.</w:t>
      </w:r>
    </w:p>
    <w:p>
      <w:pPr>
        <w:pStyle w:val="ManualHeading2"/>
        <w:rPr>
          <w:rFonts w:eastAsia="Arial Unicode MS"/>
          <w:noProof/>
          <w:u w:color="000000"/>
          <w:bdr w:val="nil"/>
        </w:rPr>
      </w:pPr>
      <w:r>
        <w:rPr>
          <w:noProof/>
        </w:rPr>
        <w:t>•</w:t>
      </w:r>
      <w:r>
        <w:rPr>
          <w:noProof/>
        </w:rPr>
        <w:tab/>
        <w:t>Asiantuntijatiedon keruu ja käyttö</w:t>
      </w:r>
    </w:p>
    <w:p>
      <w:pPr>
        <w:rPr>
          <w:noProof/>
        </w:rPr>
      </w:pPr>
      <w:r>
        <w:rPr>
          <w:noProof/>
        </w:rPr>
        <w:t>Ulkopuolisten asiantuntijoiden käyttö ei ollut tarpeen.</w:t>
      </w:r>
    </w:p>
    <w:p>
      <w:pPr>
        <w:pStyle w:val="ManualHeading2"/>
        <w:rPr>
          <w:rFonts w:eastAsia="Arial Unicode MS"/>
          <w:noProof/>
          <w:u w:color="000000"/>
          <w:bdr w:val="nil"/>
        </w:rPr>
      </w:pPr>
      <w:r>
        <w:rPr>
          <w:noProof/>
        </w:rPr>
        <w:t>•</w:t>
      </w:r>
      <w:r>
        <w:rPr>
          <w:noProof/>
        </w:rPr>
        <w:tab/>
        <w:t>Vaikutustenarviointi</w:t>
      </w:r>
    </w:p>
    <w:p>
      <w:pPr>
        <w:rPr>
          <w:noProof/>
        </w:rPr>
      </w:pPr>
      <w:r>
        <w:rPr>
          <w:noProof/>
        </w:rPr>
        <w:t xml:space="preserve">Ehdotetun täytäntöönpanoasetuksen tarkoituksena on estää tietyntyyppisiä veropetoksia tai veron kiertämistä pelikonsoleiden luovutusten alalla. Latvia voinee käännetyn verovelvollisuuden mekanismin avulla estää alv-petosten leviämisen pelikonsoleiden luovutusten alalla. Sen vuoksi poikkeustoimenpiteellä on myönteinen vaikutus. </w:t>
      </w:r>
    </w:p>
    <w:p>
      <w:pPr>
        <w:rPr>
          <w:noProof/>
        </w:rPr>
      </w:pPr>
      <w:r>
        <w:rPr>
          <w:noProof/>
        </w:rPr>
        <w:t>Koska poikkeuksen soveltamisala on suppea ja sen voimassaoloaika rajallinen, vaikutukset ovat joka tapauksessa rajalliset.</w:t>
      </w:r>
    </w:p>
    <w:p>
      <w:pPr>
        <w:pStyle w:val="ManualHeading1"/>
        <w:rPr>
          <w:noProof/>
        </w:rPr>
      </w:pPr>
      <w:r>
        <w:rPr>
          <w:noProof/>
        </w:rPr>
        <w:t>4.</w:t>
      </w:r>
      <w:r>
        <w:rPr>
          <w:noProof/>
        </w:rPr>
        <w:tab/>
        <w:t>TALOUSARVIOVAIKUTUKSET</w:t>
      </w:r>
    </w:p>
    <w:p>
      <w:pPr>
        <w:rPr>
          <w:noProof/>
        </w:rPr>
      </w:pPr>
      <w:r>
        <w:rPr>
          <w:noProof/>
        </w:rPr>
        <w:t xml:space="preserve">Ehdotuksella ei ole kielteisiä vaikutuksia EU:n talousarvioon. </w:t>
      </w:r>
    </w:p>
    <w:p>
      <w:pPr>
        <w:pStyle w:val="ManualHeading1"/>
        <w:rPr>
          <w:noProof/>
        </w:rPr>
      </w:pPr>
      <w:r>
        <w:rPr>
          <w:noProof/>
        </w:rPr>
        <w:t>5.</w:t>
      </w:r>
      <w:r>
        <w:rPr>
          <w:noProof/>
        </w:rPr>
        <w:tab/>
        <w:t>LISÄTIEDOT</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r>
        <w:rPr>
          <w:noProof/>
        </w:rPr>
        <w:t>Ehdotus sisältää raukeamislausekkeen, jonka mukaisesti poikkeuksen voimassaolo päättyy 31. joulukuuta 2018.</w:t>
      </w:r>
    </w:p>
    <w:p>
      <w:pPr>
        <w:pStyle w:val="Rfrenceinterinstitutionnelle"/>
        <w:rPr>
          <w:noProof/>
        </w:rPr>
      </w:pPr>
      <w:r>
        <w:rPr>
          <w:noProof/>
        </w:rPr>
        <w:lastRenderedPageBreak/>
        <w:t>2018/0024 (NLE)</w:t>
      </w:r>
    </w:p>
    <w:p>
      <w:pPr>
        <w:pStyle w:val="Statut"/>
        <w:rPr>
          <w:noProof/>
        </w:rPr>
      </w:pPr>
      <w:r>
        <w:rPr>
          <w:noProof/>
        </w:rPr>
        <w:t>Ehdotus</w:t>
      </w:r>
    </w:p>
    <w:p>
      <w:pPr>
        <w:pStyle w:val="Typedudocument"/>
        <w:rPr>
          <w:noProof/>
        </w:rPr>
      </w:pPr>
      <w:r>
        <w:rPr>
          <w:noProof/>
        </w:rPr>
        <w:t>NEUVOSTON TÄYTÄNTÖÖNPANOPÄÄTÖS</w:t>
      </w:r>
    </w:p>
    <w:p>
      <w:pPr>
        <w:pStyle w:val="Titreobjet"/>
        <w:rPr>
          <w:noProof/>
        </w:rPr>
      </w:pPr>
      <w:r>
        <w:rPr>
          <w:noProof/>
        </w:rPr>
        <w:t>luvan antamisesta Latvian tasavallalle ottaa käyttöön yhteisestä arvonlisäverojärjestelmästä annetun neuvoston direktiivin 2006/112/EY 193 artiklasta poikkeava erityistoimenpide</w:t>
      </w:r>
    </w:p>
    <w:p>
      <w:pPr>
        <w:pStyle w:val="Institutionquiagit"/>
        <w:rPr>
          <w:noProof/>
        </w:rPr>
      </w:pPr>
      <w:r>
        <w:rPr>
          <w:noProof/>
        </w:rPr>
        <w:t>EUROOPAN UNIONIN NEUVOSTO, joka</w:t>
      </w:r>
    </w:p>
    <w:p>
      <w:pPr>
        <w:rPr>
          <w:noProof/>
        </w:rPr>
      </w:pPr>
      <w:r>
        <w:rPr>
          <w:noProof/>
        </w:rPr>
        <w:t xml:space="preserve">ottaa huomioon Euroopan unionin toiminnasta tehdyn sopimuksen, </w:t>
      </w:r>
    </w:p>
    <w:p>
      <w:pPr>
        <w:spacing w:before="0" w:after="0"/>
        <w:jc w:val="left"/>
        <w:rPr>
          <w:noProof/>
          <w:szCs w:val="24"/>
        </w:rPr>
      </w:pPr>
      <w:r>
        <w:rPr>
          <w:noProof/>
        </w:rPr>
        <w:t>ottaa huomioon yhteisestä arvonlisäverojärjestelmästä 28 päivänä marraskuuta 2006 annetun neuvoston direktiivin 2006/112/EY</w:t>
      </w:r>
      <w:r>
        <w:rPr>
          <w:rStyle w:val="FootnoteReference"/>
          <w:noProof/>
        </w:rPr>
        <w:footnoteReference w:id="2"/>
      </w:r>
      <w:r>
        <w:rPr>
          <w:noProof/>
        </w:rPr>
        <w:t xml:space="preserve"> </w:t>
      </w:r>
    </w:p>
    <w:p>
      <w:pPr>
        <w:rPr>
          <w:noProof/>
        </w:rPr>
      </w:pPr>
      <w:r>
        <w:rPr>
          <w:noProof/>
        </w:rPr>
        <w:t>ja erityisesti sen 395 artiklan 1 kohdan,</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Direktiivin 2006/112/EY 193 artiklassa säädetään, että verovelvollinen, joka suorittaa verollisen tavaroiden luovutuksen tai verollisen palvelun, on pääsääntöisesti velvollinen maksamaan arvonlisäveron veroviranomaisille.</w:t>
      </w:r>
    </w:p>
    <w:p>
      <w:pPr>
        <w:pStyle w:val="ManualConsidrant"/>
        <w:rPr>
          <w:noProof/>
        </w:rPr>
      </w:pPr>
      <w:r>
        <w:t>(2)</w:t>
      </w:r>
      <w:r>
        <w:tab/>
      </w:r>
      <w:r>
        <w:rPr>
          <w:noProof/>
        </w:rPr>
        <w:t>Direktiivin 2006/112/EY 199 a artiklan 1 kohdan h alakohdan nojalla jäsenvaltiot voivat säätää, että veronmaksuvelvollinen pelikonsoleiden luovutuksista on verovelvollinen, joka vastaanottaa luovutuksen, jäljempänä ’käännetyn verovelvollisuuden mekanismi’. Latvia ei käytä tätä mahdollisuutta, vaikka se soveltaa käännettyä verovelvollisuutta taulutietokoneisiin ja kannettaviin tietokoneisiin kyseisen direktiivin 199 a artiklan 1 kohdan h alakohdan perusteella.</w:t>
      </w:r>
    </w:p>
    <w:p>
      <w:pPr>
        <w:pStyle w:val="ManualConsidrant"/>
        <w:rPr>
          <w:noProof/>
        </w:rPr>
      </w:pPr>
      <w:r>
        <w:t>(3)</w:t>
      </w:r>
      <w:r>
        <w:tab/>
      </w:r>
      <w:r>
        <w:rPr>
          <w:noProof/>
        </w:rPr>
        <w:t xml:space="preserve">Koska petokset ovat viime aikoina Latviassa lisääntyneet pelikonsoleiden alalla, kyseinen jäsenvaltio haluaisi ottaa käyttöön käännetyn verovelvollisuuden mekanismin pelikonsoleiden luovutuksissa kotimarkkinoilla. </w:t>
      </w:r>
    </w:p>
    <w:p>
      <w:pPr>
        <w:pStyle w:val="ManualConsidrant"/>
        <w:rPr>
          <w:noProof/>
        </w:rPr>
      </w:pPr>
      <w:r>
        <w:t>(4)</w:t>
      </w:r>
      <w:r>
        <w:tab/>
      </w:r>
      <w:r>
        <w:rPr>
          <w:noProof/>
        </w:rPr>
        <w:t xml:space="preserve">Direktiivin 2006/112/EY 199 a artiklan 1 kohdan mukaan käännetyn verovelvollisuuden mekanismia voidaan soveltaa 31 päivään joulukuuta 2018 saakka ja vähintään kahden vuoden ajan. Koska kahden vuoden määräaikaa koskeva edellytys ei täyty, Latvia ei voi soveltaa käännetyn verovelvollisuuden mekanismia direktiivin 2006/112/EY 199 a artiklan 1 kohdan h alakohdan perusteella. </w:t>
      </w:r>
    </w:p>
    <w:p>
      <w:pPr>
        <w:pStyle w:val="ManualConsidrant"/>
        <w:rPr>
          <w:noProof/>
        </w:rPr>
      </w:pPr>
      <w:r>
        <w:t>(5)</w:t>
      </w:r>
      <w:r>
        <w:tab/>
      </w:r>
      <w:r>
        <w:rPr>
          <w:noProof/>
        </w:rPr>
        <w:t xml:space="preserve">Latvia on pyytänyt kirjeessä, jonka komissio kirjasi saapuneeksi 15 päivänä marraskuuta 2017, alv-direktiivin 193 artiklaa koskevaa poikkeusta, jotta se voisi määrätä vastaanottajan alv-velvolliseksi pelikonsoleiden luovutusten osalta. </w:t>
      </w:r>
    </w:p>
    <w:p>
      <w:pPr>
        <w:pStyle w:val="ManualConsidrant"/>
        <w:rPr>
          <w:noProof/>
        </w:rPr>
      </w:pPr>
      <w:r>
        <w:t>(6)</w:t>
      </w:r>
      <w:r>
        <w:tab/>
      </w:r>
      <w:r>
        <w:rPr>
          <w:noProof/>
        </w:rPr>
        <w:t xml:space="preserve">Komissio antoi direktiivin 2006/112/EY 395 artiklan 2 kohdan mukaisesti Latvian pyynnön tiedoksi muille jäsenvaltioille 23 päivänä marraskuuta 2017 päivätyllä kirjeellä. Komissio ilmoitti 24 päivänä marraskuuta 2017 päivätyllä kirjeellä Latvialle saaneensa kaikki hakemuksen arviointiin tarvitsemansa tiedot. </w:t>
      </w:r>
    </w:p>
    <w:p>
      <w:pPr>
        <w:pStyle w:val="ManualConsidrant"/>
        <w:rPr>
          <w:noProof/>
        </w:rPr>
      </w:pPr>
      <w:r>
        <w:lastRenderedPageBreak/>
        <w:t>(7)</w:t>
      </w:r>
      <w:r>
        <w:tab/>
      </w:r>
      <w:r>
        <w:rPr>
          <w:noProof/>
        </w:rPr>
        <w:t xml:space="preserve">Latvian toimittamien tietojen mukaan pelikonsoleiden luovutuksiin liittyvien alv-petosten määrä kasvoi sen jälkeen, kun käännetyn verovelvollisuuden mekanismi oli otettu käyttöön matkapuhelinten, taulutietokoneiden, kannettavien tietokoneiden ja integroitujen piirien luovutusten osalta. Pelikonsolit ovat erityisen alttiita petoksille, koska ne ovat suhteellisen pienikokoisia, niiden arvo on suhteellisen suuri ja niiden markkinat internetissä ovat hyvin kehittyneet. Latvian toimittamien tietojen mukaan Latvia on ottanut käyttöön useita perinteisiä toimenpiteitä alv-petosten torjumiseksi. Latvia katsoo kuitenkin, että käännetyn verovelvollisuuden mekanismin käyttöönotto on tarpeen pelikonsoleiden luovutusten osalta, jotta vältettäisiin talousarviossa arvonlisätulojen menetykset. </w:t>
      </w:r>
    </w:p>
    <w:p>
      <w:pPr>
        <w:pStyle w:val="ManualConsidrant"/>
        <w:rPr>
          <w:noProof/>
        </w:rPr>
      </w:pPr>
      <w:r>
        <w:t>(8)</w:t>
      </w:r>
      <w:r>
        <w:tab/>
      </w:r>
      <w:r>
        <w:rPr>
          <w:noProof/>
        </w:rPr>
        <w:t xml:space="preserve">Latvialle olisi sen vuoksi annettava lupa soveltaa käännetyn verovelvollisuuden mekanismia pelikonsoleiden luovutuksiin rajoitetun ajan. </w:t>
      </w:r>
    </w:p>
    <w:p>
      <w:pPr>
        <w:pStyle w:val="ManualConsidrant"/>
        <w:rPr>
          <w:noProof/>
        </w:rPr>
      </w:pPr>
      <w:r>
        <w:t>(9)</w:t>
      </w:r>
      <w:r>
        <w:tab/>
      </w:r>
      <w:r>
        <w:rPr>
          <w:noProof/>
        </w:rPr>
        <w:t xml:space="preserve">Poikkeuksella ei ole kielteistä vaikutusta arvonlisäverosta kertyviin unionin omiin varoihin, </w:t>
      </w: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 xml:space="preserve">Poiketen siitä, mitä direktiivin 2006/112/EY 193 artiklassa säädetään, Latvialle annetaan lupa nimetä tavaroiden luovutuksen vastaanottaja velvolliseksi maksamaan arvonlisävero, kun kyse on pelikonsoleiden luovutuksista. </w:t>
      </w:r>
    </w:p>
    <w:p>
      <w:pPr>
        <w:pStyle w:val="Titrearticle"/>
        <w:rPr>
          <w:noProof/>
        </w:rPr>
      </w:pPr>
      <w:r>
        <w:rPr>
          <w:noProof/>
        </w:rPr>
        <w:t>2 artikla</w:t>
      </w:r>
    </w:p>
    <w:p>
      <w:pPr>
        <w:rPr>
          <w:noProof/>
        </w:rPr>
      </w:pPr>
      <w:r>
        <w:rPr>
          <w:noProof/>
        </w:rPr>
        <w:t>Tämä päätös tulee voimaan päivänä, jona se annetaan tiedoksi.</w:t>
      </w:r>
    </w:p>
    <w:p>
      <w:pPr>
        <w:rPr>
          <w:noProof/>
        </w:rPr>
      </w:pPr>
      <w:r>
        <w:rPr>
          <w:noProof/>
        </w:rPr>
        <w:t>Päätöksen voimassaolo päättyy 31 päivänä joulukuuta 2018.</w:t>
      </w:r>
    </w:p>
    <w:p>
      <w:pPr>
        <w:pStyle w:val="Titrearticle"/>
        <w:rPr>
          <w:noProof/>
          <w:color w:val="000000" w:themeColor="text1"/>
        </w:rPr>
      </w:pPr>
      <w:r>
        <w:rPr>
          <w:noProof/>
        </w:rPr>
        <w:t>3 artikla</w:t>
      </w:r>
    </w:p>
    <w:p>
      <w:pPr>
        <w:keepNext/>
        <w:keepLines/>
        <w:rPr>
          <w:noProof/>
        </w:rPr>
      </w:pPr>
      <w:r>
        <w:rPr>
          <w:noProof/>
          <w:color w:val="000000"/>
        </w:rPr>
        <w:t>Tämä päätös on osoitettu Latvian tasavallalle.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 xml:space="preserve">Ks. luettelo arvonlisäverokomitean ilmoituksista: </w:t>
      </w:r>
      <w:hyperlink r:id="rId1">
        <w:r>
          <w:rPr>
            <w:rStyle w:val="Hyperlink"/>
          </w:rPr>
          <w:t>http://ec.europa.eu/taxation_customs/sites/taxation/files/resources/documents/taxation/vat/key_documents/vat_committee/notifications.pdf</w:t>
        </w:r>
      </w:hyperlink>
    </w:p>
  </w:footnote>
  <w:footnote w:id="2">
    <w:p>
      <w:pPr>
        <w:pStyle w:val="FootnoteText"/>
      </w:pPr>
      <w:r>
        <w:rPr>
          <w:rStyle w:val="FootnoteReference"/>
        </w:rPr>
        <w:footnoteRef/>
      </w:r>
      <w:r>
        <w:tab/>
        <w:t>EUVL L 347,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066C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ACD7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12C3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483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2F250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A817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044CE0"/>
    <w:lvl w:ilvl="0">
      <w:start w:val="1"/>
      <w:numFmt w:val="decimal"/>
      <w:pStyle w:val="ListNumber"/>
      <w:lvlText w:val="%1."/>
      <w:lvlJc w:val="left"/>
      <w:pPr>
        <w:tabs>
          <w:tab w:val="num" w:pos="360"/>
        </w:tabs>
        <w:ind w:left="360" w:hanging="360"/>
      </w:pPr>
    </w:lvl>
  </w:abstractNum>
  <w:abstractNum w:abstractNumId="7">
    <w:nsid w:val="FFFFFF89"/>
    <w:multiLevelType w:val="singleLevel"/>
    <w:tmpl w:val="74AED8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08 17:20: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7F2B2EB-3745-45A1-9457-2A761A153D3C"/>
    <w:docVar w:name="LW_COVERPAGE_TYPE" w:val="1"/>
    <w:docVar w:name="LW_CROSSREFERENCE" w:val="&lt;UNUSED&gt;"/>
    <w:docVar w:name="LW_DocType" w:val="COM"/>
    <w:docVar w:name="LW_EMISSION" w:val="9.2.2018"/>
    <w:docVar w:name="LW_EMISSION_ISODATE" w:val="2018-02-09"/>
    <w:docVar w:name="LW_EMISSION_LOCATION" w:val="BRX"/>
    <w:docVar w:name="LW_EMISSION_PREFIX" w:val="Bryssel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24"/>
    <w:docVar w:name="LW_REF.II.NEW.CP_YEAR" w:val="2018"/>
    <w:docVar w:name="LW_REF.INST.NEW" w:val="COM"/>
    <w:docVar w:name="LW_REF.INST.NEW_ADOPTED" w:val="final"/>
    <w:docVar w:name="LW_REF.INST.NEW_TEXT" w:val="(2018)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luvan antamisesta Latvian tasavallalle ottaa käyttöön yhteisestä arvonlisäverojärjestelmästä annetun neuvoston direktiivin 2006/112/EY 193 artiklasta poikkeava erityistoimenpide"/>
    <w:docVar w:name="LW_TYPE.DOC.CP" w:val="NEUVOSTON TÄYTÄNTÖÖNPANO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axation_customs/sites/taxation/files/resources/documents/taxation/vat/key_documents/vat_committee/notific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AE1D-7412-487F-902F-DF31FCB4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1332</Words>
  <Characters>11315</Characters>
  <Application>Microsoft Office Word</Application>
  <DocSecurity>0</DocSecurity>
  <Lines>188</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2018-01-11T10:44:00Z</cp:lastPrinted>
  <dcterms:created xsi:type="dcterms:W3CDTF">2018-01-31T14:31:00Z</dcterms:created>
  <dcterms:modified xsi:type="dcterms:W3CDTF">2018-02-08T16:20:00Z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5.8.4, Build 20150407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