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6CBFE52-D18F-42E7-8109-65D299422F8A" style="width:450.45pt;height:366.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ind w:left="1440" w:firstLine="720"/>
        <w:jc w:val="both"/>
        <w:rPr>
          <w:noProof/>
        </w:rPr>
      </w:pPr>
      <w:bookmarkStart w:id="0" w:name="_GoBack"/>
      <w:bookmarkEnd w:id="0"/>
      <w:r>
        <w:rPr>
          <w:noProof/>
        </w:rPr>
        <w:lastRenderedPageBreak/>
        <w:t>UZASADNIENIE</w:t>
      </w:r>
    </w:p>
    <w:p>
      <w:pPr>
        <w:pBdr>
          <w:top w:val="nil"/>
          <w:left w:val="nil"/>
          <w:bottom w:val="nil"/>
          <w:right w:val="nil"/>
          <w:between w:val="nil"/>
          <w:bar w:val="nil"/>
        </w:pBdr>
        <w:spacing w:before="0" w:after="240"/>
        <w:rPr>
          <w:rFonts w:eastAsia="Arial Unicode MS"/>
          <w:noProof/>
        </w:rPr>
      </w:pPr>
      <w:r>
        <w:rPr>
          <w:noProof/>
        </w:rPr>
        <w:t>Zgodnie z art. 395 ust. 1 dyrektywy 2006/112/WE z dnia 28 listopada 2006 r. w sprawie wspólnego systemu podatku od wartości dodanej (zwanej dalej „dyrektywą VAT”) Rada, stanowiąc jednomyślnie na wniosek Komisji, może upoważnić każde państwo członkowskie do wprowadzenia szczególnych środków stanowiących odstępstwo od przepisów wspomnianej dyrektywy w celu upraszczania poboru VAT lub zapobiegania niektórym formom uchylania się od opodatkowania lub unikania opodatkowania.</w:t>
      </w:r>
    </w:p>
    <w:p>
      <w:pPr>
        <w:pBdr>
          <w:top w:val="nil"/>
          <w:left w:val="nil"/>
          <w:bottom w:val="nil"/>
          <w:right w:val="nil"/>
          <w:between w:val="nil"/>
          <w:bar w:val="nil"/>
        </w:pBdr>
        <w:spacing w:before="0" w:after="240"/>
        <w:rPr>
          <w:noProof/>
          <w:color w:val="008000"/>
        </w:rPr>
      </w:pPr>
      <w:r>
        <w:rPr>
          <w:noProof/>
        </w:rPr>
        <w:t>Pismem, które wpłynęło do Komisji w dniu 15 listopada 2017 r., Łotwa wystąpiła z wnioskiem o przyznanie odstępstwa od art. 193 dyrektywy VAT celem zastosowania mechanizmu odwrotnego obciążenia w odniesieniu do dostaw konsoli do gier. Zgodnie z art. 395 ust. 2 dyrektywy VAT pismem z dnia 23 listopada 2017 r. Komisja poinformowała pozostałe państwa członkowskie o wniosku złożonym przez Łotwę. Pismem z dnia 24 listopada Komisja zawiadomiła Łotwę, że posiada wszystkie informacje niezbędne do rozpatrzenia wniosku.</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pBdr>
          <w:top w:val="nil"/>
          <w:left w:val="nil"/>
          <w:bottom w:val="nil"/>
          <w:right w:val="nil"/>
          <w:between w:val="nil"/>
          <w:bar w:val="nil"/>
        </w:pBdr>
        <w:spacing w:before="0" w:after="240"/>
        <w:rPr>
          <w:rFonts w:eastAsia="Arial Unicode MS"/>
          <w:noProof/>
        </w:rPr>
      </w:pPr>
      <w:r>
        <w:rPr>
          <w:noProof/>
        </w:rPr>
        <w:t>Zgodnie z zasadą ogólną określoną w art. 193 dyrektywy VAT podatnik dokonujący dostawy towarów lub świadczenia usług jest zwykle obowiązany do zapłaty podatku od wartości dodanej (VAT).</w:t>
      </w:r>
    </w:p>
    <w:p>
      <w:pPr>
        <w:rPr>
          <w:noProof/>
        </w:rPr>
      </w:pPr>
      <w:r>
        <w:rPr>
          <w:noProof/>
        </w:rPr>
        <w:t xml:space="preserve">Zgodnie z art. 199a ust. 1 dyrektywy VAT państwa członkowskie mogą postanowić, że osobą zobowiązaną do zapłaty podatku VAT od dostaw wymienionych w tym artykule jest podatnik, na rzecz którego dokonywana jest dostawa lub świadczona jest usługa (mechanizm odwrotnego obciążenia). Na mocy procedury odwrotnego obciążenia podatnik będący odbiorcą dostaw staje się zobowiązany do zapłaty VAT. Podatnik taki, o ile przysługuje mu pełne prawo do odliczenia podatku VAT, składa jednocześnie deklarację podatkową i odlicza podatek VAT odpowiadający dostawie. Powoduje to, że podatek VAT nie wpływa faktycznie do Skarbu Państwa. Dostawy konsoli do gier są ujęte w art. 199a ust. 1 lit. h). </w:t>
      </w:r>
    </w:p>
    <w:p>
      <w:pPr>
        <w:pBdr>
          <w:top w:val="nil"/>
          <w:left w:val="nil"/>
          <w:bottom w:val="nil"/>
          <w:right w:val="nil"/>
          <w:between w:val="nil"/>
          <w:bar w:val="nil"/>
        </w:pBdr>
        <w:spacing w:before="0" w:after="240"/>
        <w:rPr>
          <w:rFonts w:eastAsia="Arial Unicode MS"/>
          <w:noProof/>
        </w:rPr>
      </w:pPr>
      <w:r>
        <w:rPr>
          <w:noProof/>
        </w:rPr>
        <w:t xml:space="preserve">Łotwa nie korzysta z możliwości określonej w art. 199a ust. 1 lit. h) dyrektywy VAT i nie stosuje mechanizmu odwrotnego obciążenia w odniesieniu do dostaw konsoli do gier. Jednakże ze względu na odnotowany niedawno wzrost liczby oszustw w sektorze konsoli do gier na Łotwie, państwo to zamierza wprowadzić mechanizm odwrotnego obciążenia w odniesieniu do krajowych dostaw konsoli do gier. </w:t>
      </w:r>
    </w:p>
    <w:p>
      <w:pPr>
        <w:rPr>
          <w:noProof/>
        </w:rPr>
      </w:pPr>
      <w:r>
        <w:rPr>
          <w:noProof/>
        </w:rPr>
        <w:t xml:space="preserve">Zgodnie z art. 199a ust. 1 dyrektywy VAT mechanizm odwrotnego obciążenia może być stosowany do dnia 31 grudnia 2018 r. i przez okres co najmniej dwóch lat. Jako że warunek dwuletniego okresu obowiązywania nie jest spełniony, Łotwa nie może zastosować mechanizmu odwrotnego obciążenia w oparciu o ten artykuł. </w:t>
      </w:r>
    </w:p>
    <w:p>
      <w:pPr>
        <w:rPr>
          <w:noProof/>
        </w:rPr>
      </w:pPr>
      <w:r>
        <w:rPr>
          <w:noProof/>
        </w:rPr>
        <w:t xml:space="preserve">W związku z tym Łotwa wnosi o odstępstwo od art. 193 dyrektywy VAT celem uzyskania upoważnienia do stosowania mechanizmu odwrotnego obciążenia w odniesieniu do dostaw konsoli do gier na podstawie art. 395 dyrektywy VAT. </w:t>
      </w:r>
    </w:p>
    <w:p>
      <w:pPr>
        <w:rPr>
          <w:noProof/>
        </w:rPr>
      </w:pPr>
      <w:r>
        <w:rPr>
          <w:noProof/>
        </w:rPr>
        <w:t>Celem tego odstępstwa jest zapobieganie oszustwom związanym z VAT w sektorze konsoli do gier. Na podstawie możliwości określonych w art. 199a ust. 1 lit. c), d) i h), od dnia 1 kwietnia 2016 r. Łotwa stosuje mechanizm odwrotnego obciążenia VAT w odniesieniu do dostaw telefonów komórkowych, tabletów, laptopów i układów scalonych. Ustalono, że po wprowadzeniu mechanizmu odwrotnego obciążenia w odniesieniu do tych ostatnich produktów, wzrosła liczba oszustw związanych z VAT w odniesieniu do dostaw konsoli do gier. Produkty te są podatne na oszustwa, ponieważ mają stosunkowo niewielkie rozmiary, stosunkowo wysoką wartość i dobrze rozwinięty jest handel nimi w internecie.</w:t>
      </w:r>
    </w:p>
    <w:p>
      <w:pPr>
        <w:spacing w:after="240"/>
        <w:rPr>
          <w:noProof/>
        </w:rPr>
      </w:pPr>
      <w:r>
        <w:rPr>
          <w:noProof/>
        </w:rPr>
        <w:t xml:space="preserve">Łotwa twierdzi, że przeprowadzono kontrole w sektorze dostaw konsoli do gier. W 2017 r. stwierdzono, że w sektorze dostaw konsoli do gier działa 14 firm przykrywek, co stanowi 6,4 % wszystkich przedsiębiorstw w tym sektorze. W 2016 r. spośród 219 zarejestrowanych podatników VAT działających w sektorze dostaw konsoli do gier ośmiu zadeklarowało VAT jako podatek naliczony w odniesieniu do transakcji z innym podatnikami zaklasyfikowanymi jako firmy przykrywki (3,7 % całkowitej liczby osób zarejestrowanych do celów VAT). W celu zapobieżenia popełnianiu oszustw przez podmioty gospodarcze łotewski urząd skarbowy (VID) korzysta z możliwości wyłączenia ich ze swojego rejestru osób podlegających VAT. W 2017 r. znacznie wzrosła liczba podatników prowadzących działalność w tym sektorze, którzy zostali wyłączeni z prowadzonego przez VID rejestru podatników VAT. W pierwszych ośmiu miesiącach roku z rejestru wyłączono 16 podatników prowadzących działalność w tym sektorze, co już stanowi 88,9 % łącznej liczby podmiotów wyłączonych w 2016 r. (18 podatników). </w:t>
      </w:r>
    </w:p>
    <w:p>
      <w:pPr>
        <w:rPr>
          <w:noProof/>
        </w:rPr>
      </w:pPr>
      <w:r>
        <w:rPr>
          <w:noProof/>
        </w:rPr>
        <w:t xml:space="preserve">Według informacji przekazanych przez Łotwę państwo to wprowadza obecnie szereg środków w celu ograniczenia i zwalczania oszustw związanych z VAT. Na przykład kasy rejestrujące zostały objęte nowymi wymogami mającymi na celu wyeliminowanie zjawiska usuwania zarejestrowanych transakcji, w deklaracji VAT należy zamieszać szczegółowy wykaz transakcji, szczególną uwagę poświęca się również kwestii poprawy rutynowych kontroli i środków administracyjnych, a ponadto instytucje kredytowe i inne podmioty objęto obowiązkiem informowania VID o podejrzanych transakcjach. Rozważa się również wprowadzenie fakturowania elektronicznego. Jednak mimo wszystkich tych środków Łotwa uważa, że należy wprowadzić mechanizm odwrotnego obciążenia w odniesieniu do dostaw konsoli do gier w celu zapobiegania stratom w dochodach z VAT do budżetu publicznego. </w:t>
      </w:r>
    </w:p>
    <w:p>
      <w:pPr>
        <w:rPr>
          <w:noProof/>
        </w:rPr>
      </w:pPr>
      <w:r>
        <w:rPr>
          <w:noProof/>
        </w:rPr>
        <w:t xml:space="preserve">Dostawy konsoli do gier uznaje się działalność podatną na oszustwa i wymienia się ją w art. 199a ust. 1 lit. h) dyrektywy VAT obok tabletów i laptopów. Gdyby spełniony był warunek dotyczący minimalnego okresu obowiązywania, Łotwa mogłyby skorzystać z tego artykułu w celu stosowania mechanizmu odwrotnego obciążenia. </w:t>
      </w:r>
    </w:p>
    <w:p>
      <w:pPr>
        <w:rPr>
          <w:noProof/>
        </w:rPr>
      </w:pPr>
      <w:r>
        <w:rPr>
          <w:noProof/>
        </w:rPr>
        <w:t xml:space="preserve">Proponuje się zatem przyznanie odstępstwa na okres ważności art. 199a dyrektywy VAT. W związku z tym proponuje się odstępstwo do dnia 31 grudnia 2018 r., tj. do dnia wygaśnięcia art. 199a dyrektywy VAT. </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noProof/>
        </w:rPr>
      </w:pPr>
      <w:r>
        <w:rPr>
          <w:noProof/>
        </w:rPr>
        <w:t>Na podstawie art. 199a ust. 1 lit. h) dyrektywy VAT mechanizm odwrotnego obciążenia może być stosowany w odniesieniu do dostaw konsoli do gier. Szereg państw członkowskich stosuje mechanizm odwrotnego obciążenia, opierając się na tym przepisie</w:t>
      </w:r>
      <w:r>
        <w:rPr>
          <w:rStyle w:val="FootnoteReference"/>
          <w:noProof/>
        </w:rPr>
        <w:footnoteReference w:id="1"/>
      </w:r>
      <w:r>
        <w:rPr>
          <w:noProof/>
        </w:rPr>
        <w:t xml:space="preserve">. Gdyby spełniony był warunek dotyczący minimalnego dwuletniego okresu obowiązywania, Łotwa mogłaby stosować mechanizm odwrotnego obciążenia w odniesieniu do dostaw konsoli do gier, bez występowania o odstępstwo na podstawie art. 395 dyrektywy VAT. </w:t>
      </w:r>
    </w:p>
    <w:p>
      <w:pPr>
        <w:pBdr>
          <w:top w:val="nil"/>
          <w:left w:val="nil"/>
          <w:bottom w:val="nil"/>
          <w:right w:val="nil"/>
          <w:between w:val="nil"/>
          <w:bar w:val="nil"/>
        </w:pBdr>
        <w:spacing w:before="0" w:after="240"/>
        <w:rPr>
          <w:rFonts w:eastAsia="Arial Unicode MS"/>
          <w:noProof/>
          <w:color w:val="000000" w:themeColor="text1"/>
        </w:rPr>
      </w:pPr>
      <w:r>
        <w:rPr>
          <w:noProof/>
        </w:rPr>
        <w:t xml:space="preserve">Proponowany środek jest zatem zgodny z obowiązującymi przepisami dyrektywy VAT. </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rPr>
          <w:noProof/>
        </w:rPr>
      </w:pPr>
      <w:r>
        <w:rPr>
          <w:noProof/>
        </w:rPr>
        <w:t>Art. 395 dyrektywy VAT.</w:t>
      </w:r>
    </w:p>
    <w:p>
      <w:pPr>
        <w:pStyle w:val="ManualHeading2"/>
        <w:rPr>
          <w:rFonts w:eastAsia="Arial Unicode MS"/>
          <w:noProof/>
          <w:u w:color="000000"/>
          <w:bdr w:val="nil"/>
        </w:rPr>
      </w:pPr>
      <w:r>
        <w:rPr>
          <w:noProof/>
        </w:rPr>
        <w:t>•</w:t>
      </w:r>
      <w:r>
        <w:rPr>
          <w:noProof/>
        </w:rPr>
        <w:tab/>
        <w:t xml:space="preserve">Pomocniczość (w przypadku kompetencji niewyłącznych) </w:t>
      </w:r>
    </w:p>
    <w:p>
      <w:pPr>
        <w:rPr>
          <w:noProof/>
        </w:rPr>
      </w:pPr>
      <w:r>
        <w:rPr>
          <w:noProof/>
        </w:rPr>
        <w:t>Biorąc pod uwagę przepisy dyrektywy VAT, na których opiera się przedmiotowy wniosek, zasada pomocniczości nie ma zastosowania.</w:t>
      </w:r>
    </w:p>
    <w:p>
      <w:pPr>
        <w:pStyle w:val="ManualHeading2"/>
        <w:rPr>
          <w:rFonts w:eastAsia="Arial Unicode MS"/>
          <w:noProof/>
          <w:u w:color="000000"/>
          <w:bdr w:val="nil"/>
        </w:rPr>
      </w:pPr>
      <w:r>
        <w:rPr>
          <w:noProof/>
        </w:rPr>
        <w:t>•</w:t>
      </w:r>
      <w:r>
        <w:rPr>
          <w:noProof/>
        </w:rPr>
        <w:tab/>
        <w:t>Proporcjonalność</w:t>
      </w:r>
    </w:p>
    <w:p>
      <w:pPr>
        <w:rPr>
          <w:noProof/>
        </w:rPr>
      </w:pPr>
      <w:r>
        <w:rPr>
          <w:noProof/>
        </w:rPr>
        <w:t>Decyzja dotyczy upoważnienia udzielanego państwu członkowskiemu w odpowiedzi na jego własny wniosek i nie stanowi żadnego zobowiązania.</w:t>
      </w:r>
    </w:p>
    <w:p>
      <w:pPr>
        <w:rPr>
          <w:noProof/>
        </w:rPr>
      </w:pPr>
      <w:r>
        <w:rPr>
          <w:noProof/>
        </w:rPr>
        <w:t xml:space="preserve">Biorąc pod uwagę ograniczony zakres odstępstwa, przedmiotowy szczególny środek jest proporcjonalny do zamierzonego celu, jakim jest zapobieganie niektórym formom uchylania się od opodatkowania lub unikania opodatkowania w konkretnym sektorze. </w:t>
      </w:r>
    </w:p>
    <w:p>
      <w:pPr>
        <w:pStyle w:val="ManualHeading2"/>
        <w:rPr>
          <w:rFonts w:eastAsia="Arial Unicode MS"/>
          <w:noProof/>
          <w:u w:color="000000"/>
          <w:bdr w:val="nil"/>
        </w:rPr>
      </w:pPr>
      <w:r>
        <w:rPr>
          <w:noProof/>
        </w:rPr>
        <w:t>•</w:t>
      </w:r>
      <w:r>
        <w:rPr>
          <w:noProof/>
        </w:rPr>
        <w:tab/>
        <w:t>Wybór instrumentu</w:t>
      </w:r>
    </w:p>
    <w:p>
      <w:pPr>
        <w:rPr>
          <w:noProof/>
        </w:rPr>
      </w:pPr>
      <w:r>
        <w:rPr>
          <w:noProof/>
        </w:rPr>
        <w:t>Zgodnie z art. 395 dyrektywy VAT odstępstwo od wspólnych przepisów dotyczących podatku VAT jest możliwe jedynie na podstawie upoważnienia Rady, stanowiącej jednomyślnie na wniosek Komisji. Decyzja Rady jest ponadto najbardziej właściwym instrumentem, ponieważ może być skierowana do poszczególnych państw członkowskich.</w:t>
      </w:r>
    </w:p>
    <w:p>
      <w:pPr>
        <w:pStyle w:val="ManualHeading1"/>
        <w:rPr>
          <w:noProof/>
        </w:rPr>
      </w:pPr>
      <w:r>
        <w:rPr>
          <w:noProof/>
        </w:rPr>
        <w:t>3.</w:t>
      </w:r>
      <w:r>
        <w:rPr>
          <w:noProof/>
        </w:rPr>
        <w:tab/>
        <w:t>WYNIKI OCEN EX POST, KONSULTACJI Z ZAINTERESOWANYMI STRONAMI I OCEN SKUTKÓW</w:t>
      </w:r>
    </w:p>
    <w:p>
      <w:pPr>
        <w:pStyle w:val="ManualHeading2"/>
        <w:rPr>
          <w:rFonts w:eastAsia="Arial Unicode MS"/>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rFonts w:eastAsia="Arial Unicode MS"/>
          <w:noProof/>
        </w:rPr>
      </w:pPr>
      <w:r>
        <w:rPr>
          <w:noProof/>
        </w:rPr>
        <w:t>Niniejszy wniosek opiera się na wniosku złożonym przez Łotwę i dotyczy wyłącznie tego państwa członkowskiego.</w:t>
      </w:r>
    </w:p>
    <w:p>
      <w:pPr>
        <w:pStyle w:val="ManualHeading2"/>
        <w:rPr>
          <w:rFonts w:eastAsia="Arial Unicode MS"/>
          <w:noProof/>
          <w:u w:color="000000"/>
          <w:bdr w:val="nil"/>
        </w:rPr>
      </w:pPr>
      <w:r>
        <w:rPr>
          <w:noProof/>
        </w:rPr>
        <w:t>•</w:t>
      </w:r>
      <w:r>
        <w:rPr>
          <w:noProof/>
        </w:rPr>
        <w:tab/>
        <w:t>Gromadzenie i wykorzystanie wiedzy eksperckiej</w:t>
      </w:r>
    </w:p>
    <w:p>
      <w:pPr>
        <w:rPr>
          <w:noProof/>
        </w:rPr>
      </w:pPr>
      <w:r>
        <w:rPr>
          <w:noProof/>
        </w:rPr>
        <w:t>Nie zaistniała potrzeba skorzystania z pomocy ekspertów zewnętrznych.</w:t>
      </w:r>
    </w:p>
    <w:p>
      <w:pPr>
        <w:pStyle w:val="ManualHeading2"/>
        <w:rPr>
          <w:rFonts w:eastAsia="Arial Unicode MS"/>
          <w:noProof/>
          <w:u w:color="000000"/>
          <w:bdr w:val="nil"/>
        </w:rPr>
      </w:pPr>
      <w:r>
        <w:rPr>
          <w:noProof/>
        </w:rPr>
        <w:t>•</w:t>
      </w:r>
      <w:r>
        <w:rPr>
          <w:noProof/>
        </w:rPr>
        <w:tab/>
        <w:t>Ocena skutków</w:t>
      </w:r>
    </w:p>
    <w:p>
      <w:pPr>
        <w:rPr>
          <w:noProof/>
        </w:rPr>
      </w:pPr>
      <w:r>
        <w:rPr>
          <w:noProof/>
        </w:rPr>
        <w:t xml:space="preserve">Wniosek dotyczący decyzji wykonawczej ma na celu zapobieganie niektórym formom uchylania się od opodatkowania lub unikania opodatkowania w sektorze dostaw konsoli do gier. Mechanizm odwrotnego obciążenia powinien pomóc Łotwie w powstrzymaniu dalszego rozprzestrzeniania się oszustw związanych z VAT w zakresie dostaw konsoli do gier. W związku z tym środek stanowiący odstępstwo będzie miał potencjalnie pozytywne skutki. </w:t>
      </w:r>
    </w:p>
    <w:p>
      <w:pPr>
        <w:rPr>
          <w:noProof/>
        </w:rPr>
      </w:pPr>
      <w:r>
        <w:rPr>
          <w:noProof/>
        </w:rPr>
        <w:t>Z uwagi na wąski zakres odstępstwa i ograniczone zastosowanie w czasie jego oddziaływanie będzie w każdym razie ograniczone.</w:t>
      </w:r>
    </w:p>
    <w:p>
      <w:pPr>
        <w:pStyle w:val="ManualHeading1"/>
        <w:rPr>
          <w:noProof/>
        </w:rPr>
      </w:pPr>
      <w:r>
        <w:rPr>
          <w:noProof/>
        </w:rPr>
        <w:t>4.</w:t>
      </w:r>
      <w:r>
        <w:rPr>
          <w:noProof/>
        </w:rPr>
        <w:tab/>
        <w:t>WPŁYW NA BUDŻET</w:t>
      </w:r>
    </w:p>
    <w:p>
      <w:pPr>
        <w:rPr>
          <w:noProof/>
        </w:rPr>
      </w:pPr>
      <w:r>
        <w:rPr>
          <w:noProof/>
        </w:rPr>
        <w:t xml:space="preserve">Wniosek nie ma negatywnego wpływu na budżet Unii. </w:t>
      </w:r>
    </w:p>
    <w:p>
      <w:pPr>
        <w:pStyle w:val="ManualHeading1"/>
        <w:rPr>
          <w:noProof/>
        </w:rPr>
      </w:pPr>
      <w:r>
        <w:rPr>
          <w:noProof/>
        </w:rPr>
        <w:t>5.</w:t>
      </w:r>
      <w:r>
        <w:rPr>
          <w:noProof/>
        </w:rPr>
        <w:tab/>
        <w:t>ELEMENTY FAKULTATYWNE</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r>
        <w:rPr>
          <w:noProof/>
        </w:rPr>
        <w:t>Wniosek zawiera klauzulę zakładającą wygaśnięcie odstępstwa w dniu 31 grudnia 2018 r.</w:t>
      </w:r>
    </w:p>
    <w:p>
      <w:pPr>
        <w:pStyle w:val="Rfrenceinterinstitutionnelle"/>
        <w:rPr>
          <w:noProof/>
        </w:rPr>
      </w:pPr>
      <w:r>
        <w:rPr>
          <w:noProof/>
        </w:rPr>
        <w:t>2018/0024 (NLE)</w:t>
      </w:r>
    </w:p>
    <w:p>
      <w:pPr>
        <w:pStyle w:val="Statut"/>
        <w:rPr>
          <w:noProof/>
        </w:rPr>
      </w:pPr>
      <w:r>
        <w:rPr>
          <w:noProof/>
        </w:rPr>
        <w:t>Wniosek</w:t>
      </w:r>
    </w:p>
    <w:p>
      <w:pPr>
        <w:pStyle w:val="Typedudocument"/>
        <w:rPr>
          <w:noProof/>
        </w:rPr>
      </w:pPr>
      <w:r>
        <w:rPr>
          <w:noProof/>
        </w:rPr>
        <w:t>DECYZJA WYKONAWCZA RADY</w:t>
      </w:r>
    </w:p>
    <w:p>
      <w:pPr>
        <w:pStyle w:val="Titreobjet"/>
        <w:rPr>
          <w:noProof/>
        </w:rPr>
      </w:pPr>
      <w:r>
        <w:rPr>
          <w:noProof/>
        </w:rPr>
        <w:t>w sprawie upoważnienia Republiki Łotewskiej do wprowadzenia szczególnego środka stanowiącego odstępstwo od art. 193 dyrektywy Rady 2006/112/WE w sprawie wspólnego systemu podatku od wartości dodanej</w:t>
      </w:r>
    </w:p>
    <w:p>
      <w:pPr>
        <w:pStyle w:val="Institutionquiagit"/>
        <w:rPr>
          <w:noProof/>
        </w:rPr>
      </w:pPr>
      <w:r>
        <w:rPr>
          <w:noProof/>
        </w:rPr>
        <w:t>RADA UNII EUROPEJSKIEJ,</w:t>
      </w:r>
    </w:p>
    <w:p>
      <w:pPr>
        <w:rPr>
          <w:noProof/>
        </w:rPr>
      </w:pPr>
      <w:r>
        <w:rPr>
          <w:noProof/>
        </w:rPr>
        <w:t xml:space="preserve">uwzględniając Traktat o funkcjonowaniu Unii Europejskiej, </w:t>
      </w:r>
    </w:p>
    <w:p>
      <w:pPr>
        <w:spacing w:before="0" w:after="0"/>
        <w:jc w:val="left"/>
        <w:rPr>
          <w:noProof/>
          <w:szCs w:val="24"/>
        </w:rPr>
      </w:pPr>
      <w:r>
        <w:rPr>
          <w:noProof/>
        </w:rPr>
        <w:t>uwzględniając dyrektywę Rady 2006/112/WE z dnia 28 listopada 2006 r. w sprawie wspólnego systemu podatku od wartości dodanej</w:t>
      </w:r>
      <w:r>
        <w:rPr>
          <w:rStyle w:val="FootnoteReference"/>
          <w:noProof/>
        </w:rPr>
        <w:footnoteReference w:id="2"/>
      </w:r>
      <w:r>
        <w:rPr>
          <w:noProof/>
        </w:rPr>
        <w:t xml:space="preserve">, </w:t>
      </w:r>
    </w:p>
    <w:p>
      <w:pPr>
        <w:rPr>
          <w:noProof/>
        </w:rPr>
      </w:pPr>
      <w:r>
        <w:rPr>
          <w:noProof/>
        </w:rPr>
        <w:t>w szczególności jej art. 395 ust. 1,</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Zgodnie z art. 193 dyrektywy 2006/112/WE każdy podatnik dokonujący podlegającej opodatkowaniu dostawy towarów lub świadczenia usług jest, co do zasady, obowiązany do zapłaty podatku od wartości dodanej (VAT) organom podatkowym.</w:t>
      </w:r>
    </w:p>
    <w:p>
      <w:pPr>
        <w:pStyle w:val="ManualConsidrant"/>
        <w:rPr>
          <w:noProof/>
        </w:rPr>
      </w:pPr>
      <w:r>
        <w:t>(2)</w:t>
      </w:r>
      <w:r>
        <w:tab/>
      </w:r>
      <w:r>
        <w:rPr>
          <w:noProof/>
        </w:rPr>
        <w:t>Zgodnie z art. 199a ust. 1 lit. h) dyrektywy 2006/112/WE państwa członkowskie mogą postanowić, że osobą zobowiązaną do zapłaty podatku VAT od dostaw konsoli do gier jest podatnik, na rzecz którego świadczona jest usługa („mechanizm odwrotnego obciążenia”). Łotwa nie korzysta z tej możliwości, chociaż stosuje mechanizm odwrotnego obciążenia w odniesieniu do dostaw tabletów i laptopów na podstawie art. 199a ust. 1 lit. h) tej dyrektywy.</w:t>
      </w:r>
    </w:p>
    <w:p>
      <w:pPr>
        <w:pStyle w:val="ManualConsidrant"/>
        <w:rPr>
          <w:noProof/>
        </w:rPr>
      </w:pPr>
      <w:r>
        <w:t>(3)</w:t>
      </w:r>
      <w:r>
        <w:tab/>
      </w:r>
      <w:r>
        <w:rPr>
          <w:noProof/>
        </w:rPr>
        <w:t xml:space="preserve">Ze względu na wzrost liczby oszustw w sektorze konsoli do gier na Łotwie, państwo to zamierza wprowadzić mechanizm odwrotnego obciążenia w odniesieniu do krajowych dostaw konsoli do gier. </w:t>
      </w:r>
    </w:p>
    <w:p>
      <w:pPr>
        <w:pStyle w:val="ManualConsidrant"/>
        <w:rPr>
          <w:noProof/>
        </w:rPr>
      </w:pPr>
      <w:r>
        <w:t>(4)</w:t>
      </w:r>
      <w:r>
        <w:tab/>
      </w:r>
      <w:r>
        <w:rPr>
          <w:noProof/>
        </w:rPr>
        <w:t xml:space="preserve">Zgodnie z art. 199a ust. 1 dyrektywy 2006/112/WE mechanizm odwrotnego obciążenia może być stosowany do dnia 31 grudnia 2018 r. i przez okres co najmniej dwóch lat. Jako że warunek dwuletniego okresu obowiązywania nie jest spełniony, Łotwa nie może zastosować mechanizmu odwrotnego obciążenia w oparciu o art. 199a ust. 1 lit. h) dyrektywy 2006/112/WE. </w:t>
      </w:r>
    </w:p>
    <w:p>
      <w:pPr>
        <w:pStyle w:val="ManualConsidrant"/>
        <w:rPr>
          <w:noProof/>
        </w:rPr>
      </w:pPr>
      <w:r>
        <w:t>(5)</w:t>
      </w:r>
      <w:r>
        <w:tab/>
      </w:r>
      <w:r>
        <w:rPr>
          <w:noProof/>
        </w:rPr>
        <w:t xml:space="preserve">W piśmie, które wpłynęło do Komisji dnia 15 listopada 2017 r., władze Łotwy zwróciły się o upoważnienie do stosowania środka stanowiącego odstępstwo od art. 193 tej dyrektywy w celu zobowiązania do zapłaty VAT za dostawy konsoli do gier. </w:t>
      </w:r>
    </w:p>
    <w:p>
      <w:pPr>
        <w:pStyle w:val="ManualConsidrant"/>
        <w:rPr>
          <w:noProof/>
        </w:rPr>
      </w:pPr>
      <w:r>
        <w:t>(6)</w:t>
      </w:r>
      <w:r>
        <w:tab/>
      </w:r>
      <w:r>
        <w:rPr>
          <w:noProof/>
        </w:rPr>
        <w:t xml:space="preserve">Zgodnie z art. 395 ust. 2 dyrektywy 2006/112/WE Komisja poinformowała pozostałe państwa członkowskie w piśmie z dnia 23 listopada 2017 r. o wniosku złożonym przez Łotwę. Pismem z dnia 24 listopada 2017 r. Komisja zawiadomiła Łotwę, że posiada wszystkie informacje niezbędne do rozpatrzenia wniosku. </w:t>
      </w:r>
    </w:p>
    <w:p>
      <w:pPr>
        <w:pStyle w:val="ManualConsidrant"/>
        <w:rPr>
          <w:noProof/>
        </w:rPr>
      </w:pPr>
      <w:r>
        <w:t>(7)</w:t>
      </w:r>
      <w:r>
        <w:tab/>
      </w:r>
      <w:r>
        <w:rPr>
          <w:noProof/>
        </w:rPr>
        <w:t xml:space="preserve">Według informacji przedstawionych przez władze Łotwy w następstwie wprowadzenia mechanizmu odwrotnego obciążenia do dostaw telefonów komórkowych, tabletów, laptopów i układów scalonych wzrosła liczba oszustw związanych z VAT w zakresie dostarczania konsoli do gier. Konsole do gier są szczególnie podatne na oszustwa, ponieważ mają stosunkowo niewielkie rozmiary, stosunkowo wysoką wartość i dobrze rozwinięty rynek internetowy. Z informacji przedłożonych przez władze Łotwy wynika, że wprowadziły one szereg konwencjonalnych środków w celu zwalczania oszustw związanych z VAT. Władze Łotwy uważają jednak, że należy wprowadzić mechanizm odwrotnego obciążenia w odniesieniu do dostaw konsoli do gier w celu zapobiegania stratom w dochodach z VAT do budżetu publicznego. </w:t>
      </w:r>
    </w:p>
    <w:p>
      <w:pPr>
        <w:pStyle w:val="ManualConsidrant"/>
        <w:rPr>
          <w:noProof/>
        </w:rPr>
      </w:pPr>
      <w:r>
        <w:t>(8)</w:t>
      </w:r>
      <w:r>
        <w:tab/>
      </w:r>
      <w:r>
        <w:rPr>
          <w:noProof/>
        </w:rPr>
        <w:t xml:space="preserve">Należy zatem upoważnić Łotwę do stosowania przez ograniczony czas mechanizmu odwrotnego obciążenia w odniesieniu do dostaw konsoli do gier. </w:t>
      </w:r>
    </w:p>
    <w:p>
      <w:pPr>
        <w:pStyle w:val="ManualConsidrant"/>
        <w:rPr>
          <w:noProof/>
        </w:rPr>
      </w:pPr>
      <w:r>
        <w:t>(9)</w:t>
      </w:r>
      <w:r>
        <w:tab/>
      </w:r>
      <w:r>
        <w:rPr>
          <w:noProof/>
        </w:rPr>
        <w:t xml:space="preserve">Odstępstwo to nie ma negatywnego wpływu na zasoby własne Unii z tytułu VAT, </w:t>
      </w:r>
    </w:p>
    <w:p>
      <w:pPr>
        <w:pStyle w:val="Formuledadoption"/>
        <w:rPr>
          <w:noProof/>
        </w:rPr>
      </w:pPr>
      <w:r>
        <w:rPr>
          <w:noProof/>
        </w:rPr>
        <w:t xml:space="preserve">PRZYJMUJE NINIEJSZĄ DECYZJĘ: </w:t>
      </w:r>
    </w:p>
    <w:p>
      <w:pPr>
        <w:pStyle w:val="Titrearticle"/>
        <w:rPr>
          <w:noProof/>
        </w:rPr>
      </w:pPr>
      <w:r>
        <w:rPr>
          <w:noProof/>
        </w:rPr>
        <w:t>Artykuł 1</w:t>
      </w:r>
    </w:p>
    <w:p>
      <w:pPr>
        <w:rPr>
          <w:noProof/>
        </w:rPr>
      </w:pPr>
      <w:r>
        <w:rPr>
          <w:noProof/>
        </w:rPr>
        <w:t xml:space="preserve">W drodze odstępstwa od art. 193 dyrektywy 2006/112/WE upoważnia się Łotwę do wyznaczenia odbiorcy usługi jako osoby zobowiązanej do zapłaty VAT w przypadku dostaw konsoli do gier. </w:t>
      </w:r>
    </w:p>
    <w:p>
      <w:pPr>
        <w:pStyle w:val="Titrearticle"/>
        <w:rPr>
          <w:noProof/>
        </w:rPr>
      </w:pPr>
      <w:r>
        <w:rPr>
          <w:noProof/>
        </w:rPr>
        <w:t>Artykuł 2</w:t>
      </w:r>
    </w:p>
    <w:p>
      <w:pPr>
        <w:rPr>
          <w:noProof/>
        </w:rPr>
      </w:pPr>
      <w:r>
        <w:rPr>
          <w:noProof/>
        </w:rPr>
        <w:t>Niniejsza decyzja staje się skuteczna z dniem jej notyfikacji.</w:t>
      </w:r>
    </w:p>
    <w:p>
      <w:pPr>
        <w:rPr>
          <w:noProof/>
        </w:rPr>
      </w:pPr>
      <w:r>
        <w:rPr>
          <w:noProof/>
        </w:rPr>
        <w:t>Niniejsza decyzja traci moc z dniem 31 grudnia 2018 r.</w:t>
      </w:r>
    </w:p>
    <w:p>
      <w:pPr>
        <w:pStyle w:val="Titrearticle"/>
        <w:rPr>
          <w:noProof/>
          <w:color w:val="000000" w:themeColor="text1"/>
        </w:rPr>
      </w:pPr>
      <w:r>
        <w:rPr>
          <w:noProof/>
        </w:rPr>
        <w:t>Artykuł 3</w:t>
      </w:r>
    </w:p>
    <w:p>
      <w:pPr>
        <w:keepNext/>
        <w:keepLines/>
        <w:rPr>
          <w:noProof/>
        </w:rPr>
      </w:pPr>
      <w:r>
        <w:rPr>
          <w:noProof/>
          <w:color w:val="000000"/>
        </w:rPr>
        <w:t>Niniejsza decyzja skierowana jest do Republiki Łotewskiej.</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jc w:val="left"/>
        <w:rPr>
          <w:lang w:val="fi-FI"/>
        </w:rPr>
      </w:pPr>
      <w:r>
        <w:rPr>
          <w:rStyle w:val="FootnoteReference"/>
        </w:rPr>
        <w:footnoteRef/>
      </w:r>
      <w:r>
        <w:tab/>
        <w:t xml:space="preserve">Zob. wykaz opinii Komitetu ds. </w:t>
      </w:r>
      <w:r>
        <w:rPr>
          <w:lang w:val="fi-FI"/>
        </w:rPr>
        <w:t xml:space="preserve">VAT: </w:t>
      </w:r>
      <w:hyperlink r:id="rId1">
        <w:r>
          <w:rPr>
            <w:rStyle w:val="Hyperlink"/>
            <w:lang w:val="fi-FI"/>
          </w:rPr>
          <w:t>http://ec.europa.eu/taxation_customs/sites/taxation/files/resources/documents/taxation/vat/key_documents/vat_committee/notifications.pdf</w:t>
        </w:r>
      </w:hyperlink>
    </w:p>
  </w:footnote>
  <w:footnote w:id="2">
    <w:p>
      <w:pPr>
        <w:pStyle w:val="FootnoteText"/>
      </w:pPr>
      <w:r>
        <w:rPr>
          <w:rStyle w:val="FootnoteReference"/>
        </w:rPr>
        <w:footnoteRef/>
      </w:r>
      <w:r>
        <w:tab/>
        <w:t>Dz.U. L 347 z 11.12.2006,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A066CD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6ACD79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12C3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74833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2F250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A817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F044CE0"/>
    <w:lvl w:ilvl="0">
      <w:start w:val="1"/>
      <w:numFmt w:val="decimal"/>
      <w:pStyle w:val="ListNumber"/>
      <w:lvlText w:val="%1."/>
      <w:lvlJc w:val="left"/>
      <w:pPr>
        <w:tabs>
          <w:tab w:val="num" w:pos="360"/>
        </w:tabs>
        <w:ind w:left="360" w:hanging="360"/>
      </w:pPr>
    </w:lvl>
  </w:abstractNum>
  <w:abstractNum w:abstractNumId="7">
    <w:nsid w:val="FFFFFF89"/>
    <w:multiLevelType w:val="singleLevel"/>
    <w:tmpl w:val="74AED8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08 17:20:0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6CBFE52-D18F-42E7-8109-65D299422F8A"/>
    <w:docVar w:name="LW_COVERPAGE_TYPE" w:val="1"/>
    <w:docVar w:name="LW_CROSSREFERENCE" w:val="&lt;UNUSED&gt;"/>
    <w:docVar w:name="LW_DocType" w:val="COM"/>
    <w:docVar w:name="LW_EMISSION" w:val="9.2.2018"/>
    <w:docVar w:name="LW_EMISSION_ISODATE" w:val="2018-02-09"/>
    <w:docVar w:name="LW_EMISSION_LOCATION" w:val="BRX"/>
    <w:docVar w:name="LW_EMISSION_PREFIX" w:val="Bruksela, dnia "/>
    <w:docVar w:name="LW_EMISSION_SUFFIX" w:val=" r."/>
    <w:docVar w:name="LW_ID_DOCMODEL" w:val="SJ-020"/>
    <w:docVar w:name="LW_ID_DOCSIGNATURE" w:val="SJ-020"/>
    <w:docVar w:name="LW_ID_DOCSTRUCTURE" w:val="COM/PL/ORG"/>
    <w:docVar w:name="LW_ID_DOCTYPE" w:val="SJ-020"/>
    <w:docVar w:name="LW_ID_STATUT" w:val="SJ-020"/>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024"/>
    <w:docVar w:name="LW_REF.II.NEW.CP_YEAR" w:val="2018"/>
    <w:docVar w:name="LW_REF.INST.NEW" w:val="COM"/>
    <w:docVar w:name="LW_REF.INST.NEW_ADOPTED" w:val="final"/>
    <w:docVar w:name="LW_REF.INST.NEW_TEXT" w:val="(2018) 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Wniosek"/>
    <w:docVar w:name="LW_SUPERTITRE" w:val="&lt;UNUSED&gt;"/>
    <w:docVar w:name="LW_TITRE.OBJ.CP" w:val="w sprawie upowa\u380?nienia Republiki \u321?otewskiej do wprowadzenia szczególnego \u347?rodka stanowi\u261?cego odst\u281?pstwo od art. 193 dyrektywy Rady 2006/112/WE w sprawie wspólnego systemu podatku od warto\u347?ci dodanej"/>
    <w:docVar w:name="LW_TYPE.DOC.CP" w:val="DECYZJA WYKONAWCZ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axation_customs/sites/taxation/files/resources/documents/taxation/vat/key_documents/vat_committee/notificat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27D2-2931-4FAF-BA95-E20120C3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1764</Words>
  <Characters>10763</Characters>
  <Application>Microsoft Office Word</Application>
  <DocSecurity>0</DocSecurity>
  <Lines>192</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2018-01-11T10:44:00Z</cp:lastPrinted>
  <dcterms:created xsi:type="dcterms:W3CDTF">2018-02-01T12:56:00Z</dcterms:created>
  <dcterms:modified xsi:type="dcterms:W3CDTF">2018-02-08T16:20:00Z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SJ-020</vt:lpwstr>
  </property>
  <property fmtid="{D5CDD505-2E9C-101B-9397-08002B2CF9AE}" pid="9" name="Level of sensitivity">
    <vt:lpwstr>Standard treatment</vt:lpwstr>
  </property>
  <property fmtid="{D5CDD505-2E9C-101B-9397-08002B2CF9AE}" pid="10" name="DQCStatus">
    <vt:lpwstr>Green (DQC version 03)</vt:lpwstr>
  </property>
</Properties>
</file>