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332204-28D6-428C-9EAB-63C8E97A6D90"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ind w:left="1440" w:firstLine="720"/>
        <w:jc w:val="both"/>
        <w:rPr>
          <w:noProof/>
        </w:rPr>
      </w:pPr>
      <w:bookmarkStart w:id="0" w:name="_GoBack"/>
      <w:bookmarkEnd w:id="0"/>
      <w:r>
        <w:rPr>
          <w:noProof/>
        </w:rPr>
        <w:lastRenderedPageBreak/>
        <w:t>AIŠKINAMASIS MEMORANDUMAS</w:t>
      </w:r>
    </w:p>
    <w:p>
      <w:pPr>
        <w:pBdr>
          <w:top w:val="nil"/>
          <w:left w:val="nil"/>
          <w:bottom w:val="nil"/>
          <w:right w:val="nil"/>
          <w:between w:val="nil"/>
          <w:bar w:val="nil"/>
        </w:pBdr>
        <w:spacing w:before="0" w:after="240"/>
        <w:rPr>
          <w:rFonts w:eastAsia="Arial Unicode MS"/>
          <w:noProof/>
        </w:rPr>
      </w:pPr>
      <w:r>
        <w:rPr>
          <w:noProof/>
        </w:rPr>
        <w:t>Pagal 2006 m. lapkričio 28 d. Direktyvos 2006/112/EB dėl pridėtinės vertės mokesčio bendros sistemos (toliau – PVM direktyva) 395 straipsnio 1 dalį Taryba, remdamasi Komisijos pasiūlymu, gali vieningai leisti bet kuriai valstybei narei imtis specialių priemonių, kuriomis nukrypstama nuo tos direktyvos nuostatų, kad būtų supaprastinta PVM rinkimo procedūra arba užkirstas kelias tam tikrų formų mokesčių slėpimui ar vengimui.</w:t>
      </w:r>
    </w:p>
    <w:p>
      <w:pPr>
        <w:pBdr>
          <w:top w:val="nil"/>
          <w:left w:val="nil"/>
          <w:bottom w:val="nil"/>
          <w:right w:val="nil"/>
          <w:between w:val="nil"/>
          <w:bar w:val="nil"/>
        </w:pBdr>
        <w:spacing w:before="0" w:after="240"/>
        <w:rPr>
          <w:noProof/>
          <w:color w:val="008000"/>
        </w:rPr>
      </w:pPr>
      <w:r>
        <w:rPr>
          <w:noProof/>
        </w:rPr>
        <w:t>Latvija atsiuntė raštą (jį Komisija užregistravo 2017 m. lapkričio 15 d.), kuriame paprašė leisti taikyti nuo PVM direktyvos 193 straipsnio nukrypti leidžiančią nuostatą, kad žaidimų konsolių tiekimui galėtų taikyti atvirkštinio apmokestinimo mechanizmą. Vadovaudamasi PVM direktyvos 395 straipsnio 2 dalimi, 2017 m. lapkričio 23 d. raštu Komisija pranešė kitoms valstybėms narėms apie Latvijos prašymą. Lapkričio 24 d. raštu Komisija pranešė Latvijai turinti visą informaciją, kuri yra būtina prašymui įvertinti.</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rFonts w:eastAsia="Arial Unicode MS"/>
          <w:noProof/>
        </w:rPr>
      </w:pPr>
      <w:r>
        <w:rPr>
          <w:noProof/>
        </w:rPr>
        <w:t>PVM direktyvos 193 straipsnyje nustatyta, kad paprastai pridėtinės vertės mokestį (PVM) privalo sumokėti prekes tiekiantis ar paslaugas teikiantis apmokestinamasis asmuo.</w:t>
      </w:r>
    </w:p>
    <w:p>
      <w:pPr>
        <w:rPr>
          <w:noProof/>
        </w:rPr>
      </w:pPr>
      <w:r>
        <w:rPr>
          <w:noProof/>
        </w:rPr>
        <w:t xml:space="preserve">Remdamosi PVM direktyvos 199a straipsnio 1 dalimi, valstybės narės gali nustatyti, kad prievolė sumokėti PVM už šiame straipsnyje išvardytas prekes arba paslaugas, tenka apmokestinamajam asmeniui, kuriam yra tiekiamos tos prekės arba teikiamos paslaugos (atvirkštinio apmokestinimo mechanizmas). Pagal atvirkštinio apmokestinimo procedūrą PVM privalo sumokėti apmokestinamasis asmuo, kuriam tiekiamos prekės arba teikiamos paslaugos. Jeigu šis apmokestinamasis asmuo, turėdamas teisę atskaityti visą PVM, tuo pat metu jį deklaruotų ir atskaitytų tiek PVM, kiek priklausė atskaityti už prekes arba paslaugas, iždui PVM faktiškai nebūtų sumokamas. Žaidimų konsolių tiekimas įtrauktas į 199a straipsnio 1 dalies h punktą. </w:t>
      </w:r>
    </w:p>
    <w:p>
      <w:pPr>
        <w:pBdr>
          <w:top w:val="nil"/>
          <w:left w:val="nil"/>
          <w:bottom w:val="nil"/>
          <w:right w:val="nil"/>
          <w:between w:val="nil"/>
          <w:bar w:val="nil"/>
        </w:pBdr>
        <w:spacing w:before="0" w:after="240"/>
        <w:rPr>
          <w:rFonts w:eastAsia="Arial Unicode MS"/>
          <w:noProof/>
        </w:rPr>
      </w:pPr>
      <w:r>
        <w:rPr>
          <w:noProof/>
        </w:rPr>
        <w:t xml:space="preserve">Latvija nesinaudojo PVM direktyvos 199a straipsnio 1 dalies h punkte nustatyta galimybe ir žaidimų konsolių tiekimui atvirkštinio apmokestinimo mechanizmo netaiko. Tačiau Latvijos žaidimų konsolių sektoriuje neseniai padaugėjo sukčiavimo atvejų, todėl ši valstybė narė norėtų pradėti taikyti atvirkštinio apmokestinimo mechanizmą vidaus žaidimų konsolių tiekimo rinkoje. </w:t>
      </w:r>
    </w:p>
    <w:p>
      <w:pPr>
        <w:rPr>
          <w:noProof/>
        </w:rPr>
      </w:pPr>
      <w:r>
        <w:rPr>
          <w:noProof/>
        </w:rPr>
        <w:t xml:space="preserve">Remiantis PVM direktyvos 199a straipsnio 1 dalimi, atvirkštinio apmokestinimo mechanizmas gali būti taikomas iki 2018 m. gruodžio 31 d. mažiausiai dvejus metus. Kadangi dvejų metų laikotarpio sąlyga nevykdoma, remdamasi šiuo straipsniu Latvija negali taikyti atvirkštinio apmokestinimo mechanizmo. </w:t>
      </w:r>
    </w:p>
    <w:p>
      <w:pPr>
        <w:rPr>
          <w:noProof/>
        </w:rPr>
      </w:pPr>
      <w:r>
        <w:rPr>
          <w:noProof/>
        </w:rPr>
        <w:t xml:space="preserve">Todėl Latvija prašo leisti taikyti nuo PVM direktyvos 193 straipsnio nukrypti leidžiančią nuostatą, kad pagal PVM direktyvos 395 straipsnį galėtų taikyti atvirkštinio apmokestinimo mechanizmą žaidimų konsolių tiekimui. </w:t>
      </w:r>
    </w:p>
    <w:p>
      <w:pPr>
        <w:rPr>
          <w:noProof/>
        </w:rPr>
      </w:pPr>
      <w:r>
        <w:rPr>
          <w:noProof/>
        </w:rPr>
        <w:t xml:space="preserve">Prašomos nukrypti leidžiančios nuostatos tikslas – užkirsti kelią sukčiavimui žaidimų konsolių sektoriuje. Remdamasi 199a straipsnio 1 dalies c, d ir h punktuose nustatytomis galimybėmis, nuo 2016 m. balandžio 1 d. atvirkštinio apmokestinimo PVM mechanizmą Latvija taiko mobiliesiems telefonams, planšetiniams ir nešiojamiesiems kompiuteriams ir integrinių grandynų prietaisams. Nustatyta, kad, šiems produktams pradėjus taikyti atvirkštinį apmokestinimą, žaidimų konsolių tiekimo sektoriuje išaugo sukčiavimas PVM. Tiekiant šiuos </w:t>
      </w:r>
      <w:r>
        <w:rPr>
          <w:noProof/>
        </w:rPr>
        <w:lastRenderedPageBreak/>
        <w:t>produktus atsiranda sukčiavimo tikimybė, nes šie produktai yra palyginti maži, jų vertė palyginti didelė, o internetinė prekyba jais labai išplėtota.</w:t>
      </w:r>
    </w:p>
    <w:p>
      <w:pPr>
        <w:spacing w:after="240"/>
        <w:rPr>
          <w:noProof/>
        </w:rPr>
      </w:pPr>
      <w:r>
        <w:rPr>
          <w:noProof/>
        </w:rPr>
        <w:t xml:space="preserve">Latvija tvirtina, kad žaidimų konsolių tiekimo sektoriuje buvo vykdomas auditas. 2017 m. nustatyta, kad žaidimų konsolių tiekimo sektoriuje veiklą vykdė 14 priedangos įmonių, sudarančių 6,4 % visų šio sektoriaus įmonių. 2016 m. iš 219 registruotų PVM apmokestinamų asmenų, veikiančių žaidimų konsolių tiekimo sektoriuje, aštuoni buvo deklaravę PVM kaip sandorių, kuriuos vykdo kiti apmokestinamieji asmenys, klasifikuojami kaip priedangos įmonės, pirkimo mokestį (3,7 % visų PVM tikslais registruotų asmenų). Siekdama užkirsti kelią ekonominės veiklos vykdytojų sukčiavimui, Latvijos valstybinė mokesčių tarnyba (VID) pasinaudoja galimybe pašalinti juos iš savo PVM apmokestinamų asmenų registro. 2017 m. labai išaugo šiame sektoriuje veikiančių apmokestinamųjų asmenų, pašalintų iš VID PVM mokesčių mokėtojų registro, skaičius. Per pirmuosius aštuonis tų metų mėnesius iš registro pašalinta 16 sektoriuje veikiančių apmokestinamųjų asmenų – tai jau sudaro 88,9 % bendro 2016 m. pašalintųjų asmenų skaičiaus (18 apmokestinamųjų asmenų). </w:t>
      </w:r>
    </w:p>
    <w:p>
      <w:pPr>
        <w:rPr>
          <w:noProof/>
        </w:rPr>
      </w:pPr>
      <w:r>
        <w:rPr>
          <w:noProof/>
        </w:rPr>
        <w:t xml:space="preserve">Remiantis Latvijos pateikta informacija, šalis ėmėsi keleto kovos su sukčiavimu PVM mažinimo priemonių. Pavyzdžiui, kasos aparatams taikomi nauji reikalavimai, kuriais siekiama visiškai panaikinti galimybę ištrinti registruotus sandorius, nustatytas įpareigojimas PVM deklaracijoje išsamiai išskaidyti sandorius, ypatingas dėmesys taip pat skiriamas įprastinės kontrolės ir administracinių priemonių tobulinimui ir nustatyta pareiga kredito įstaigoms ir kitiems subjektams pranešti VID apie įtartinus sandorius. Taip pat svarstomas elektroninių sąskaitų faktūrų išrašymo priėmimas. Nepaisant visų šių priemonių, kad valstybės biudžetas neprarastų PVM pajamų, Latvija mano, kad vidaus žaidimų konsolių tiekimui vis tiek reikia pradėti taikyti atvirkštinio apmokestinimo mechanizmą. </w:t>
      </w:r>
    </w:p>
    <w:p>
      <w:pPr>
        <w:rPr>
          <w:noProof/>
        </w:rPr>
      </w:pPr>
      <w:r>
        <w:rPr>
          <w:noProof/>
        </w:rPr>
        <w:t xml:space="preserve">Laikoma, kad tiekiant žaidimų konsoles sukčiavimo atvejai yra dažni, todėl jos, kartu su planšetiniais ir nešiojamaisiais kompiuteriais, įtrauktos į PVM direktyvos 199a straipsnio 1 dalies h punktą. Jeigu trumpiausio taikymo laikotarpio sąlyga būtų vykdoma, Latvija būtų galėjusi remtis šiuo straipsniu ir taikyti atvirkštinio apmokestinimo mechanizmą. </w:t>
      </w:r>
    </w:p>
    <w:p>
      <w:pPr>
        <w:rPr>
          <w:noProof/>
        </w:rPr>
      </w:pPr>
      <w:r>
        <w:rPr>
          <w:noProof/>
        </w:rPr>
        <w:t xml:space="preserve">Todėl siūloma leisti taikyti nukrypti leidžiančią nuostatą PVM direktyvos 199a straipsnio galiojimo laikotarpiu. Taigi nukrypti leidžiančią nuostatą siūloma leisti taikyti iki 2018 m. gruodžio 31 d., t. y. iki PVM direktyvos 199a straipsnio galiojimo pabaigos. </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Remiantis PVM direktyvos 199a straipsnio 1 dalies h punktu, žaidimų konsolių tiekimui galima taikyti atvirkštinio apmokestinimo mechanizmą. Pagal šią nuostatą atvirkštinį apmokestinimą taiko keletas valstybių narių</w:t>
      </w:r>
      <w:r>
        <w:rPr>
          <w:rStyle w:val="FootnoteReference"/>
          <w:noProof/>
        </w:rPr>
        <w:footnoteReference w:id="1"/>
      </w:r>
      <w:r>
        <w:rPr>
          <w:noProof/>
        </w:rPr>
        <w:t xml:space="preserve">. Jeigu trumpiausio dvejų metų laikotarpio taikymo sąlyga būtų vykdoma, Latvija galėtų taikyti atvirkštinio apmokestinimo mechanizmą žaidimų konsolių tiekimui, neprašydama leisti taikyti nukrypti leidžiančią nuostatą pagal PMV direktyvos 395 straipsnį.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Taigi siūloma priemonė atitinka galiojančias PVM direktyvos nuostatas.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rPr>
          <w:noProof/>
        </w:rPr>
      </w:pPr>
      <w:r>
        <w:rPr>
          <w:noProof/>
        </w:rPr>
        <w:t>PVM direktyvos 395 straipsnis.</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rPr>
          <w:noProof/>
        </w:rPr>
      </w:pPr>
      <w:r>
        <w:rPr>
          <w:noProof/>
        </w:rPr>
        <w:t>Atsižvelgiant į PVM direktyvos nuostatą, kuria grindžiamas pasiūlymas, subsidiarumo principas netaikomas.</w:t>
      </w:r>
    </w:p>
    <w:p>
      <w:pPr>
        <w:pStyle w:val="ManualHeading2"/>
        <w:rPr>
          <w:rFonts w:eastAsia="Arial Unicode MS"/>
          <w:noProof/>
          <w:u w:color="000000"/>
          <w:bdr w:val="nil"/>
        </w:rPr>
      </w:pPr>
      <w:r>
        <w:rPr>
          <w:noProof/>
        </w:rPr>
        <w:t>•</w:t>
      </w:r>
      <w:r>
        <w:rPr>
          <w:noProof/>
        </w:rPr>
        <w:tab/>
        <w:t>Proporcingumo principas</w:t>
      </w:r>
    </w:p>
    <w:p>
      <w:pPr>
        <w:rPr>
          <w:noProof/>
        </w:rPr>
      </w:pPr>
      <w:r>
        <w:rPr>
          <w:noProof/>
        </w:rPr>
        <w:t>Šis sprendimas yra susijęs su valstybei narei jos pačios prašymu suteiktu leidimu ir nėra įpareigojamojo pobūdžio.</w:t>
      </w:r>
    </w:p>
    <w:p>
      <w:pPr>
        <w:rPr>
          <w:noProof/>
        </w:rPr>
      </w:pPr>
      <w:r>
        <w:rPr>
          <w:noProof/>
        </w:rPr>
        <w:t xml:space="preserve">Atsižvelgiant į ribotą nukrypti leidžiančios nuostatos taikymo sritį, speciali priemonė yra proporcinga siekiamam tikslui – užkirsti kelią tam tikrų formų mokesčių slėpimui ar vengimui konkrečiame sektoriuje. </w:t>
      </w:r>
    </w:p>
    <w:p>
      <w:pPr>
        <w:pStyle w:val="ManualHeading2"/>
        <w:rPr>
          <w:rFonts w:eastAsia="Arial Unicode MS"/>
          <w:noProof/>
          <w:u w:color="000000"/>
          <w:bdr w:val="nil"/>
        </w:rPr>
      </w:pPr>
      <w:r>
        <w:rPr>
          <w:noProof/>
        </w:rPr>
        <w:t>•</w:t>
      </w:r>
      <w:r>
        <w:rPr>
          <w:noProof/>
        </w:rPr>
        <w:tab/>
        <w:t>Priemonės pasirinkimas</w:t>
      </w:r>
    </w:p>
    <w:p>
      <w:pPr>
        <w:rPr>
          <w:noProof/>
        </w:rPr>
      </w:pPr>
      <w:r>
        <w:rPr>
          <w:noProof/>
        </w:rPr>
        <w:t>Pagal PVM direktyvos 395 straipsnį nukrypti nuo bendrų PVM taisyklių galima tik tada, kai tai vieningai leidžia Taryba, remdamasi Komisijos pasiūlymu. Be to, Tarybos sprendimas yra tinkamiausia priemonė, nes jis gali būti skirtas atskiroms valstybėms narėms.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Šis pasiūlymas grindžiamas Latvijos prašymu ir skirtas tik šiai valstybei narei.</w:t>
      </w:r>
    </w:p>
    <w:p>
      <w:pPr>
        <w:pStyle w:val="ManualHeading2"/>
        <w:rPr>
          <w:rFonts w:eastAsia="Arial Unicode MS"/>
          <w:noProof/>
          <w:u w:color="000000"/>
          <w:bdr w:val="nil"/>
        </w:rPr>
      </w:pPr>
      <w:r>
        <w:rPr>
          <w:noProof/>
        </w:rPr>
        <w:t>•</w:t>
      </w:r>
      <w:r>
        <w:rPr>
          <w:noProof/>
        </w:rPr>
        <w:tab/>
        <w:t>Tiriamųjų duomenų rinkimas ir naudojimas</w:t>
      </w:r>
    </w:p>
    <w:p>
      <w:pPr>
        <w:rPr>
          <w:noProof/>
        </w:rPr>
      </w:pPr>
      <w:r>
        <w:rPr>
          <w:noProof/>
        </w:rPr>
        <w:t>Nepriklausomo tyrimo neprireikė.</w:t>
      </w:r>
    </w:p>
    <w:p>
      <w:pPr>
        <w:pStyle w:val="ManualHeading2"/>
        <w:rPr>
          <w:rFonts w:eastAsia="Arial Unicode MS"/>
          <w:noProof/>
          <w:u w:color="000000"/>
          <w:bdr w:val="nil"/>
        </w:rPr>
      </w:pPr>
      <w:r>
        <w:rPr>
          <w:noProof/>
        </w:rPr>
        <w:t>•</w:t>
      </w:r>
      <w:r>
        <w:rPr>
          <w:noProof/>
        </w:rPr>
        <w:tab/>
        <w:t>Poveikio vertinimas</w:t>
      </w:r>
    </w:p>
    <w:p>
      <w:pPr>
        <w:rPr>
          <w:noProof/>
        </w:rPr>
      </w:pPr>
      <w:r>
        <w:rPr>
          <w:noProof/>
        </w:rPr>
        <w:t xml:space="preserve">Šiuo įgyvendinimo sprendimo pasiūlymu siekiama užkirsti kelią tam tikrų formų mokesčių slėpimui ar vengimui žaidimų konsolių tiekimo sektoriuje. Atvirkštinio apmokestinimo mechanizmas turėtų padėti Latvijai sustabdyti tolesnį sukčiavimo PVM plitimą tiekiant žaidimų konsoles. Todėl leidžianti nukrypti priemonė turės galimą teigiamą poveikį. </w:t>
      </w:r>
    </w:p>
    <w:p>
      <w:pPr>
        <w:rPr>
          <w:noProof/>
        </w:rPr>
      </w:pPr>
      <w:r>
        <w:rPr>
          <w:noProof/>
        </w:rPr>
        <w:t>Dėl siauros nukrypti leidžiančios nuostatos taikymo srities ir riboto taikymo laikotarpio jos poveikis bet kuriuo atveju bus ribotas.</w:t>
      </w:r>
    </w:p>
    <w:p>
      <w:pPr>
        <w:pStyle w:val="ManualHeading1"/>
        <w:rPr>
          <w:noProof/>
        </w:rPr>
      </w:pPr>
      <w:r>
        <w:rPr>
          <w:noProof/>
        </w:rPr>
        <w:t>4.</w:t>
      </w:r>
      <w:r>
        <w:rPr>
          <w:noProof/>
        </w:rPr>
        <w:tab/>
        <w:t>POVEIKIS BIUDŽETUI</w:t>
      </w:r>
    </w:p>
    <w:p>
      <w:pPr>
        <w:rPr>
          <w:noProof/>
        </w:rPr>
      </w:pPr>
      <w:r>
        <w:rPr>
          <w:noProof/>
        </w:rPr>
        <w:t xml:space="preserve">Pasiūlymas ES biudžetui neigiamo poveikio neturi. </w:t>
      </w:r>
    </w:p>
    <w:p>
      <w:pPr>
        <w:pStyle w:val="ManualHeading1"/>
        <w:rPr>
          <w:noProof/>
        </w:rPr>
      </w:pPr>
      <w:r>
        <w:rPr>
          <w:noProof/>
        </w:rPr>
        <w:t>5.</w:t>
      </w:r>
      <w:r>
        <w:rPr>
          <w:noProof/>
        </w:rPr>
        <w:tab/>
        <w:t>KITI ELEMENTAI</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r>
        <w:rPr>
          <w:noProof/>
        </w:rPr>
        <w:t>Pasiūlyme numatytos laikino galiojimo sąlygos terminas – 2018 m. gruodžio 31 d.</w:t>
      </w:r>
    </w:p>
    <w:p>
      <w:pPr>
        <w:pStyle w:val="Rfrenceinterinstitutionnelle"/>
        <w:rPr>
          <w:noProof/>
        </w:rPr>
      </w:pPr>
      <w:r>
        <w:rPr>
          <w:noProof/>
        </w:rPr>
        <w:t>2018/0024 (NLE)</w:t>
      </w:r>
    </w:p>
    <w:p>
      <w:pPr>
        <w:pStyle w:val="Statut"/>
        <w:rPr>
          <w:noProof/>
        </w:rPr>
      </w:pPr>
      <w:r>
        <w:rPr>
          <w:noProof/>
        </w:rPr>
        <w:t>Pasiūlymas</w:t>
      </w:r>
    </w:p>
    <w:p>
      <w:pPr>
        <w:pStyle w:val="Typedudocument"/>
        <w:rPr>
          <w:noProof/>
        </w:rPr>
      </w:pPr>
      <w:r>
        <w:rPr>
          <w:noProof/>
        </w:rPr>
        <w:t>TARYBOS ĮGYVENDINIMO SPRENDIMAS</w:t>
      </w:r>
    </w:p>
    <w:p>
      <w:pPr>
        <w:pStyle w:val="Titreobjet"/>
        <w:rPr>
          <w:noProof/>
        </w:rPr>
      </w:pPr>
      <w:r>
        <w:rPr>
          <w:noProof/>
        </w:rPr>
        <w:t>kuriuo Latvijos Respublikai leidžiama nustatyti specialią priemonę, kuria nukrypstama nuo Direktyvos 2006/112/EB dėl pridėtinės vertės mokesčio bendros sistemos 193 straipsnio</w:t>
      </w:r>
    </w:p>
    <w:p>
      <w:pPr>
        <w:pStyle w:val="Institutionquiagit"/>
        <w:rPr>
          <w:noProof/>
        </w:rPr>
      </w:pPr>
      <w:r>
        <w:rPr>
          <w:noProof/>
        </w:rPr>
        <w:t>EUROPOS SĄJUNGOS TARYBA,</w:t>
      </w:r>
    </w:p>
    <w:p>
      <w:pPr>
        <w:rPr>
          <w:noProof/>
        </w:rPr>
      </w:pPr>
      <w:r>
        <w:rPr>
          <w:noProof/>
        </w:rPr>
        <w:t xml:space="preserve">atsižvelgdama į Sutartį dėl Europos Sąjungos veikimo, </w:t>
      </w:r>
    </w:p>
    <w:p>
      <w:pPr>
        <w:spacing w:before="0" w:after="0"/>
        <w:jc w:val="left"/>
        <w:rPr>
          <w:noProof/>
          <w:szCs w:val="24"/>
        </w:rPr>
      </w:pPr>
      <w:r>
        <w:rPr>
          <w:noProof/>
        </w:rPr>
        <w:t>atsižvelgdama į 2006 m. lapkričio 28 d. Tarybos direktyvą 2006/112/EB dėl pridėtinės vertės mokesčio bendros sistemos</w:t>
      </w:r>
      <w:r>
        <w:rPr>
          <w:rStyle w:val="FootnoteReference"/>
          <w:noProof/>
        </w:rPr>
        <w:footnoteReference w:id="2"/>
      </w:r>
      <w:r>
        <w:rPr>
          <w:noProof/>
        </w:rPr>
        <w:t xml:space="preserve">, </w:t>
      </w:r>
    </w:p>
    <w:p>
      <w:pPr>
        <w:rPr>
          <w:noProof/>
        </w:rPr>
      </w:pPr>
      <w:r>
        <w:rPr>
          <w:noProof/>
        </w:rPr>
        <w:t>ypač į jos 395 straipsnio 1 dalį,</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pagal Direktyvos 2006/112/EB 193 straipsnį bet kuris apmokestinamasis asmuo, vykdantis apmokestinamą prekių tiekimą ar paslaugų teikimą, mokesčių administratoriui paprastai privalo sumokėti pridėtinės vertės mokestį (PVM);</w:t>
      </w:r>
    </w:p>
    <w:p>
      <w:pPr>
        <w:pStyle w:val="ManualConsidrant"/>
        <w:rPr>
          <w:noProof/>
        </w:rPr>
      </w:pPr>
      <w:r>
        <w:t>(2)</w:t>
      </w:r>
      <w:r>
        <w:tab/>
      </w:r>
      <w:r>
        <w:rPr>
          <w:noProof/>
        </w:rPr>
        <w:t>remdamosi Direktyvos 2006/112/EB 199a straipsnio 1 dalies h punktu, valstybės narės gali nustatyti, kad prievolė sumokėti PVM už žaidimų konsolių tiekimą tenka apmokestinamajam asmeniui, kuriam yra tiekiamos šios prekės (atvirkštinio apmokestinimo mechanizmas). Latvija šia galimybe nesinaudoja, nors pagal tos direktyvos 199a straipsnio 1 dalies h punktą planšetinių ir nešiojamųjų kompiuterių tiekimui taiko atvirkštinį apmokestinimą;</w:t>
      </w:r>
    </w:p>
    <w:p>
      <w:pPr>
        <w:pStyle w:val="ManualConsidrant"/>
        <w:rPr>
          <w:noProof/>
        </w:rPr>
      </w:pPr>
      <w:r>
        <w:t>(3)</w:t>
      </w:r>
      <w:r>
        <w:tab/>
      </w:r>
      <w:r>
        <w:rPr>
          <w:noProof/>
        </w:rPr>
        <w:t xml:space="preserve">kadangi Latvijos žaidimų konsolių sektoriuje padaugėjo sukčiavimo atvejų, ši valstybė narė norėtų pradėti taikyti atvirkštinio apmokestinimo mechanizmą vidaus žaidimų konsolių tiekimo rinkoje; </w:t>
      </w:r>
    </w:p>
    <w:p>
      <w:pPr>
        <w:pStyle w:val="ManualConsidrant"/>
        <w:rPr>
          <w:noProof/>
        </w:rPr>
      </w:pPr>
      <w:r>
        <w:t>(4)</w:t>
      </w:r>
      <w:r>
        <w:tab/>
      </w:r>
      <w:r>
        <w:rPr>
          <w:noProof/>
        </w:rPr>
        <w:t xml:space="preserve">remiantis Direktyvos 2006/112/EB 199a straipsnio 1 dalimi, atvirkštinio apmokestinimo mechanizmas gali būti taikomas iki 2018 m. gruodžio 31 d. mažiausiai dvejus metus. Kadangi dvejų metų laikotarpio sąlyga nevykdoma, Latvija negali taikyti atvirkštinio apmokestinimo mechanizmo pagal Direktyvos 2006/112/EB 199a straipsnio 1 dalies h punktą; </w:t>
      </w:r>
    </w:p>
    <w:p>
      <w:pPr>
        <w:pStyle w:val="ManualConsidrant"/>
        <w:rPr>
          <w:noProof/>
        </w:rPr>
      </w:pPr>
      <w:r>
        <w:t>(5)</w:t>
      </w:r>
      <w:r>
        <w:tab/>
      </w:r>
      <w:r>
        <w:rPr>
          <w:noProof/>
        </w:rPr>
        <w:t xml:space="preserve">raštu, kurį Komisija užregistravo 2017 m. lapkričio 15 d., Latvija paprašė leisti taikyti priemonę, kuria nukrypstama nuo tos Direktyvos 193 straipsnio, kad PVM, susijusio su žaidimų konsolių tiekimu, mokėjimo prievolė tektų prekės gavėjui; </w:t>
      </w:r>
    </w:p>
    <w:p>
      <w:pPr>
        <w:pStyle w:val="ManualConsidrant"/>
        <w:rPr>
          <w:noProof/>
        </w:rPr>
      </w:pPr>
      <w:r>
        <w:t>(6)</w:t>
      </w:r>
      <w:r>
        <w:tab/>
      </w:r>
      <w:r>
        <w:rPr>
          <w:noProof/>
        </w:rPr>
        <w:t xml:space="preserve">remdamasi Direktyvos 2006/112/EB 395 straipsnio 2 dalimi, Komisija 2017 m. lapkričio 23 d. raštu pranešė kitoms valstybėms narėms apie Latvijos prašymą. 2017 m. lapkričio 24 d. raštu Komisija pranešė Latvijai turinti visą informaciją, kuri yra būtina prašymui įvertinti; </w:t>
      </w:r>
    </w:p>
    <w:p>
      <w:pPr>
        <w:pStyle w:val="ManualConsidrant"/>
        <w:rPr>
          <w:noProof/>
        </w:rPr>
      </w:pPr>
      <w:r>
        <w:t>(7)</w:t>
      </w:r>
      <w:r>
        <w:tab/>
      </w:r>
      <w:r>
        <w:rPr>
          <w:noProof/>
        </w:rPr>
        <w:t xml:space="preserve">remiantis Latvijos pateikta informacija, mobiliųjų telefonų, planšetinių ir nešiojamųjų kompiuterių ir integrinių grandynų prietaisų tiekimui pradėjus taikyti atvirkštinio apmokestinimo mechanizmą, žaidimų konsolių tiekimo sektoriuje išaugo sukčiavimas PVM. Tiekiant žaidimų konsoles atsiranda ypač didelė sukčiavimo PVM tikimybė, nes šie produktai yra palyginti maži, jų vertė palyginti didelė, o internetinė prekyba jais labai išplėtota. Remiantis Latvijos pateikta informacija, siekdama kovoti su sukčiavimu PVM, šalis nustatė keletą įprastų priemonių. Vis dėlto kad valstybės biudžetas neprarastų PVM pajamų, Latvija mano, kad žaidimų konsolių tiekimui reikia pradėti taikyti atvirkštinio apmokestinimo mechanizmą; </w:t>
      </w:r>
    </w:p>
    <w:p>
      <w:pPr>
        <w:pStyle w:val="ManualConsidrant"/>
        <w:rPr>
          <w:noProof/>
        </w:rPr>
      </w:pPr>
      <w:r>
        <w:t>(8)</w:t>
      </w:r>
      <w:r>
        <w:tab/>
      </w:r>
      <w:r>
        <w:rPr>
          <w:noProof/>
        </w:rPr>
        <w:t xml:space="preserve">todėl Latvijai turėtų būti leista ribotą laiką taikyti atvirkštinio apmokestinimo mechanizmą žaidimų konsolių tiekimui; </w:t>
      </w:r>
    </w:p>
    <w:p>
      <w:pPr>
        <w:pStyle w:val="ManualConsidrant"/>
        <w:rPr>
          <w:noProof/>
        </w:rPr>
      </w:pPr>
      <w:r>
        <w:t>(9)</w:t>
      </w:r>
      <w:r>
        <w:tab/>
      </w:r>
      <w:r>
        <w:rPr>
          <w:noProof/>
        </w:rPr>
        <w:t xml:space="preserve">nukrypti leidžianti nuostata neturi neigiamo poveikio Sąjungos nuosaviems ištekliams, gaunamiems iš PVM, </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 xml:space="preserve">Nukrypstant nuo Direktyvos 2006/112/EB 193 straipsnio, Latvijai leidžiama nustatyti, kad žaidimų konsolių tiekimo atveju PVM privalo sumokėti prekių gavėjas. </w:t>
      </w:r>
    </w:p>
    <w:p>
      <w:pPr>
        <w:pStyle w:val="Titrearticle"/>
        <w:rPr>
          <w:noProof/>
        </w:rPr>
      </w:pPr>
      <w:r>
        <w:rPr>
          <w:noProof/>
        </w:rPr>
        <w:t>2 straipsnis</w:t>
      </w:r>
    </w:p>
    <w:p>
      <w:pPr>
        <w:rPr>
          <w:noProof/>
        </w:rPr>
      </w:pPr>
      <w:r>
        <w:rPr>
          <w:noProof/>
        </w:rPr>
        <w:t>Šis sprendimas įsigalioja pranešimo apie jį dieną.</w:t>
      </w:r>
    </w:p>
    <w:p>
      <w:pPr>
        <w:rPr>
          <w:noProof/>
        </w:rPr>
      </w:pPr>
      <w:r>
        <w:rPr>
          <w:noProof/>
        </w:rPr>
        <w:t>Šis sprendimas baigia galioti 2018 m. gruodžio 31 d.</w:t>
      </w:r>
    </w:p>
    <w:p>
      <w:pPr>
        <w:pStyle w:val="Titrearticle"/>
        <w:rPr>
          <w:noProof/>
          <w:color w:val="000000" w:themeColor="text1"/>
        </w:rPr>
      </w:pPr>
      <w:r>
        <w:rPr>
          <w:noProof/>
        </w:rPr>
        <w:t>3 straipsnis</w:t>
      </w:r>
    </w:p>
    <w:p>
      <w:pPr>
        <w:keepNext/>
        <w:keepLines/>
        <w:rPr>
          <w:noProof/>
        </w:rPr>
      </w:pPr>
      <w:r>
        <w:rPr>
          <w:noProof/>
          <w:color w:val="000000"/>
        </w:rPr>
        <w:t>Šis sprendimas skirtas Latvijos Respublikai.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 xml:space="preserve">Žr. PVM komiteto pranešimų sąrašą: </w:t>
      </w:r>
      <w:hyperlink r:id="rId1">
        <w:r>
          <w:rPr>
            <w:rStyle w:val="Hyperlink"/>
          </w:rPr>
          <w:t>http://ec.europa.eu/taxation_customs/sites/taxation/files/resources/documents/taxation/vat/key_documents/vat_committee/notifications.pdf.</w:t>
        </w:r>
      </w:hyperlink>
    </w:p>
  </w:footnote>
  <w:footnote w:id="2">
    <w:p>
      <w:pPr>
        <w:pStyle w:val="FootnoteText"/>
      </w:pPr>
      <w:r>
        <w:rPr>
          <w:rStyle w:val="FootnoteReference"/>
        </w:rPr>
        <w:footnoteRef/>
      </w:r>
      <w:r>
        <w:tab/>
        <w:t>OL L 347, 2006 12 11,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066C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ACD7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12C3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483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2F250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A817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044CE0"/>
    <w:lvl w:ilvl="0">
      <w:start w:val="1"/>
      <w:numFmt w:val="decimal"/>
      <w:pStyle w:val="ListNumber"/>
      <w:lvlText w:val="%1."/>
      <w:lvlJc w:val="left"/>
      <w:pPr>
        <w:tabs>
          <w:tab w:val="num" w:pos="360"/>
        </w:tabs>
        <w:ind w:left="360" w:hanging="360"/>
      </w:pPr>
    </w:lvl>
  </w:abstractNum>
  <w:abstractNum w:abstractNumId="7">
    <w:nsid w:val="FFFFFF89"/>
    <w:multiLevelType w:val="singleLevel"/>
    <w:tmpl w:val="74AED8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2-08 17:19: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5332204-28D6-428C-9EAB-63C8E97A6D90"/>
    <w:docVar w:name="LW_COVERPAGE_TYPE" w:val="1"/>
    <w:docVar w:name="LW_CROSSREFERENCE" w:val="&lt;UNUSED&gt;"/>
    <w:docVar w:name="LW_DocType" w:val="COM"/>
    <w:docVar w:name="LW_EMISSION" w:val="2018 02 09"/>
    <w:docVar w:name="LW_EMISSION_ISODATE" w:val="2018-02-09"/>
    <w:docVar w:name="LW_EMISSION_LOCATION" w:val="BRX"/>
    <w:docVar w:name="LW_EMISSION_PREFIX" w:val="Briuselis,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24"/>
    <w:docVar w:name="LW_REF.II.NEW.CP_YEAR" w:val="2018"/>
    <w:docVar w:name="LW_REF.INST.NEW" w:val="COM"/>
    <w:docVar w:name="LW_REF.INST.NEW_ADOPTED" w:val="final"/>
    <w:docVar w:name="LW_REF.INST.NEW_TEXT" w:val="(2018)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uo Latvijos Respublikai leid\u382?iama nustatyti speciali\u261? priemon\u281?, kuria nukrypstama nuo Direktyvos 2006/112/EB d\u279?l prid\u279?tin\u279?s vert\u279?s mokes\u269?io bendros sistemos 193 straipsnio"/>
    <w:docVar w:name="LW_TYPE.DOC.CP" w:val="TARYBOS \u302?GYVENDINIMO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axation_customs/sites/taxation/files/resources/documents/taxation/vat/key_documents/vat_committee/notific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A676-DD64-44B9-937C-42B27B1E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1503</Words>
  <Characters>10568</Characters>
  <Application>Microsoft Office Word</Application>
  <DocSecurity>0</DocSecurity>
  <Lines>182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2018-01-11T10:44:00Z</cp:lastPrinted>
  <dcterms:created xsi:type="dcterms:W3CDTF">2018-02-01T15:25:00Z</dcterms:created>
  <dcterms:modified xsi:type="dcterms:W3CDTF">2018-02-08T16:19:00Z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