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AEF665-8A71-4BDC-8F72-A10D640FB32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ind w:left="1440" w:firstLine="720"/>
        <w:jc w:val="both"/>
        <w:rPr>
          <w:noProof/>
        </w:rPr>
      </w:pPr>
      <w:bookmarkStart w:id="0" w:name="_GoBack"/>
      <w:bookmarkEnd w:id="0"/>
      <w:r>
        <w:rPr>
          <w:noProof/>
        </w:rPr>
        <w:lastRenderedPageBreak/>
        <w:t>MOTIVERING</w:t>
      </w:r>
    </w:p>
    <w:p>
      <w:pPr>
        <w:pBdr>
          <w:top w:val="nil"/>
          <w:left w:val="nil"/>
          <w:bottom w:val="nil"/>
          <w:right w:val="nil"/>
          <w:between w:val="nil"/>
          <w:bar w:val="nil"/>
        </w:pBdr>
        <w:spacing w:before="0" w:after="240"/>
        <w:rPr>
          <w:rFonts w:eastAsia="Arial Unicode MS"/>
          <w:noProof/>
        </w:rPr>
      </w:pPr>
      <w:r>
        <w:rPr>
          <w:noProof/>
        </w:rPr>
        <w:t xml:space="preserve">Enligt artikel 395.1 i direktiv 2006/112/EG av den 28 november 2006 om ett gemensamt system för mervärdesskatt (nedan kallat </w:t>
      </w:r>
      <w:r>
        <w:rPr>
          <w:i/>
          <w:noProof/>
        </w:rPr>
        <w:t>mervärdesskattedirektivet</w:t>
      </w:r>
      <w:r>
        <w:rPr>
          <w:noProof/>
        </w:rPr>
        <w:t>) får rådet enhälligt på kommissionens förslag bemyndiga varje medlemsstat att genomföra särskilda åtgärder som avviker från bestämmelserna i det direktivet, för att förenkla uppbörden av skatt eller för att förhindra vissa slag av skatteundandragande eller skatteflykt.</w:t>
      </w:r>
    </w:p>
    <w:p>
      <w:pPr>
        <w:pBdr>
          <w:top w:val="nil"/>
          <w:left w:val="nil"/>
          <w:bottom w:val="nil"/>
          <w:right w:val="nil"/>
          <w:between w:val="nil"/>
          <w:bar w:val="nil"/>
        </w:pBdr>
        <w:spacing w:before="0" w:after="240"/>
        <w:rPr>
          <w:noProof/>
          <w:color w:val="008000"/>
        </w:rPr>
      </w:pPr>
      <w:r>
        <w:rPr>
          <w:noProof/>
        </w:rPr>
        <w:t>Genom en skrivelse som registrerades hos kommissionen den 15 november 2017 har Lettland ansökt om en avvikelse från artikel 193 i mervärdesskattedirektivet för att kunna tillämpa förfarandet för omvänd betalningsskyldighet på leveranser av spelkonsoler. Genom en skrivelse av den 23 november 2017 underrättade kommissionen, i enlighet med artikel 395.2 i mervärdesskattedirektivet, övriga medlemsstater om Lettlands ansökan. Genom en skrivelse av den 24 november 2017 underrättade kommissionen Lettland om att den hade alla nödvändiga uppgifter för att kunna behandla ansökan.</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rFonts w:eastAsia="Arial Unicode MS"/>
          <w:noProof/>
        </w:rPr>
      </w:pPr>
      <w:r>
        <w:rPr>
          <w:noProof/>
        </w:rPr>
        <w:t>Enligt artikel 193 i mervärdesskattedirektivet är en beskattningsbar person som levererar varor eller tillhandahåller tjänster normalt sett skyldig att betala mervärdesskatt.</w:t>
      </w:r>
    </w:p>
    <w:p>
      <w:pPr>
        <w:rPr>
          <w:noProof/>
        </w:rPr>
      </w:pPr>
      <w:r>
        <w:rPr>
          <w:noProof/>
        </w:rPr>
        <w:t xml:space="preserve">Enligt artikel 199a.1 i mervärdesskattedirektivet får medlemsstaterna föreskriva att den person som är betalningsskyldig för mervärdesskatt på de leveranser som förtecknas i den artikeln ska vara den beskattningsbara person åt vilken leveransen görs (nedan kallat </w:t>
      </w:r>
      <w:r>
        <w:rPr>
          <w:i/>
          <w:noProof/>
        </w:rPr>
        <w:t>förfarandet för omvänd betalningsskyldighet</w:t>
      </w:r>
      <w:r>
        <w:rPr>
          <w:noProof/>
        </w:rPr>
        <w:t xml:space="preserve">). Enligt detta förfarande är den beskattningsbara person som tar emot leveransen skyldig att betala mervärdesskatt. Om denna beskattningsbara person har full avdragsrätt kommer denna person att samtidigt deklarera och dra av mervärdesskatt för leveransen, vilket i praktiken leder till att ingen mervärdesskatt betalas till staten. Leveranser av spelkonsoler ingår i artikel 199a.1 h. </w:t>
      </w:r>
    </w:p>
    <w:p>
      <w:pPr>
        <w:pBdr>
          <w:top w:val="nil"/>
          <w:left w:val="nil"/>
          <w:bottom w:val="nil"/>
          <w:right w:val="nil"/>
          <w:between w:val="nil"/>
          <w:bar w:val="nil"/>
        </w:pBdr>
        <w:spacing w:before="0" w:after="240"/>
        <w:rPr>
          <w:rFonts w:eastAsia="Arial Unicode MS"/>
          <w:noProof/>
        </w:rPr>
      </w:pPr>
      <w:r>
        <w:rPr>
          <w:noProof/>
        </w:rPr>
        <w:t xml:space="preserve">Lettland har inte utnyttjat alternativet i artikel 199a.1 h i mervärdesskattedirektivet och tillämpar inte förfarandet för omvänd betalningsskyldighet på leveranser av spelkonsoler. Till följd av de nyligen upptäckta bedrägerierna inom spelkonsolsektorn i Lettland önskar medlemsstaten införa förfarandet för omvänd betalningsskyldighet för inhemska leveranser av spelkonsoler. </w:t>
      </w:r>
    </w:p>
    <w:p>
      <w:pPr>
        <w:rPr>
          <w:noProof/>
        </w:rPr>
      </w:pPr>
      <w:r>
        <w:rPr>
          <w:noProof/>
        </w:rPr>
        <w:t xml:space="preserve">Enligt artikel 199a.1 i mervärdesskattedirektivet får förfarandet för omvänd betalningsskyldighet tillämpas till och med den 31 december 2018 och under minst två år. Eftersom villkoret om en period på minst två år inte är uppfyllt kan inte Lettland tillämpa förfarandet för omvänd betalningsskyldighet på grundval av artikel 199a.1. </w:t>
      </w:r>
    </w:p>
    <w:p>
      <w:pPr>
        <w:rPr>
          <w:noProof/>
        </w:rPr>
      </w:pPr>
      <w:r>
        <w:rPr>
          <w:noProof/>
        </w:rPr>
        <w:t xml:space="preserve">Lettland begär därför en avvikelse från artikel 193 i mervärdesskattedirektivet för att bemyndigas att tillämpa förfarandet för omvänd betalningsskyldighet på leveranser av spelkonsoler på grundval av artikel 395 i mervärdesskattedirektivet. </w:t>
      </w:r>
    </w:p>
    <w:p>
      <w:pPr>
        <w:rPr>
          <w:noProof/>
        </w:rPr>
      </w:pPr>
      <w:r>
        <w:rPr>
          <w:noProof/>
        </w:rPr>
        <w:t xml:space="preserve">Syftet med ansökan om avvikelse är att förhindra mervärdesskattebedrägeri inom spelkonsolsektorn. På grundval av de alternativ som anges i artikel 199a.1 c, d och h tillämpar Lettland sedan den 1 april 2016 förfarandet för omvänd betalningsskyldighet för mervärdesskatt på leveranser av mobiltelefoner, pekplattor, bärbara datorer och integrerade kretsanordningar. Det har fastställts att efter införandet av förfarandet för omvänd betalningsskyldighet ökade mervärdesskattebedrägerierna i samband med leveranser av spelkonsoler. Dessa produkter är känsliga för bedrägeri, eftersom de storleksmässigt är </w:t>
      </w:r>
      <w:r>
        <w:rPr>
          <w:noProof/>
        </w:rPr>
        <w:lastRenderedPageBreak/>
        <w:t>relativt små och har ett relativt högt värde, samt att det finns en välutvecklad handel på internet med dem.</w:t>
      </w:r>
    </w:p>
    <w:p>
      <w:pPr>
        <w:spacing w:after="240"/>
        <w:rPr>
          <w:noProof/>
        </w:rPr>
      </w:pPr>
      <w:r>
        <w:rPr>
          <w:noProof/>
        </w:rPr>
        <w:t xml:space="preserve">Lettland uppger att revisioner av spelkonsolsektorn har utförts. Under 2017 konstaterades det att det fanns 14 skalbolag som bedrev verksamhet inom spelkonsolsektorn, vilket motsvarar 6,4 % av alla företag inom denna sektor. Under 2016 hade åtta av de 219 registrerade beskattningsbara personer som är verksamma inom spelkonsolsektorn deklarerat mervärdesskatt såsom ingående skatt för transaktioner med andra beskattningsbara personer klassificerade som skalbolag (3,7 % av det totala antalet personer som är mervärdesskatteregistrerade). För att förebygga att ekonomiska aktörer ägnar sig åt bedrägerier använder sig den lettiska skattemyndigheten av möjligheten att utesluta dem från sitt register över personer som omfattas av mervärdesskatt. Under 2017 ökade antalet beskattningsbara personer som är verksamma inom denna sektor och som uteslutits från den lettiska skattemyndighetens mervärdesskatteregister betydligt. Under de första åtta månaderna av året har 16 beskattningsbara personer verksamma inom sektorn uteslutits ur registret, vilket redan utgör 88,9 % av det totala antalet som uteslöts under 2016 (18 beskattningsbara personer). </w:t>
      </w:r>
    </w:p>
    <w:p>
      <w:pPr>
        <w:rPr>
          <w:noProof/>
        </w:rPr>
      </w:pPr>
      <w:r>
        <w:rPr>
          <w:noProof/>
        </w:rPr>
        <w:t xml:space="preserve">Enligt den information som Lettland lämnat håller landet på att vidta ett antal åtgärder för att minska och bekämpa mervärdesskattebedrägeri. Exempelvis har kassaregister varit föremål för nya krav som syftar till att helt eliminera strykningen av registrerade transaktioner, en detaljerad uppdelning av transaktionerna måste anges i mervärdesskattedeklarationen, särskild uppmärksamhet ges även åt att förbättra rutinkontroller och administrativa åtgärder och en skyldighet har införts för kreditinstitut och andra enheter att informera den lettiska skattemyndigheten om misstänkta transaktioner. Användningen av elektronisk fakturering övervägs också. Trots alla dessa åtgärder anser dock Lettland det nödvändigt att införa förfarandet för omvänd betalningsskyldighet för leveranser av spelkonsoler för att förhindra uteblivna mervärdesskatteintäkter till den offentliga budgeten. </w:t>
      </w:r>
    </w:p>
    <w:p>
      <w:pPr>
        <w:rPr>
          <w:noProof/>
        </w:rPr>
      </w:pPr>
      <w:r>
        <w:rPr>
          <w:noProof/>
        </w:rPr>
        <w:t xml:space="preserve">Leveranser av spelkonsoler anses vara utsatta för bedrägerier och ingår i artikel 199a.1 h i mervärdesskattedirektivet tillsammas med pekdatorer och bärbara datorer.  Om villkoret gällande minimiperioden för tillämpning är uppfyllt skulle Lettland kunna åberopa den sistnämnda artikeln för tillämpningen av förfarandet för omvänd betalningsskyldighet. </w:t>
      </w:r>
    </w:p>
    <w:p>
      <w:pPr>
        <w:rPr>
          <w:noProof/>
        </w:rPr>
      </w:pPr>
      <w:r>
        <w:rPr>
          <w:noProof/>
        </w:rPr>
        <w:t xml:space="preserve">Det föreslås därför att avvikelsen bemyndigas under giltighetstiden för artikel 199a i mervärdesskattedirektivet. Avvikelsen föreslås följaktligen gälla fram till den 31 december 2018, dvs. det datum då artikel 199a i mervärdesskattedirektivet upphör att gälla.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På grundval av artikel 199a.1 h i mervärdesskattedirektivet får förfarandet för omvänd betalningsskyldighet tillämpas på leveranser av spelkonsoler. Ett antal medlemsstater tillämpar förfarandet för omvänd betalningsskyldighet genom hänvisning till denna bestämmelse</w:t>
      </w:r>
      <w:r>
        <w:rPr>
          <w:rStyle w:val="FootnoteReference"/>
          <w:noProof/>
        </w:rPr>
        <w:footnoteReference w:id="1"/>
      </w:r>
      <w:r>
        <w:rPr>
          <w:noProof/>
        </w:rPr>
        <w:t xml:space="preserve">. Om villkoret för den minsta perioden på två år är uppfyllt skulle Lettland kunna tillämpa förfarandet för omvänd betalningsskyldighet på leveranser av spelkonsoler, utan att begära någon avvikelse på grundval av artikel 395 i mervärdesskattedirektivet.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Den föreslagna åtgärden är därför förenlig med de befintliga bestämmelserna i mervärdesskattedirektivet. </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Artikel 395 i mervärdesskattedirektivet.</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rPr>
      </w:pPr>
      <w:r>
        <w:rPr>
          <w:noProof/>
        </w:rPr>
        <w:t>Mot bakgrund av den bestämmelse i mervärdesskattedirektivet som ligger till grund för förslaget är subsidiaritetsprincipen inte tillämplig.</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Beslutet avser ett bemyndigande som beviljats en medlemsstat på dess egen begäran och utgör därför ingen förpliktelse.</w:t>
      </w:r>
    </w:p>
    <w:p>
      <w:pPr>
        <w:rPr>
          <w:noProof/>
        </w:rPr>
      </w:pPr>
      <w:r>
        <w:rPr>
          <w:noProof/>
        </w:rPr>
        <w:t xml:space="preserve">På grund av avvikelsens begränsade tillämpningsområde står den särskilda åtgärden i proportion till det mål som eftersträvas, nämligen att förhindra vissa slag av skatteundandragande eller skatteflykt inom en specifik sektor. </w:t>
      </w:r>
    </w:p>
    <w:p>
      <w:pPr>
        <w:pStyle w:val="ManualHeading2"/>
        <w:rPr>
          <w:rFonts w:eastAsia="Arial Unicode MS"/>
          <w:noProof/>
          <w:u w:color="000000"/>
          <w:bdr w:val="nil"/>
        </w:rPr>
      </w:pPr>
      <w:r>
        <w:rPr>
          <w:noProof/>
        </w:rPr>
        <w:t>•</w:t>
      </w:r>
      <w:r>
        <w:rPr>
          <w:noProof/>
        </w:rPr>
        <w:tab/>
        <w:t>Val av instrument</w:t>
      </w:r>
    </w:p>
    <w:p>
      <w:pPr>
        <w:rPr>
          <w:noProof/>
        </w:rPr>
      </w:pPr>
      <w:r>
        <w:rPr>
          <w:noProof/>
        </w:rPr>
        <w:t>Enligt artikel 395 i mervärdesskattedirektivet är en avvikelse från de gemensamma mervärdesskattereglerna endast möjlig om rådet på kommissionens förslag ger ett enhälligt bemyndigande. Ett rådsbeslut är också det lämpligaste instrumentet, eftersom det kan riktas till enskilda medlemsstater.</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Detta förslag grundas på en ansökan från Lettland och berör bara denna medlemsstat.</w:t>
      </w:r>
    </w:p>
    <w:p>
      <w:pPr>
        <w:pStyle w:val="ManualHeading2"/>
        <w:rPr>
          <w:rFonts w:eastAsia="Arial Unicode MS"/>
          <w:noProof/>
          <w:u w:color="000000"/>
          <w:bdr w:val="nil"/>
        </w:rPr>
      </w:pPr>
      <w:r>
        <w:rPr>
          <w:noProof/>
        </w:rPr>
        <w:t>•</w:t>
      </w:r>
      <w:r>
        <w:rPr>
          <w:noProof/>
        </w:rPr>
        <w:tab/>
        <w:t>Insamling och användning av sakkunnigutlåtanden</w:t>
      </w:r>
    </w:p>
    <w:p>
      <w:pPr>
        <w:rPr>
          <w:noProof/>
        </w:rPr>
      </w:pPr>
      <w:r>
        <w:rPr>
          <w:noProof/>
        </w:rPr>
        <w:t>Någon extern hjälp från sakkunniga har inte behövts.</w:t>
      </w:r>
    </w:p>
    <w:p>
      <w:pPr>
        <w:pStyle w:val="ManualHeading2"/>
        <w:rPr>
          <w:rFonts w:eastAsia="Arial Unicode MS"/>
          <w:noProof/>
          <w:u w:color="000000"/>
          <w:bdr w:val="nil"/>
        </w:rPr>
      </w:pPr>
      <w:r>
        <w:rPr>
          <w:noProof/>
        </w:rPr>
        <w:t>•</w:t>
      </w:r>
      <w:r>
        <w:rPr>
          <w:noProof/>
        </w:rPr>
        <w:tab/>
        <w:t>Konsekvensbedömning</w:t>
      </w:r>
    </w:p>
    <w:p>
      <w:pPr>
        <w:rPr>
          <w:noProof/>
        </w:rPr>
      </w:pPr>
      <w:r>
        <w:rPr>
          <w:noProof/>
        </w:rPr>
        <w:t xml:space="preserve">Förslaget till genomförandebeslut syftar till att förhindra vissa former av skatteundandragande eller skatteflykt inom spelkonsolsektorn. Förfarandet för omvänd betalningsskyldighet bör hjälpa Lettland att hindra ytterligare spridning av mervärdesskattebedrägeri genom leveranser av spelkonsoler. Avvikelsen kommer således att kunna få positiva konsekvenser. </w:t>
      </w:r>
    </w:p>
    <w:p>
      <w:pPr>
        <w:rPr>
          <w:noProof/>
        </w:rPr>
      </w:pPr>
      <w:r>
        <w:rPr>
          <w:noProof/>
        </w:rPr>
        <w:t>På grund av avvikelsens snäva tillämpningsområde och den begränsade tillämpningsperioden kommer konsekvenserna under alla omständigheter att bli begränsade.</w:t>
      </w:r>
    </w:p>
    <w:p>
      <w:pPr>
        <w:pStyle w:val="ManualHeading1"/>
        <w:rPr>
          <w:noProof/>
        </w:rPr>
      </w:pPr>
      <w:r>
        <w:rPr>
          <w:noProof/>
        </w:rPr>
        <w:t>4.</w:t>
      </w:r>
      <w:r>
        <w:rPr>
          <w:noProof/>
        </w:rPr>
        <w:tab/>
        <w:t>BUDGETKONSEKVENSER</w:t>
      </w:r>
    </w:p>
    <w:p>
      <w:pPr>
        <w:rPr>
          <w:noProof/>
        </w:rPr>
      </w:pPr>
      <w:r>
        <w:rPr>
          <w:noProof/>
        </w:rPr>
        <w:t xml:space="preserve">Förslaget påverkar inte EU-budgeten negativt. </w:t>
      </w:r>
    </w:p>
    <w:p>
      <w:pPr>
        <w:pStyle w:val="ManualHeading1"/>
        <w:rPr>
          <w:noProof/>
        </w:rPr>
      </w:pPr>
      <w:r>
        <w:rPr>
          <w:noProof/>
        </w:rPr>
        <w:t>5.</w:t>
      </w:r>
      <w:r>
        <w:rPr>
          <w:noProof/>
        </w:rPr>
        <w:tab/>
        <w:t>ÖVRIGA INSLAG</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Förslaget innehåller en bestämmelse om tidsbegränsning fastställd till den 31 december 2018.</w:t>
      </w:r>
    </w:p>
    <w:p>
      <w:pPr>
        <w:pStyle w:val="Rfrenceinterinstitutionnelle"/>
        <w:rPr>
          <w:noProof/>
        </w:rPr>
      </w:pPr>
      <w:r>
        <w:rPr>
          <w:noProof/>
        </w:rPr>
        <w:lastRenderedPageBreak/>
        <w:t>2018/0024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bemyndigande för Republiken Lettland att införa en särskild åtgärd som avviker från artikel 193 i rådets direktiv 2006/112/EG om ett gemensamt system för mervärdesskatt</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w:t>
      </w:r>
    </w:p>
    <w:p>
      <w:pPr>
        <w:spacing w:before="0" w:after="0"/>
        <w:jc w:val="left"/>
        <w:rPr>
          <w:noProof/>
          <w:szCs w:val="24"/>
        </w:rPr>
      </w:pPr>
      <w:r>
        <w:rPr>
          <w:noProof/>
        </w:rPr>
        <w:t>med beaktande av rådets direktiv 2006/112/EG av den 28 november 2006 om ett gemensamt system för mervärdesskatt</w:t>
      </w:r>
      <w:r>
        <w:rPr>
          <w:rStyle w:val="FootnoteReference"/>
          <w:noProof/>
        </w:rPr>
        <w:footnoteReference w:id="2"/>
      </w:r>
      <w:r>
        <w:rPr>
          <w:noProof/>
        </w:rPr>
        <w:t xml:space="preserve">, </w:t>
      </w:r>
    </w:p>
    <w:p>
      <w:pPr>
        <w:rPr>
          <w:noProof/>
        </w:rPr>
      </w:pPr>
      <w:r>
        <w:rPr>
          <w:noProof/>
        </w:rPr>
        <w:t xml:space="preserve">särskilt artikel 395.1, </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Enligt artikel 193 i direktiv 2006/112/EG ska varje beskattningsbar person som utför en beskattningsbar leverans av varor eller ett beskattningsbart tillhandahållande av tjänster normalt sett betala mervärdesskatt till skattemyndigheterna.</w:t>
      </w:r>
    </w:p>
    <w:p>
      <w:pPr>
        <w:pStyle w:val="ManualConsidrant"/>
        <w:rPr>
          <w:noProof/>
        </w:rPr>
      </w:pPr>
      <w:r>
        <w:t>(2)</w:t>
      </w:r>
      <w:r>
        <w:tab/>
      </w:r>
      <w:r>
        <w:rPr>
          <w:noProof/>
        </w:rPr>
        <w:t xml:space="preserve">Enligt artikel 199a.1 h i direktiv 2006/112/EG får medlemsstaterna föreskriva att den person som är skyldig att betala mervärdesskatt för leveranser av spelkonsoler är den beskattningsbara person till vilken leveransen görs (nedan kallat </w:t>
      </w:r>
      <w:r>
        <w:rPr>
          <w:i/>
          <w:noProof/>
        </w:rPr>
        <w:t>förfarande för omvänd betalningsskyldighet</w:t>
      </w:r>
      <w:r>
        <w:rPr>
          <w:noProof/>
        </w:rPr>
        <w:t>). Lettland använder sig inte av denna möjlighet, även om landet tillämpar förfarandet för omvänd betalningsskyldighet för leveranser av pekdatorer och bärbara datorer på grundval av artikel 199a.1 h i det direktivet.</w:t>
      </w:r>
    </w:p>
    <w:p>
      <w:pPr>
        <w:pStyle w:val="ManualConsidrant"/>
        <w:rPr>
          <w:noProof/>
        </w:rPr>
      </w:pPr>
      <w:r>
        <w:t>(3)</w:t>
      </w:r>
      <w:r>
        <w:tab/>
      </w:r>
      <w:r>
        <w:rPr>
          <w:noProof/>
        </w:rPr>
        <w:t xml:space="preserve">Till följd av ökningen av bedrägerier inom spelkonsolsektorn i Lettland, önskar denna medlemsstat införa förfarandet för omvänd betalningsskyldighet för inhemska leveranser av spelkonsoler. </w:t>
      </w:r>
    </w:p>
    <w:p>
      <w:pPr>
        <w:pStyle w:val="ManualConsidrant"/>
        <w:rPr>
          <w:noProof/>
        </w:rPr>
      </w:pPr>
      <w:r>
        <w:t>(4)</w:t>
      </w:r>
      <w:r>
        <w:tab/>
      </w:r>
      <w:r>
        <w:rPr>
          <w:noProof/>
        </w:rPr>
        <w:t xml:space="preserve">Enligt artikel 199a.1 i direktiv 2006/112/EG, får förfarandet för omvänd betalningsskyldighet tillämpas till och med den 31 december 2018 och under en period på minst två år. Eftersom villkoret om en minsta period på två år inte är uppfyllt kan inte Lettland tillämpa förfarandet för omvänd betalningsskyldighet på grundval av artikel 199a.1 h i direktiv 2006/112/EG. </w:t>
      </w:r>
    </w:p>
    <w:p>
      <w:pPr>
        <w:pStyle w:val="ManualConsidrant"/>
        <w:rPr>
          <w:noProof/>
        </w:rPr>
      </w:pPr>
      <w:r>
        <w:t>(5)</w:t>
      </w:r>
      <w:r>
        <w:tab/>
      </w:r>
      <w:r>
        <w:rPr>
          <w:noProof/>
        </w:rPr>
        <w:t xml:space="preserve">Genom en skrivelse som registrerades hos kommissionen den 15 november 2017 har Lettland begärt bemyndigande att få tillämpa en åtgärd som avviker från artikel 193 i det direktivet, i syfte att göra mottagaren skyldig att betala mervärdesskatt för leverans av spelkonsoler. </w:t>
      </w:r>
    </w:p>
    <w:p>
      <w:pPr>
        <w:pStyle w:val="ManualConsidrant"/>
        <w:rPr>
          <w:noProof/>
        </w:rPr>
      </w:pPr>
      <w:r>
        <w:t>(6)</w:t>
      </w:r>
      <w:r>
        <w:tab/>
      </w:r>
      <w:r>
        <w:rPr>
          <w:noProof/>
        </w:rPr>
        <w:t xml:space="preserve">I enlighet med artikel 395.2 i direktiv 2006/112/EG underrättade kommissionen, genom en skrivelse av den 23 november 2017, övriga medlemsstater om Lettlands ansökan. Genom en skrivelse av den 24 november 2017 underrättade kommissionen Lettland om att den hade alla nödvändiga uppgifter för att kunna behandla ansökan. </w:t>
      </w:r>
    </w:p>
    <w:p>
      <w:pPr>
        <w:pStyle w:val="ManualConsidrant"/>
        <w:rPr>
          <w:noProof/>
        </w:rPr>
      </w:pPr>
      <w:r>
        <w:lastRenderedPageBreak/>
        <w:t>(7)</w:t>
      </w:r>
      <w:r>
        <w:tab/>
      </w:r>
      <w:r>
        <w:rPr>
          <w:noProof/>
        </w:rPr>
        <w:t xml:space="preserve">Enligt den information som lämnats av Lettland ökade mervärdesskattebedrägerierna när det gäller leveranser av spelkonsoler efter införandet av förfarandet för omvänd betalningsskyldighet för leveranser av mobiltelefoner, pekdatorer, bärbara datorer och integrerade kretsanordningar. Spelkonsoler är särskilt utsatta för mervärdesskattebedrägeri, eftersom de storleksmässigt är relativt små och har ett relativt högt värde, samt att det finns en väl utvecklad marknad på internet för dem. På grundval av den information som Lettland lämnat har landet infört ett antal konventionella åtgärder för att bekämpa mervärdesskattebedrägerierna. Trots dessa åtgärder anser dock Lettland det nödvändigt att införa förfarandet för omvänd betalningsskyldighet för leveranser av spelkonsoler för att förhindra uteblivna mervärdesskatteintäkter till den offentliga budgeten. </w:t>
      </w:r>
    </w:p>
    <w:p>
      <w:pPr>
        <w:pStyle w:val="ManualConsidrant"/>
        <w:rPr>
          <w:noProof/>
        </w:rPr>
      </w:pPr>
      <w:r>
        <w:t>(8)</w:t>
      </w:r>
      <w:r>
        <w:tab/>
      </w:r>
      <w:r>
        <w:rPr>
          <w:noProof/>
        </w:rPr>
        <w:t xml:space="preserve">Lettland bör därför bemyndigas att tillämpa förfarandet för omvänd betalningsskyldighet på leveranser av spelkonsoler under en begränsad period. </w:t>
      </w:r>
    </w:p>
    <w:p>
      <w:pPr>
        <w:pStyle w:val="ManualConsidrant"/>
        <w:rPr>
          <w:noProof/>
        </w:rPr>
      </w:pPr>
      <w:r>
        <w:t>(9)</w:t>
      </w:r>
      <w:r>
        <w:tab/>
      </w:r>
      <w:r>
        <w:rPr>
          <w:noProof/>
        </w:rPr>
        <w:t xml:space="preserve">Avvikelsen har ingen negativ inverkan på de delar av unionens egna medel som härrör från mervärdesskatt. </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 xml:space="preserve">Genom avvikelse från artikel 193 i direktiv 2006/112/EG bemyndigas Lettland att utse mottagaren av leveransen som den person som är skyldig att betala mervärdesskatt för leverans av spelkonsoler. </w:t>
      </w:r>
    </w:p>
    <w:p>
      <w:pPr>
        <w:pStyle w:val="Titrearticle"/>
        <w:rPr>
          <w:noProof/>
        </w:rPr>
      </w:pPr>
      <w:r>
        <w:rPr>
          <w:noProof/>
        </w:rPr>
        <w:t>Artikel 2</w:t>
      </w:r>
    </w:p>
    <w:p>
      <w:pPr>
        <w:rPr>
          <w:noProof/>
        </w:rPr>
      </w:pPr>
      <w:r>
        <w:rPr>
          <w:noProof/>
        </w:rPr>
        <w:t>Detta beslut får verkan samma dag som det delges.</w:t>
      </w:r>
    </w:p>
    <w:p>
      <w:pPr>
        <w:rPr>
          <w:noProof/>
        </w:rPr>
      </w:pPr>
      <w:r>
        <w:rPr>
          <w:noProof/>
        </w:rPr>
        <w:t>Detta beslut upphör att gälla den 31 december 2018.</w:t>
      </w:r>
    </w:p>
    <w:p>
      <w:pPr>
        <w:pStyle w:val="Titrearticle"/>
        <w:rPr>
          <w:noProof/>
          <w:color w:val="000000" w:themeColor="text1"/>
        </w:rPr>
      </w:pPr>
      <w:r>
        <w:rPr>
          <w:noProof/>
        </w:rPr>
        <w:t>Artikel 3</w:t>
      </w:r>
    </w:p>
    <w:p>
      <w:pPr>
        <w:keepNext/>
        <w:keepLines/>
        <w:rPr>
          <w:noProof/>
        </w:rPr>
      </w:pPr>
      <w:r>
        <w:rPr>
          <w:noProof/>
          <w:color w:val="000000"/>
        </w:rPr>
        <w:t>Detta beslut riktar sig till Republiken Lettland.</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 xml:space="preserve">Se mervärdesskattekommitténs förteckning över anmälningar: </w:t>
      </w:r>
      <w:hyperlink r:id="rId1">
        <w:r>
          <w:rPr>
            <w:rStyle w:val="Hyperlink"/>
          </w:rPr>
          <w:t>http://ec.europa.eu/taxation_customs/sites/taxation/files/resources/documents/taxation/vat/key_documents/vat_committee/notifications.pdf</w:t>
        </w:r>
      </w:hyperlink>
    </w:p>
  </w:footnote>
  <w:footnote w:id="2">
    <w:p>
      <w:pPr>
        <w:pStyle w:val="FootnoteText"/>
      </w:pPr>
      <w:r>
        <w:rPr>
          <w:rStyle w:val="FootnoteReference"/>
        </w:rPr>
        <w:footnoteRef/>
      </w:r>
      <w:r>
        <w:tab/>
        <w:t>EUT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66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ACD7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12C3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8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F250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A817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044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4AED8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08 17:21: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AEF665-8A71-4BDC-8F72-A10D640FB328"/>
    <w:docVar w:name="LW_COVERPAGE_TYPE" w:val="1"/>
    <w:docVar w:name="LW_CROSSREFERENCE" w:val="&lt;UNUSED&gt;"/>
    <w:docVar w:name="LW_DocType" w:val="COM"/>
    <w:docVar w:name="LW_EMISSION" w:val="9.2.2018"/>
    <w:docVar w:name="LW_EMISSION_ISODATE" w:val="2018-02-09"/>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24"/>
    <w:docVar w:name="LW_REF.II.NEW.CP_YEAR" w:val="2018"/>
    <w:docVar w:name="LW_REF.INST.NEW" w:val="COM"/>
    <w:docVar w:name="LW_REF.INST.NEW_ADOPTED" w:val="final"/>
    <w:docVar w:name="LW_REF.INST.NEW_TEXT" w:val="(2018)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bemyndigande för Republiken Lettland att införa en särskild åtgärd som avviker från artikel 193 i rådets direktiv 2006/112/EG om ett gemensamt system för mervärdesskatt"/>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sites/taxation/files/resources/documents/taxation/vat/key_documents/vat_committee/notif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E54F-4C6E-4DF9-A0F6-20F131B4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1714</Words>
  <Characters>11332</Characters>
  <Application>Microsoft Office Word</Application>
  <DocSecurity>0</DocSecurity>
  <Lines>192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2018-01-11T10:44:00Z</cp:lastPrinted>
  <dcterms:created xsi:type="dcterms:W3CDTF">2018-02-01T16:49:00Z</dcterms:created>
  <dcterms:modified xsi:type="dcterms:W3CDTF">2018-02-08T16:21:00Z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