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63" w:rsidRDefault="00BD3A32" w:rsidP="00BD3A32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112C6887-BCA6-47C7-B0A0-6D698000E697" style="width:450.35pt;height:512.15pt">
            <v:imagedata r:id="rId12" o:title=""/>
          </v:shape>
        </w:pict>
      </w:r>
    </w:p>
    <w:bookmarkEnd w:id="0"/>
    <w:p w:rsidR="00BB5F63" w:rsidRDefault="00BB5F63">
      <w:pPr>
        <w:rPr>
          <w:noProof/>
        </w:rPr>
        <w:sectPr w:rsidR="00BB5F63" w:rsidSect="00BD3A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BB5F63" w:rsidRDefault="00BB5F63">
      <w:pPr>
        <w:rPr>
          <w:noProof/>
        </w:rPr>
      </w:pPr>
      <w:bookmarkStart w:id="1" w:name="_GoBack"/>
      <w:bookmarkEnd w:id="1"/>
    </w:p>
    <w:tbl>
      <w:tblPr>
        <w:tblStyle w:val="TableGrid"/>
        <w:tblW w:w="10188" w:type="dxa"/>
        <w:tblInd w:w="-459" w:type="dxa"/>
        <w:tblLook w:val="01E0" w:firstRow="1" w:lastRow="1" w:firstColumn="1" w:lastColumn="1" w:noHBand="0" w:noVBand="0"/>
      </w:tblPr>
      <w:tblGrid>
        <w:gridCol w:w="10188"/>
      </w:tblGrid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BB5F63" w:rsidRDefault="00BD3A32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Kommenteeritud kokkuvõte</w:t>
            </w:r>
          </w:p>
        </w:tc>
      </w:tr>
      <w:tr w:rsidR="00BB5F63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B5F63" w:rsidRDefault="00BD3A32">
            <w:pPr>
              <w:spacing w:before="120" w:after="120"/>
              <w:jc w:val="both"/>
              <w:rPr>
                <w:rFonts w:ascii="Tahoma" w:hAnsi="Tahoma" w:cs="Tahoma"/>
                <w:noProof/>
                <w:color w:val="EBE9EA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EBE9EA" w:themeColor="background1"/>
                <w:sz w:val="20"/>
              </w:rPr>
              <w:t xml:space="preserve">Investeerimisfondide piiriülesel turustamisel esinevate tõkete vähendamise algatusest tekkiva mõju hindamine 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BB5F63" w:rsidRDefault="00BD3A32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 xml:space="preserve">A. Vajadus </w:t>
            </w:r>
            <w:r>
              <w:rPr>
                <w:rFonts w:ascii="Tahoma" w:hAnsi="Tahoma"/>
                <w:b/>
                <w:noProof/>
                <w:sz w:val="22"/>
              </w:rPr>
              <w:t>meetmete järele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:rsidR="00BB5F63" w:rsidRDefault="00BD3A32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Miks? Mis on lahendamist vajav probleem?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B5F63" w:rsidRDefault="00BB5F63">
            <w:pPr>
              <w:jc w:val="both"/>
              <w:rPr>
                <w:noProof/>
              </w:rPr>
            </w:pPr>
          </w:p>
          <w:p w:rsidR="00BB5F63" w:rsidRDefault="00BD3A32"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Euroopa õigusaktid lubavad varahalduritel saada oma investeerimisfondide jaoks üleeuroopaline tegevusluba, et luua investeerimisfondide ühtne turg. Kuigi ELi investeerimisfondide piiriülene </w:t>
            </w:r>
            <w:r>
              <w:rPr>
                <w:rFonts w:ascii="Arial" w:hAnsi="Arial"/>
                <w:noProof/>
                <w:sz w:val="20"/>
              </w:rPr>
              <w:t>turustamine on suurenenud, korraldatakse ELi investeerimisfondide turgu siiani peamiselt riigipiiride alusel: 70 % kõigist investeerimisfondide valitsetavatest varadest on registreeritud müügiks ainult siseturul</w:t>
            </w:r>
            <w:r>
              <w:rPr>
                <w:rStyle w:val="FootnoteReference"/>
                <w:rFonts w:ascii="Arial" w:hAnsi="Arial"/>
                <w:noProof/>
                <w:sz w:val="20"/>
              </w:rPr>
              <w:footnoteReference w:id="1"/>
            </w:r>
            <w:r>
              <w:rPr>
                <w:rFonts w:ascii="Arial" w:hAnsi="Arial"/>
                <w:noProof/>
                <w:sz w:val="20"/>
              </w:rPr>
              <w:t xml:space="preserve">. Ainult 37 % vabalt võõrandatavatesse </w:t>
            </w:r>
            <w:r>
              <w:rPr>
                <w:rFonts w:ascii="Arial" w:hAnsi="Arial"/>
                <w:noProof/>
                <w:sz w:val="20"/>
              </w:rPr>
              <w:t>väärtpaberitesse ühiseks investeerimiseks loodud ettevõtjatest ja ligikaudu 3 % alternatiivsetest investeerimisfondidest on registreeritud müügiks rohkem kui kolmes liikmesriigis.</w:t>
            </w:r>
          </w:p>
          <w:p w:rsidR="00BB5F63" w:rsidRDefault="00BD3A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Kuigi ELi turg on väiksem, on ELis USAga võrreldes märkimisväärselt rohkem f</w:t>
            </w:r>
            <w:r>
              <w:rPr>
                <w:rFonts w:ascii="Arial" w:hAnsi="Arial"/>
                <w:noProof/>
                <w:sz w:val="20"/>
              </w:rPr>
              <w:t>onde, mis tähendab, et ELi fondid on keskmiselt palju väiksemad. See mõjutab negatiivselt ELi varahaldurite saadavat mastaabisäästu ja investorite tasutavaid summasid. Hindamise tulemuste kohaselt vähendavad regulatiivsed tõkked märkimisväärselt piiriülest</w:t>
            </w:r>
            <w:r>
              <w:rPr>
                <w:rFonts w:ascii="Arial" w:hAnsi="Arial"/>
                <w:noProof/>
                <w:sz w:val="20"/>
              </w:rPr>
              <w:t xml:space="preserve"> turustamist. Need tõkked on seotud riiklike turustamisnõuete, regulatiivsete tasude, haldusnõuete ja teavitamisnõuetega.</w:t>
            </w:r>
          </w:p>
          <w:p w:rsidR="00BB5F63" w:rsidRDefault="00BB5F6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B5F63" w:rsidRDefault="00BD3A32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Mida selle algatusega loodetakse saavutada?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B5F63" w:rsidRDefault="00BD3A3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Algatuse eesmärk on vähendada piiriülese turustamise puhul tekkivat regulatiivset koorm</w:t>
            </w:r>
            <w:r>
              <w:rPr>
                <w:rFonts w:ascii="Arial" w:hAnsi="Arial"/>
                <w:noProof/>
                <w:sz w:val="20"/>
              </w:rPr>
              <w:t>ust, kõrvaldades liigse keerukuse ja koormavad nõuded, ning parandada riiklike nõuete läbipaistvust, kaitstes seejuures investoreid.</w:t>
            </w:r>
          </w:p>
          <w:p w:rsidR="00BB5F63" w:rsidRDefault="00BD3A32">
            <w:pPr>
              <w:pStyle w:val="ListBullet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rFonts w:ascii="Arial" w:hAnsi="Arial"/>
                <w:noProof/>
                <w:sz w:val="20"/>
              </w:rPr>
              <w:t>Kui muuta investeerimisfondide ühtse turu toimimine sujuvamaks, peaks olema võimalik seeläbi vähendada piirülese turustamis</w:t>
            </w:r>
            <w:r>
              <w:rPr>
                <w:rFonts w:ascii="Arial" w:hAnsi="Arial"/>
                <w:noProof/>
                <w:sz w:val="20"/>
              </w:rPr>
              <w:t>e kulusid. See peaks kiirendama piiriülese turustamise kasvu ELis, vähendama turu killustatust, suurendama konkurentsi ja kokkuvõttes andma investoritele rohkem investeerimisvõimalusi ELis.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B5F63" w:rsidRDefault="00BD3A32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Milline on ELi tasandi meetmete lisaväärtus?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B5F63" w:rsidRDefault="00BD3A32">
            <w:pPr>
              <w:pStyle w:val="ListDash1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rFonts w:ascii="Arial" w:hAnsi="Arial"/>
                <w:noProof/>
                <w:sz w:val="20"/>
              </w:rPr>
              <w:t xml:space="preserve">Eurofondide </w:t>
            </w:r>
            <w:r>
              <w:rPr>
                <w:rFonts w:ascii="Arial" w:hAnsi="Arial"/>
                <w:noProof/>
                <w:sz w:val="20"/>
              </w:rPr>
              <w:t>direktiivi ja alternatiivsete investeerimisfondide valitsejate direktiivi riikliku rakendamise käigus on erinevalt tõlgendatud nende kahe direktiivi õigusnorme, mida kohaldatakse turundamise üleeuroopaliste tegevuslubade kasutamise suhtes. Kuigi liikmesrii</w:t>
            </w:r>
            <w:r>
              <w:rPr>
                <w:rFonts w:ascii="Arial" w:hAnsi="Arial"/>
                <w:noProof/>
                <w:sz w:val="20"/>
              </w:rPr>
              <w:t>gid saavad selle probleemiga tegeleda, muutes (vabatahtlikult) siseriiklikke õigusakte või tavasid, on üleeuroopalise tegevusloa kasutamise puhul võimalik tagada ühtsust ja õiguskindlust paremini, kui võetakse meetmeid ELi tasandil. Varasemad jõupingutused</w:t>
            </w:r>
            <w:r>
              <w:rPr>
                <w:rFonts w:ascii="Arial" w:hAnsi="Arial"/>
                <w:noProof/>
                <w:sz w:val="20"/>
              </w:rPr>
              <w:t xml:space="preserve"> selle valdkonna riiklike (järelevalve)tavade ühtlustamiseks Euroopa Väärtpaberiturujärelevalve (edaspidi „ESMA“) kaudu ei ole suutnud seda probleemi lahendada. Seega on ELi piires investeerimisfondide piiriülese turustamise allesolevaid tõkkeid kõige tõhu</w:t>
            </w:r>
            <w:r>
              <w:rPr>
                <w:rFonts w:ascii="Arial" w:hAnsi="Arial"/>
                <w:noProof/>
                <w:sz w:val="20"/>
              </w:rPr>
              <w:t>sam lahendada ELi tasandil.</w:t>
            </w:r>
          </w:p>
        </w:tc>
      </w:tr>
    </w:tbl>
    <w:p w:rsidR="00BB5F63" w:rsidRDefault="00BB5F63">
      <w:pPr>
        <w:rPr>
          <w:noProof/>
        </w:rPr>
      </w:pPr>
    </w:p>
    <w:tbl>
      <w:tblPr>
        <w:tblStyle w:val="TableGrid"/>
        <w:tblW w:w="10188" w:type="dxa"/>
        <w:tblInd w:w="-459" w:type="dxa"/>
        <w:tblLook w:val="01E0" w:firstRow="1" w:lastRow="1" w:firstColumn="1" w:lastColumn="1" w:noHBand="0" w:noVBand="0"/>
      </w:tblPr>
      <w:tblGrid>
        <w:gridCol w:w="10188"/>
      </w:tblGrid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BB5F63" w:rsidRDefault="00BD3A32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Lahendused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B5F63" w:rsidRDefault="00BD3A32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Milliseid seadusandlikke ja mitteseadusandlikke poliitikavariante on kaalutud? Kas on olemas eelistatud variant? Miks?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B5F63" w:rsidRDefault="00BB5F6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B5F63" w:rsidRDefault="00BD3A32"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Kaalutud poliitikavariantide eesmärk on vähendada fondide piiriülese turustamise </w:t>
            </w:r>
            <w:r>
              <w:rPr>
                <w:rFonts w:ascii="Arial" w:hAnsi="Arial"/>
                <w:noProof/>
                <w:sz w:val="20"/>
              </w:rPr>
              <w:t>valdkonnas kehtivate õigusnormide põhjendamatut keerukust ja õiguskindlusetust, suurendada nende õigusnormide läbipaistvust ja kaitsta paremini investoreid. Võttes arvesse kõnealuse õigusraamistiku tehnilist laadi ja üksikasjalikkust, on iga probleemküsimu</w:t>
            </w:r>
            <w:r>
              <w:rPr>
                <w:rFonts w:ascii="Arial" w:hAnsi="Arial"/>
                <w:noProof/>
                <w:sz w:val="20"/>
              </w:rPr>
              <w:t>se jaoks töötatud välja konkreetsed poliitikavariandid. Kaaluti nii seadusandlikke kui ka muid variante. Teatavate probleemküsimuste puhul oli eelistatud variant suurendada läbipaistvust riiklikul ja/või Euroopa tasandil ning teiste puhul oli parim tegutse</w:t>
            </w:r>
            <w:r>
              <w:rPr>
                <w:rFonts w:ascii="Arial" w:hAnsi="Arial"/>
                <w:noProof/>
                <w:sz w:val="20"/>
              </w:rPr>
              <w:t>misviis suurendada ühtlustamist. Väljavalitud poliitikavariandid on järgmised.</w:t>
            </w:r>
          </w:p>
          <w:p w:rsidR="00BB5F63" w:rsidRDefault="00BD3A32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Riiklike nõuete ebapiisava läbipaistvusega seoses suurendatakse riiklikul ja ELi tasandil riiklike </w:t>
            </w:r>
            <w:r>
              <w:rPr>
                <w:rFonts w:ascii="Arial" w:hAnsi="Arial"/>
                <w:noProof/>
                <w:sz w:val="20"/>
              </w:rPr>
              <w:lastRenderedPageBreak/>
              <w:t>turustamisnõuete ja regulatiivsete tasude läbipaistvust.</w:t>
            </w:r>
          </w:p>
          <w:p w:rsidR="00BB5F63" w:rsidRDefault="00BD3A32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Erinevate riiklike tu</w:t>
            </w:r>
            <w:r>
              <w:rPr>
                <w:rFonts w:ascii="Arial" w:hAnsi="Arial"/>
                <w:noProof/>
                <w:sz w:val="20"/>
              </w:rPr>
              <w:t>rustamisnõuetega seoses kehtestatakse eelturundamise ühtlustatud määratlus</w:t>
            </w:r>
            <w:r>
              <w:rPr>
                <w:rStyle w:val="FootnoteReference"/>
                <w:rFonts w:ascii="Arial" w:hAnsi="Arial"/>
                <w:noProof/>
                <w:sz w:val="20"/>
              </w:rPr>
              <w:footnoteReference w:id="2"/>
            </w:r>
            <w:r>
              <w:rPr>
                <w:rFonts w:ascii="Arial" w:hAnsi="Arial"/>
                <w:noProof/>
                <w:sz w:val="20"/>
              </w:rPr>
              <w:t xml:space="preserve"> ja määratakse selgemalt kindlaks reklaammaterjali kontrollimise protsess.</w:t>
            </w:r>
          </w:p>
          <w:p w:rsidR="00BB5F63" w:rsidRDefault="00BD3A32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Erinevate reguleerimisasutuste tasudega seoses kehtestatakse ranged põhimõtted, et tagada suurem järjepide</w:t>
            </w:r>
            <w:r>
              <w:rPr>
                <w:rFonts w:ascii="Arial" w:hAnsi="Arial"/>
                <w:noProof/>
                <w:sz w:val="20"/>
              </w:rPr>
              <w:t>vus reguleerimisasutuste tasude kindlaksmääramisel.</w:t>
            </w:r>
          </w:p>
          <w:p w:rsidR="00BB5F63" w:rsidRDefault="00BD3A32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Haldusnõuetega seoses lastakse varahalduril määrata kindlaks, kuidas tagatakse kohalike investorite toetamise vahendid (viibides kohapeal või elektrooniliselt), aga kehtestatakse investorite kaitse meetme</w:t>
            </w:r>
            <w:r>
              <w:rPr>
                <w:rFonts w:ascii="Arial" w:hAnsi="Arial"/>
                <w:noProof/>
                <w:sz w:val="20"/>
              </w:rPr>
              <w:t>d</w:t>
            </w:r>
            <w:r>
              <w:rPr>
                <w:rStyle w:val="FootnoteReference"/>
                <w:rFonts w:ascii="Arial" w:hAnsi="Arial"/>
                <w:noProof/>
                <w:sz w:val="20"/>
              </w:rPr>
              <w:footnoteReference w:id="3"/>
            </w:r>
            <w:r>
              <w:rPr>
                <w:rFonts w:ascii="Arial" w:hAnsi="Arial"/>
                <w:noProof/>
                <w:sz w:val="20"/>
              </w:rPr>
              <w:t>.</w:t>
            </w:r>
          </w:p>
          <w:p w:rsidR="00BB5F63" w:rsidRDefault="00BD3A32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noProof/>
              </w:rPr>
            </w:pPr>
            <w:r>
              <w:rPr>
                <w:rFonts w:ascii="Arial" w:hAnsi="Arial"/>
                <w:noProof/>
                <w:sz w:val="20"/>
              </w:rPr>
              <w:t>Teavitamisnõuetega seoses ühtlustatakse täiendatavalt turundamise üleeuroopalise tegevusloa kasutamise teadete ajakohastamise ja tühistamise menetlusi ning nõudeid.</w:t>
            </w:r>
          </w:p>
        </w:tc>
      </w:tr>
      <w:tr w:rsidR="00BB5F63">
        <w:tc>
          <w:tcPr>
            <w:tcW w:w="10188" w:type="dxa"/>
            <w:shd w:val="clear" w:color="auto" w:fill="CCCCCC"/>
          </w:tcPr>
          <w:p w:rsidR="00BB5F63" w:rsidRDefault="00BD3A32"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Kes millist varianti toetab?</w:t>
            </w:r>
          </w:p>
        </w:tc>
      </w:tr>
      <w:tr w:rsidR="00BB5F63">
        <w:tc>
          <w:tcPr>
            <w:tcW w:w="10188" w:type="dxa"/>
            <w:shd w:val="clear" w:color="auto" w:fill="auto"/>
          </w:tcPr>
          <w:p w:rsidR="00BB5F63" w:rsidRDefault="00BD3A32">
            <w:pPr>
              <w:pStyle w:val="ListDash1"/>
              <w:numPr>
                <w:ilvl w:val="0"/>
                <w:numId w:val="0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Varahaldurid toetavad kindlalt regulatiivsete tõkete </w:t>
            </w:r>
            <w:r>
              <w:rPr>
                <w:rFonts w:ascii="Arial" w:hAnsi="Arial"/>
                <w:noProof/>
                <w:sz w:val="20"/>
              </w:rPr>
              <w:t>vähendamist. Nad on siiski eriarvamusel, kas seda oleks kõige parem saavutada seadusandlike või muude meetmete abil. Investorite ühendused toetavad ka regulatiivsete tõkete kõrvaldamist, et suurendada investorite valikuvõimalusi; seda siiski tingimusel, et</w:t>
            </w:r>
            <w:r>
              <w:rPr>
                <w:rFonts w:ascii="Arial" w:hAnsi="Arial"/>
                <w:noProof/>
                <w:sz w:val="20"/>
              </w:rPr>
              <w:t xml:space="preserve"> tagatakse investorite kaitse. Riikide pädevad asutused ja liikmesriigid toetavad ka fondide piiriülese turustamise regulatiivsete tõkete vähendamist. Enamik pädevaid asutusi eelistaks siiski muid kui seadusandlikke meetmeid. Lisaks sellele rõhutasid nad, </w:t>
            </w:r>
            <w:r>
              <w:rPr>
                <w:rFonts w:ascii="Arial" w:hAnsi="Arial"/>
                <w:noProof/>
                <w:sz w:val="20"/>
              </w:rPr>
              <w:t>kui oluline on, et neil säiliks investorite kaitse tagamise võime, sealhulgas vastuvõtvates jurisdiktsioonides.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BB5F63" w:rsidRDefault="00BD3A32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Eelistatud poliitikavariandi mõju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B5F63" w:rsidRDefault="00BD3A32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Millised on eelistatud poliitikavariandi (kui see on olemas, vastasel korral peamiste </w:t>
            </w:r>
            <w:r>
              <w:rPr>
                <w:rFonts w:ascii="Tahoma" w:hAnsi="Tahoma"/>
                <w:b/>
                <w:noProof/>
                <w:sz w:val="20"/>
              </w:rPr>
              <w:t>poliitikavariantide) eelised?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B5F63" w:rsidRDefault="00BD3A32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Eelistatud poliitikavariantidest saavad enim kasu nii varahaldurid kui ka investorid.</w:t>
            </w:r>
          </w:p>
          <w:p w:rsidR="00BB5F63" w:rsidRDefault="00BD3A32">
            <w:pPr>
              <w:pStyle w:val="ListParagraph"/>
              <w:numPr>
                <w:ilvl w:val="0"/>
                <w:numId w:val="10"/>
              </w:numPr>
              <w:spacing w:after="120"/>
              <w:ind w:left="284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Eelistatud variandid vähendavad märkimisväärselt nõuete täitmisega seotud kulusid, ühtlustades veelgi riiklikke nõudeid ja suurendades </w:t>
            </w:r>
            <w:r>
              <w:rPr>
                <w:rFonts w:ascii="Arial" w:hAnsi="Arial"/>
                <w:noProof/>
                <w:sz w:val="20"/>
              </w:rPr>
              <w:t>nende läbipaistvust. Olemasolevate piiriüleste fondide puhul aitavad eelistatud variandid eeldatavasti säästa kulusid igal aastal vähemalt 306 miljoni euro väärtuses. Lisaks sellele eeldatakse, et enamik varahaldureid otsustab turustada oma fonde piiriüles</w:t>
            </w:r>
            <w:r>
              <w:rPr>
                <w:rFonts w:ascii="Arial" w:hAnsi="Arial"/>
                <w:noProof/>
                <w:sz w:val="20"/>
              </w:rPr>
              <w:t>elt või suurendada senise piiriülese tegevuse ulatust.</w:t>
            </w:r>
          </w:p>
          <w:p w:rsidR="00BB5F63" w:rsidRDefault="00BD3A32">
            <w:pPr>
              <w:pStyle w:val="ListParagraph"/>
              <w:numPr>
                <w:ilvl w:val="0"/>
                <w:numId w:val="10"/>
              </w:numPr>
              <w:spacing w:after="120"/>
              <w:ind w:left="284" w:hanging="284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Eelistatud variandid tagavad investorite kaitse ja peaks kokkuvõttes suurendama investorite valikuvõimalusi. See mõju aitab eelkõige nendest liikmesriikidest pärit investoreid, mille turud pakuvad prae</w:t>
            </w:r>
            <w:r>
              <w:rPr>
                <w:rFonts w:ascii="Arial" w:hAnsi="Arial"/>
                <w:noProof/>
                <w:sz w:val="20"/>
              </w:rPr>
              <w:t>gu piiratud valikuvõimalusi ja millel domineerivad kindlalt kohalikud tooted.</w:t>
            </w:r>
          </w:p>
        </w:tc>
      </w:tr>
    </w:tbl>
    <w:p w:rsidR="00BB5F63" w:rsidRDefault="00BB5F63">
      <w:pPr>
        <w:widowControl w:val="0"/>
        <w:rPr>
          <w:noProof/>
        </w:rPr>
      </w:pPr>
    </w:p>
    <w:tbl>
      <w:tblPr>
        <w:tblStyle w:val="TableGrid"/>
        <w:tblW w:w="10188" w:type="dxa"/>
        <w:tblInd w:w="-459" w:type="dxa"/>
        <w:tblLook w:val="01E0" w:firstRow="1" w:lastRow="1" w:firstColumn="1" w:lastColumn="1" w:noHBand="0" w:noVBand="0"/>
      </w:tblPr>
      <w:tblGrid>
        <w:gridCol w:w="10188"/>
      </w:tblGrid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B5F63" w:rsidRDefault="00BD3A32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Millised on eelistatud poliitikavariandi (kui see on olemas, vastasel korral peamiste poliitikavariantide) kulud?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B5F63" w:rsidRDefault="00BB5F6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  <w:highlight w:val="yellow"/>
              </w:rPr>
            </w:pPr>
          </w:p>
          <w:p w:rsidR="00BB5F63" w:rsidRDefault="00BD3A32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Eelistatud variandid ei avalda märkimisväärset negatiivset </w:t>
            </w:r>
            <w:r>
              <w:rPr>
                <w:rFonts w:ascii="Arial" w:hAnsi="Arial"/>
                <w:noProof/>
                <w:sz w:val="20"/>
              </w:rPr>
              <w:t>majanduslikku, sotsiaalset ega keskkonnamõju. Eelistatud variandid põhjustavad teatavaid nõuete täitmisega seotud kulusid. Need kulud tekivad riikide pädevatel asutustel ja ESMA-l. Näiteks peab ESMA looma piiriüleste teadete andmebaasi ja regulatiivsete ta</w:t>
            </w:r>
            <w:r>
              <w:rPr>
                <w:rFonts w:ascii="Arial" w:hAnsi="Arial"/>
                <w:noProof/>
                <w:sz w:val="20"/>
              </w:rPr>
              <w:t>sude kalkulaatori. Samas saavad riikide pädevad asutused ja ESMA ka kasutada teadete andmebaasi, kuna see võimaldab neil paremini analüüsida investeerimisfondide piiriülest turustamist.</w:t>
            </w:r>
          </w:p>
          <w:p w:rsidR="00BB5F63" w:rsidRDefault="00BB5F6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B5F63" w:rsidRDefault="00BD3A32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Milline on mõju ettevõtjatele, VKEdele ja mikroettevõtjatele? 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B5F63" w:rsidRDefault="00BD3A32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Regu</w:t>
            </w:r>
            <w:r>
              <w:rPr>
                <w:rFonts w:ascii="Arial" w:hAnsi="Arial"/>
                <w:noProof/>
                <w:sz w:val="20"/>
              </w:rPr>
              <w:t>latiivsete tõkete vähendamine vähendab fondide piiriülesest turustamisest tekkivaid kulusid. See on kasulik eelkõige väikefondide valitsejatele, kuna regulatiivsete tõketega seotud kulud avaldavad neile suuremat mõju.</w:t>
            </w:r>
          </w:p>
          <w:p w:rsidR="00BB5F63" w:rsidRDefault="00BD3A32">
            <w:pPr>
              <w:spacing w:after="12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Kuigi välja pakutud poliitikavariandid</w:t>
            </w:r>
            <w:r>
              <w:rPr>
                <w:rFonts w:ascii="Arial" w:hAnsi="Arial"/>
                <w:noProof/>
                <w:sz w:val="20"/>
              </w:rPr>
              <w:t xml:space="preserve"> ei mõjuta otseselt väikesi ja keskmise suurusega ettevõtjaid (edaspidi „VKEd“), saavad nad sellest algatusest kaudset kasu, kuna investeerimisfondide suurem piiriülene turustamine parandaks nende investeerimisfondide (eelkõige riskikapitalifondide) kaudu </w:t>
            </w:r>
            <w:r>
              <w:rPr>
                <w:rFonts w:ascii="Arial" w:hAnsi="Arial"/>
                <w:noProof/>
                <w:sz w:val="20"/>
              </w:rPr>
              <w:t>VKEdele pakutava rahastamise kättesaadavust.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B5F63" w:rsidRDefault="00BD3A32"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>Kas on ette näha märkimisväärset mõju riigieelarvetele ja ametiasutustele?</w:t>
            </w:r>
          </w:p>
        </w:tc>
      </w:tr>
      <w:tr w:rsidR="00BB5F63">
        <w:tc>
          <w:tcPr>
            <w:tcW w:w="10188" w:type="dxa"/>
            <w:shd w:val="clear" w:color="auto" w:fill="auto"/>
          </w:tcPr>
          <w:p w:rsidR="00BB5F63" w:rsidRDefault="00BD3A32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Riiklikul tasandil tekivad väikesed nõuete täitmise tagamise kulud.</w:t>
            </w:r>
          </w:p>
          <w:p w:rsidR="00BB5F63" w:rsidRDefault="00BB5F6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B5F63" w:rsidRDefault="00BD3A32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Kas on oodata muud olulist mõju?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B5F63" w:rsidRDefault="00BB5F6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B5F63" w:rsidRDefault="00BD3A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Muu oluline mõju puudub.</w:t>
            </w:r>
          </w:p>
          <w:p w:rsidR="00BB5F63" w:rsidRDefault="00BB5F6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 w:rsidR="00BB5F63" w:rsidRDefault="00BD3A32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</w:t>
            </w:r>
            <w:r>
              <w:rPr>
                <w:rFonts w:ascii="Tahoma" w:hAnsi="Tahoma"/>
                <w:b/>
                <w:noProof/>
                <w:sz w:val="22"/>
              </w:rPr>
              <w:t xml:space="preserve"> Järelmeetmed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B5F63" w:rsidRDefault="00BD3A32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Millal poliitika läbi vaadatakse?</w:t>
            </w:r>
          </w:p>
        </w:tc>
      </w:tr>
      <w:tr w:rsidR="00BB5F63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B5F63" w:rsidRDefault="00BD3A32">
            <w:pPr>
              <w:rPr>
                <w:noProof/>
              </w:rPr>
            </w:pPr>
            <w:r>
              <w:rPr>
                <w:rFonts w:ascii="Arial" w:hAnsi="Arial"/>
                <w:noProof/>
                <w:sz w:val="20"/>
              </w:rPr>
              <w:t>Komisjon hindab direktiivi ja määruse kohaldamist hiljemalt viis aastat pärast käesoleva seadusandliku algatuse osaks olevate direktiivide (eurofondide direktiivi ja alternatiivsete investeerimisfondide val</w:t>
            </w:r>
            <w:r>
              <w:rPr>
                <w:rFonts w:ascii="Arial" w:hAnsi="Arial"/>
                <w:noProof/>
                <w:sz w:val="20"/>
              </w:rPr>
              <w:t>itsejate direktiivi) ülevõtmise kuupäeva. Komisjon tugineb avalikule konsultatsioonile ning ESMA ja pädevate asutustega peetavatele aruteludele.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Hindamine viiakse läbi kooskõlas komisjoni parema õigusloome suunistega.</w:t>
            </w:r>
          </w:p>
          <w:p w:rsidR="00BB5F63" w:rsidRDefault="00BB5F63">
            <w:pPr>
              <w:spacing w:before="120" w:after="12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:rsidR="00BB5F63" w:rsidRDefault="00BB5F63">
      <w:pPr>
        <w:rPr>
          <w:noProof/>
        </w:rPr>
      </w:pPr>
    </w:p>
    <w:sectPr w:rsidR="00BB5F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63" w:rsidRDefault="00BD3A32">
      <w:r>
        <w:separator/>
      </w:r>
    </w:p>
  </w:endnote>
  <w:endnote w:type="continuationSeparator" w:id="0">
    <w:p w:rsidR="00BB5F63" w:rsidRDefault="00BD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32" w:rsidRPr="00BD3A32" w:rsidRDefault="00BD3A32" w:rsidP="00BD3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32" w:rsidRPr="00BD3A32" w:rsidRDefault="00BD3A32" w:rsidP="00BD3A32">
    <w:pPr>
      <w:pStyle w:val="FooterCoverPage"/>
      <w:rPr>
        <w:rFonts w:ascii="Arial" w:hAnsi="Arial" w:cs="Arial"/>
        <w:b/>
        <w:sz w:val="48"/>
      </w:rPr>
    </w:pPr>
    <w:r w:rsidRPr="00BD3A32">
      <w:rPr>
        <w:rFonts w:ascii="Arial" w:hAnsi="Arial" w:cs="Arial"/>
        <w:b/>
        <w:sz w:val="48"/>
      </w:rPr>
      <w:t>ET</w:t>
    </w:r>
    <w:r w:rsidRPr="00BD3A32">
      <w:rPr>
        <w:rFonts w:ascii="Arial" w:hAnsi="Arial" w:cs="Arial"/>
        <w:b/>
        <w:sz w:val="48"/>
      </w:rPr>
      <w:tab/>
    </w:r>
    <w:r w:rsidRPr="00BD3A32">
      <w:rPr>
        <w:rFonts w:ascii="Arial" w:hAnsi="Arial" w:cs="Arial"/>
        <w:b/>
        <w:sz w:val="48"/>
      </w:rPr>
      <w:tab/>
    </w:r>
    <w:r w:rsidRPr="00BD3A32">
      <w:tab/>
    </w:r>
    <w:r w:rsidRPr="00BD3A32"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32" w:rsidRPr="00BD3A32" w:rsidRDefault="00BD3A32" w:rsidP="00BD3A32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63" w:rsidRDefault="00BB5F6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F63" w:rsidRDefault="00BD3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63" w:rsidRDefault="00BB5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63" w:rsidRDefault="00BD3A32">
      <w:r>
        <w:separator/>
      </w:r>
    </w:p>
  </w:footnote>
  <w:footnote w:type="continuationSeparator" w:id="0">
    <w:p w:rsidR="00BB5F63" w:rsidRDefault="00BD3A32">
      <w:r>
        <w:continuationSeparator/>
      </w:r>
    </w:p>
  </w:footnote>
  <w:footnote w:id="1">
    <w:p w:rsidR="00BB5F63" w:rsidRDefault="00BD3A32">
      <w:pPr>
        <w:pStyle w:val="FootnoteText"/>
      </w:pPr>
      <w:r>
        <w:rPr>
          <w:rStyle w:val="FootnoteReference"/>
        </w:rPr>
        <w:footnoteRef/>
      </w:r>
      <w:r>
        <w:t xml:space="preserve"> See hõlmab nn näiliku kauplemise fonde, mille puhul fondivalitseja määrab fondi asukohaks teise liikmesriigi ja turustab seda oma asukohaturul.</w:t>
      </w:r>
    </w:p>
  </w:footnote>
  <w:footnote w:id="2">
    <w:p w:rsidR="00BB5F63" w:rsidRDefault="00BD3A32">
      <w:pPr>
        <w:pStyle w:val="FootnoteText"/>
      </w:pPr>
      <w:r>
        <w:rPr>
          <w:rStyle w:val="FootnoteReference"/>
        </w:rPr>
        <w:footnoteRef/>
      </w:r>
      <w:r>
        <w:t xml:space="preserve"> See kehtib ainult alternatiivsete investeerimisfondide valitsejate direktiivi puhul.</w:t>
      </w:r>
    </w:p>
  </w:footnote>
  <w:footnote w:id="3">
    <w:p w:rsidR="00BB5F63" w:rsidRDefault="00BD3A32">
      <w:pPr>
        <w:pStyle w:val="FootnoteText"/>
      </w:pPr>
      <w:r>
        <w:rPr>
          <w:rStyle w:val="FootnoteReference"/>
        </w:rPr>
        <w:footnoteRef/>
      </w:r>
      <w:r>
        <w:t xml:space="preserve"> See kehtib ainult</w:t>
      </w:r>
      <w:r>
        <w:t xml:space="preserve"> eurofondide direktiivi puhul.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32" w:rsidRPr="00BD3A32" w:rsidRDefault="00BD3A32" w:rsidP="00BD3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32" w:rsidRPr="00BD3A32" w:rsidRDefault="00BD3A32" w:rsidP="00BD3A32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32" w:rsidRPr="00BD3A32" w:rsidRDefault="00BD3A32" w:rsidP="00BD3A32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63" w:rsidRDefault="00BB5F6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63" w:rsidRDefault="00BB5F6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63" w:rsidRDefault="00BB5F63">
    <w:pPr>
      <w:pStyle w:val="HeaderCoverPag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FF4"/>
    <w:multiLevelType w:val="hybridMultilevel"/>
    <w:tmpl w:val="2610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B29"/>
    <w:multiLevelType w:val="hybridMultilevel"/>
    <w:tmpl w:val="708893C6"/>
    <w:lvl w:ilvl="0" w:tplc="B184A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3A61"/>
    <w:multiLevelType w:val="hybridMultilevel"/>
    <w:tmpl w:val="A53EB6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11566"/>
    <w:multiLevelType w:val="hybridMultilevel"/>
    <w:tmpl w:val="7602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6EE4"/>
    <w:multiLevelType w:val="hybridMultilevel"/>
    <w:tmpl w:val="051A2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256999"/>
    <w:multiLevelType w:val="hybridMultilevel"/>
    <w:tmpl w:val="A1A0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B7901"/>
    <w:multiLevelType w:val="hybridMultilevel"/>
    <w:tmpl w:val="EBD4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8042C"/>
    <w:multiLevelType w:val="singleLevel"/>
    <w:tmpl w:val="CCF20C06"/>
    <w:name w:val="0.7464259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8">
    <w:nsid w:val="6D2B5511"/>
    <w:multiLevelType w:val="singleLevel"/>
    <w:tmpl w:val="74A09970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9">
    <w:nsid w:val="7AD33DC8"/>
    <w:multiLevelType w:val="hybridMultilevel"/>
    <w:tmpl w:val="FB6C0CF0"/>
    <w:lvl w:ilvl="0" w:tplc="B6B60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satud dokumendile:"/>
    <w:docVar w:name="LW_CORRIGENDUM" w:val="&lt;UNUSED&gt;"/>
    <w:docVar w:name="LW_COVERPAGE_EXISTS" w:val="True"/>
    <w:docVar w:name="LW_COVERPAGE_GUID" w:val="112C6887-BCA6-47C7-B0A0-6D698000E697"/>
    <w:docVar w:name="LW_COVERPAGE_TYPE" w:val="1"/>
    <w:docVar w:name="LW_CROSSREFERENCE" w:val="{COM(2018) 92 final}_x000a_{COM(2018) 110 final}_x000d__x000a_{SWD(2018) 54 final}"/>
    <w:docVar w:name="LW_DocType" w:val="NORMAL"/>
    <w:docVar w:name="LW_EMISSION" w:val="12.3.2018"/>
    <w:docVar w:name="LW_EMISSION_ISODATE" w:val="2018-03-12"/>
    <w:docVar w:name="LW_EMISSION_LOCATION" w:val="BRX"/>
    <w:docVar w:name="LW_EMISSION_PREFIX" w:val="Brüssel,"/>
    <w:docVar w:name="LW_EMISSION_SUFFIX" w:val="&lt;EMPTY&gt;"/>
    <w:docVar w:name="LW_ID_DOCTYPE_NONLW" w:val="CP-027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.CP" w:val="Ettepanek: EUROOPA PARLAMENDI JA NÕUKOGU DIREKTIIV,_x000b_millega muudetakse Euroopa Parlamendi ja nõukogu direktiivi 2009/65/EÜ ning Euroopa Parlamendi ja nõukogu direktiivi 2011/61/EL seoses ühisinvesteerimisfondide piiriülese turustamisega._x000b_"/>
    <w:docVar w:name="LW_PART_NBR" w:val="1"/>
    <w:docVar w:name="LW_PART_NBR_TOTAL" w:val="1"/>
    <w:docVar w:name="LW_REF.INST.NEW" w:val="SWD"/>
    <w:docVar w:name="LW_REF.INST.NEW_ADOPTED" w:val="final"/>
    <w:docVar w:name="LW_REF.INST.NEW_TEXT" w:val="(2018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Ühisinvesteerimisfondide piiriülene turustamine"/>
    <w:docVar w:name="LW_TYPE.DOC.CP" w:val="KOMISJONI TALITUSTE TÖÖDOKUMENT_x000b__x000b_MÕJUHINNANGU KOMMENTEERITUD KOKKUVÕTE_x000b_"/>
    <w:docVar w:name="LW_TYPEACTEPRINCIPAL.CP" w:val="Ettepanek: EUROOPA PARLAMENDI JA NÕUKOGU MÄÄRUS,_x000b_millega lihtsustatakse ühisinvesteerimisfondide piiriülest turustamist ning muudetakse määrusi (EL) nr 345/2013 ja (EL) nr 346/2013"/>
  </w:docVars>
  <w:rsids>
    <w:rsidRoot w:val="00BB5F63"/>
    <w:rsid w:val="00BB5F63"/>
    <w:rsid w:val="00B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Reference,Footnote text,Schriftart: 9 pt,Schriftart: 10 pt,Schriftart: 8 pt,Podrozdział,o,WB-Fußnotentext,Fußnote,fn,Footnote Text Char2,Footnote Text Char Char1,Footnote Text Char1 Char Char,Char,Footnote Text Char Char Char Char,Char3,ft"/>
    <w:basedOn w:val="Normal"/>
    <w:link w:val="FootnoteTextChar"/>
    <w:uiPriority w:val="99"/>
    <w:qFormat/>
    <w:pPr>
      <w:ind w:left="720" w:hanging="720"/>
      <w:jc w:val="both"/>
    </w:pPr>
    <w:rPr>
      <w:sz w:val="20"/>
      <w:szCs w:val="20"/>
    </w:rPr>
  </w:style>
  <w:style w:type="character" w:customStyle="1" w:styleId="FootnoteTextChar">
    <w:name w:val="Footnote Text Char"/>
    <w:aliases w:val="Reference Char,Footnote text Char,Schriftart: 9 pt Char,Schriftart: 10 pt Char,Schriftart: 8 pt Char,Podrozdział Char,o Char,WB-Fußnotentext Char,Fußnote Char,fn Char,Footnote Text Char2 Char,Footnote Text Char Char1 Char,Char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BVI fnr,Footnote Reference Superscript,SUPERS,Footnote symbol,Footnote,note TESI,fr"/>
    <w:link w:val="16Point"/>
    <w:uiPriority w:val="99"/>
    <w:qFormat/>
    <w:rPr>
      <w:vertAlign w:val="superscript"/>
    </w:rPr>
  </w:style>
  <w:style w:type="paragraph" w:customStyle="1" w:styleId="16Point">
    <w:name w:val="16 Point"/>
    <w:aliases w:val="Superscript 6 Point,Times 10 Point,Exposant 3 Point,Footnote reference number,Odwołanie przypisu,number,Ref,de nota al pie,footnote ref,2001+ Fußnotenzeichen, Exposant 3 Point"/>
    <w:basedOn w:val="Normal"/>
    <w:link w:val="FootnoteReference"/>
    <w:uiPriority w:val="99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jc w:val="both"/>
    </w:pPr>
  </w:style>
  <w:style w:type="paragraph" w:styleId="ListBullet">
    <w:name w:val="List Bullet"/>
    <w:basedOn w:val="Normal"/>
    <w:pPr>
      <w:numPr>
        <w:numId w:val="3"/>
      </w:numPr>
      <w:spacing w:before="120" w:after="120"/>
      <w:jc w:val="both"/>
    </w:pPr>
  </w:style>
  <w:style w:type="paragraph" w:customStyle="1" w:styleId="ListDash1">
    <w:name w:val="List Dash 1"/>
    <w:basedOn w:val="Normal"/>
    <w:pPr>
      <w:numPr>
        <w:numId w:val="6"/>
      </w:numPr>
      <w:spacing w:before="120" w:after="1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Reference,Footnote text,Schriftart: 9 pt,Schriftart: 10 pt,Schriftart: 8 pt,Podrozdział,o,WB-Fußnotentext,Fußnote,fn,Footnote Text Char2,Footnote Text Char Char1,Footnote Text Char1 Char Char,Char,Footnote Text Char Char Char Char,Char3,ft"/>
    <w:basedOn w:val="Normal"/>
    <w:link w:val="FootnoteTextChar"/>
    <w:uiPriority w:val="99"/>
    <w:qFormat/>
    <w:pPr>
      <w:ind w:left="720" w:hanging="720"/>
      <w:jc w:val="both"/>
    </w:pPr>
    <w:rPr>
      <w:sz w:val="20"/>
      <w:szCs w:val="20"/>
    </w:rPr>
  </w:style>
  <w:style w:type="character" w:customStyle="1" w:styleId="FootnoteTextChar">
    <w:name w:val="Footnote Text Char"/>
    <w:aliases w:val="Reference Char,Footnote text Char,Schriftart: 9 pt Char,Schriftart: 10 pt Char,Schriftart: 8 pt Char,Podrozdział Char,o Char,WB-Fußnotentext Char,Fußnote Char,fn Char,Footnote Text Char2 Char,Footnote Text Char Char1 Char,Char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BVI fnr,Footnote Reference Superscript,SUPERS,Footnote symbol,Footnote,note TESI,fr"/>
    <w:link w:val="16Point"/>
    <w:uiPriority w:val="99"/>
    <w:qFormat/>
    <w:rPr>
      <w:vertAlign w:val="superscript"/>
    </w:rPr>
  </w:style>
  <w:style w:type="paragraph" w:customStyle="1" w:styleId="16Point">
    <w:name w:val="16 Point"/>
    <w:aliases w:val="Superscript 6 Point,Times 10 Point,Exposant 3 Point,Footnote reference number,Odwołanie przypisu,number,Ref,de nota al pie,footnote ref,2001+ Fußnotenzeichen, Exposant 3 Point"/>
    <w:basedOn w:val="Normal"/>
    <w:link w:val="FootnoteReference"/>
    <w:uiPriority w:val="99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jc w:val="both"/>
    </w:pPr>
  </w:style>
  <w:style w:type="paragraph" w:styleId="ListBullet">
    <w:name w:val="List Bullet"/>
    <w:basedOn w:val="Normal"/>
    <w:pPr>
      <w:numPr>
        <w:numId w:val="3"/>
      </w:numPr>
      <w:spacing w:before="120" w:after="120"/>
      <w:jc w:val="both"/>
    </w:pPr>
  </w:style>
  <w:style w:type="paragraph" w:customStyle="1" w:styleId="ListDash1">
    <w:name w:val="List Dash 1"/>
    <w:basedOn w:val="Normal"/>
    <w:pPr>
      <w:numPr>
        <w:numId w:val="6"/>
      </w:numPr>
      <w:spacing w:before="120" w:after="1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9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29c46a-7e15-44c9-a838-73f00aaab325" xsi:nil="true"/>
    <_Status xmlns="http://schemas.microsoft.com/sharepoint/v3/fields">Not Started</_Status>
    <EC_Collab_DocumentLanguage xmlns="c429c46a-7e15-44c9-a838-73f00aaab325">EN</EC_Collab_DocumentLanguage>
    <EC_Collab_Status xmlns="c429c46a-7e15-44c9-a838-73f00aaab325">Not Started</EC_Collab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F370F79735E2304FB3EE3550DB93E366" ma:contentTypeVersion="0" ma:contentTypeDescription="Create a new document in this library." ma:contentTypeScope="" ma:versionID="1c442c361d9b226c4d9c2de27993a467">
  <xsd:schema xmlns:xsd="http://www.w3.org/2001/XMLSchema" xmlns:xs="http://www.w3.org/2001/XMLSchema" xmlns:p="http://schemas.microsoft.com/office/2006/metadata/properties" xmlns:ns2="http://schemas.microsoft.com/sharepoint/v3/fields" xmlns:ns3="c429c46a-7e15-44c9-a838-73f00aaab325" targetNamespace="http://schemas.microsoft.com/office/2006/metadata/properties" ma:root="true" ma:fieldsID="d8e9caf9e2292584252f5696d7f9863b" ns2:_="" ns3:_="">
    <xsd:import namespace="http://schemas.microsoft.com/sharepoint/v3/fields"/>
    <xsd:import namespace="c429c46a-7e15-44c9-a838-73f00aaab325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c46a-7e15-44c9-a838-73f00aaab325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228E3-FEEC-429F-8C93-CFCC37DE565D}">
  <ds:schemaRefs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c429c46a-7e15-44c9-a838-73f00aaab32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00F570-9AA1-45E5-BBA5-7EE1616F5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429c46a-7e15-44c9-a838-73f00aaab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DF351-617B-4B1D-9E9F-981ED6E6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862</Words>
  <Characters>7100</Characters>
  <Application>Microsoft Office Word</Application>
  <DocSecurity>0</DocSecurity>
  <Lines>108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19</cp:revision>
  <cp:lastPrinted>2017-11-14T13:19:00Z</cp:lastPrinted>
  <dcterms:created xsi:type="dcterms:W3CDTF">2018-02-23T15:16:00Z</dcterms:created>
  <dcterms:modified xsi:type="dcterms:W3CDTF">2018-03-15T08:27:00Z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0x010100258AA79CEB83498886A3A0868112325000F370F79735E2304FB3EE3550DB93E366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</Properties>
</file>