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1E" w:rsidRDefault="00363CF1" w:rsidP="00363CF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12F0713-97BC-4B56-AD02-BE7D0E539758" style="width:450.75pt;height:417.75pt">
            <v:imagedata r:id="rId11" o:title=""/>
          </v:shape>
        </w:pict>
      </w:r>
    </w:p>
    <w:bookmarkEnd w:id="0"/>
    <w:p w:rsidR="00746B1E" w:rsidRDefault="00746B1E">
      <w:pPr>
        <w:pStyle w:val="Pagedecouverture"/>
        <w:rPr>
          <w:noProof/>
        </w:rPr>
        <w:sectPr w:rsidR="00746B1E" w:rsidSect="00363CF1">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746B1E">
        <w:tc>
          <w:tcPr>
            <w:tcW w:w="10188" w:type="dxa"/>
            <w:tcBorders>
              <w:bottom w:val="single" w:sz="4" w:space="0" w:color="auto"/>
            </w:tcBorders>
            <w:shd w:val="clear" w:color="auto" w:fill="CCCCCC"/>
          </w:tcPr>
          <w:p w:rsidR="00746B1E" w:rsidRDefault="00363CF1">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Povzetek</w:t>
            </w:r>
          </w:p>
        </w:tc>
      </w:tr>
      <w:tr w:rsidR="00746B1E">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746B1E" w:rsidRDefault="00363CF1">
            <w:pPr>
              <w:spacing w:before="120" w:after="120"/>
              <w:jc w:val="both"/>
              <w:rPr>
                <w:rFonts w:ascii="Tahoma" w:hAnsi="Tahoma" w:cs="Tahoma"/>
                <w:b/>
                <w:noProof/>
                <w:sz w:val="20"/>
                <w:szCs w:val="20"/>
              </w:rPr>
            </w:pPr>
            <w:r>
              <w:rPr>
                <w:rFonts w:ascii="Tahoma" w:hAnsi="Tahoma"/>
                <w:noProof/>
                <w:color w:val="FFFFFF" w:themeColor="background1"/>
                <w:sz w:val="20"/>
              </w:rPr>
              <w:t>Ocena učinka o pravični obdavčitvi digitalnega gospodarstva</w:t>
            </w:r>
          </w:p>
        </w:tc>
      </w:tr>
      <w:tr w:rsidR="00746B1E">
        <w:tc>
          <w:tcPr>
            <w:tcW w:w="10188" w:type="dxa"/>
            <w:tcBorders>
              <w:bottom w:val="single" w:sz="4" w:space="0" w:color="auto"/>
            </w:tcBorders>
            <w:shd w:val="clear" w:color="auto" w:fill="CCCCCC"/>
          </w:tcPr>
          <w:p w:rsidR="00746B1E" w:rsidRDefault="00363CF1">
            <w:pPr>
              <w:spacing w:before="60" w:after="60"/>
              <w:jc w:val="center"/>
              <w:rPr>
                <w:rFonts w:ascii="Tahoma" w:hAnsi="Tahoma" w:cs="Tahoma"/>
                <w:b/>
                <w:noProof/>
                <w:sz w:val="22"/>
                <w:szCs w:val="22"/>
              </w:rPr>
            </w:pPr>
            <w:r>
              <w:rPr>
                <w:rFonts w:ascii="Tahoma" w:hAnsi="Tahoma"/>
                <w:b/>
                <w:noProof/>
                <w:sz w:val="22"/>
              </w:rPr>
              <w:t>A. Nujnost ukrepanja</w:t>
            </w:r>
          </w:p>
        </w:tc>
      </w:tr>
      <w:tr w:rsidR="00746B1E">
        <w:tc>
          <w:tcPr>
            <w:tcW w:w="10188" w:type="dxa"/>
            <w:tcBorders>
              <w:bottom w:val="single" w:sz="4" w:space="0" w:color="auto"/>
            </w:tcBorders>
            <w:shd w:val="clear" w:color="auto" w:fill="E0E0E0"/>
          </w:tcPr>
          <w:p w:rsidR="00746B1E" w:rsidRDefault="00363CF1">
            <w:pPr>
              <w:spacing w:before="60" w:after="60"/>
              <w:jc w:val="both"/>
              <w:rPr>
                <w:rFonts w:ascii="Tahoma" w:hAnsi="Tahoma" w:cs="Tahoma"/>
                <w:noProof/>
                <w:sz w:val="20"/>
                <w:szCs w:val="20"/>
              </w:rPr>
            </w:pPr>
            <w:r>
              <w:rPr>
                <w:rFonts w:ascii="Tahoma" w:hAnsi="Tahoma"/>
                <w:b/>
                <w:noProof/>
                <w:sz w:val="20"/>
              </w:rPr>
              <w:t xml:space="preserve">Zakaj? V čem je težava? </w:t>
            </w:r>
          </w:p>
        </w:tc>
      </w:tr>
      <w:tr w:rsidR="00746B1E">
        <w:tc>
          <w:tcPr>
            <w:tcW w:w="10188" w:type="dxa"/>
            <w:tcBorders>
              <w:bottom w:val="single" w:sz="4" w:space="0" w:color="auto"/>
            </w:tcBorders>
            <w:shd w:val="clear" w:color="auto" w:fill="auto"/>
          </w:tcPr>
          <w:p w:rsidR="00746B1E" w:rsidRDefault="00363CF1">
            <w:pPr>
              <w:pStyle w:val="Default"/>
              <w:jc w:val="both"/>
              <w:rPr>
                <w:noProof/>
                <w:sz w:val="20"/>
                <w:szCs w:val="20"/>
              </w:rPr>
            </w:pPr>
            <w:r>
              <w:rPr>
                <w:noProof/>
                <w:sz w:val="20"/>
              </w:rPr>
              <w:t>Cilj obdavčitve dohodkov pravnih oseb je obdavčitev dobičkov tam, kjer se ustvarja vrednost, vendar je bil trenutni mednarodni davčni okvir je bil zasnovan za tradicionalno gospodarstvo. Ta okvir ne zajema novih načinov ustvarjanja vrednosti v digitalnem g</w:t>
            </w:r>
            <w:r>
              <w:rPr>
                <w:noProof/>
                <w:sz w:val="20"/>
              </w:rPr>
              <w:t>ospodarstvu, za katere je potrebne manj fizične prisotnosti in pri katerih imajo pomembno vlogo prispevki uporabnikov in neopredmetena sredstva. To vpliva na javne proračune in socialno pravičnost. Zato vse več držav članic sprejema enostranske ukrepe, zar</w:t>
            </w:r>
            <w:r>
              <w:rPr>
                <w:noProof/>
                <w:sz w:val="20"/>
              </w:rPr>
              <w:t xml:space="preserve">adi katerih obstaja tveganje drobljenja enotnega trga. </w:t>
            </w:r>
          </w:p>
        </w:tc>
      </w:tr>
      <w:tr w:rsidR="00746B1E">
        <w:tc>
          <w:tcPr>
            <w:tcW w:w="10188" w:type="dxa"/>
            <w:tcBorders>
              <w:bottom w:val="single" w:sz="4" w:space="0" w:color="auto"/>
            </w:tcBorders>
            <w:shd w:val="clear" w:color="auto" w:fill="E6E6E6"/>
          </w:tcPr>
          <w:p w:rsidR="00746B1E" w:rsidRDefault="00363CF1">
            <w:pPr>
              <w:spacing w:before="60" w:after="60"/>
              <w:jc w:val="both"/>
              <w:rPr>
                <w:rFonts w:ascii="Tahoma" w:hAnsi="Tahoma" w:cs="Tahoma"/>
                <w:noProof/>
                <w:sz w:val="20"/>
                <w:szCs w:val="20"/>
              </w:rPr>
            </w:pPr>
            <w:r>
              <w:rPr>
                <w:rFonts w:ascii="Tahoma" w:hAnsi="Tahoma"/>
                <w:b/>
                <w:noProof/>
                <w:sz w:val="20"/>
              </w:rPr>
              <w:t xml:space="preserve">Kaj naj bi prinesla ta pobuda? </w:t>
            </w:r>
          </w:p>
        </w:tc>
      </w:tr>
      <w:tr w:rsidR="00746B1E">
        <w:tc>
          <w:tcPr>
            <w:tcW w:w="10188" w:type="dxa"/>
            <w:tcBorders>
              <w:bottom w:val="single" w:sz="4" w:space="0" w:color="auto"/>
            </w:tcBorders>
            <w:shd w:val="clear" w:color="auto" w:fill="auto"/>
          </w:tcPr>
          <w:p w:rsidR="00746B1E" w:rsidRDefault="00363CF1">
            <w:pPr>
              <w:pStyle w:val="Default"/>
              <w:jc w:val="both"/>
              <w:rPr>
                <w:noProof/>
                <w:sz w:val="20"/>
                <w:szCs w:val="20"/>
              </w:rPr>
            </w:pPr>
            <w:r>
              <w:rPr>
                <w:noProof/>
                <w:sz w:val="20"/>
              </w:rPr>
              <w:t xml:space="preserve">Prvič, pobuda naj bi zaščitila celovitost in pravilno delovanje enotnega trga. Drugič, njen cilj je, da se zagotovi vzdržnost financ držav članic in prepreči erozija </w:t>
            </w:r>
            <w:r>
              <w:rPr>
                <w:noProof/>
                <w:sz w:val="20"/>
              </w:rPr>
              <w:t>davčnih osnov za davek od dohodkov pravnih oseb zaradi digitalizacije. Tretjič, prispevala bo k ohranjanju socialne pravičnosti in enakih konkurenčnih pogojev za vsa podjetja.</w:t>
            </w:r>
          </w:p>
        </w:tc>
      </w:tr>
      <w:tr w:rsidR="00746B1E">
        <w:tc>
          <w:tcPr>
            <w:tcW w:w="10188" w:type="dxa"/>
            <w:tcBorders>
              <w:bottom w:val="single" w:sz="4" w:space="0" w:color="auto"/>
            </w:tcBorders>
            <w:shd w:val="clear" w:color="auto" w:fill="E6E6E6"/>
          </w:tcPr>
          <w:p w:rsidR="00746B1E" w:rsidRDefault="00363CF1">
            <w:pPr>
              <w:spacing w:before="60" w:after="60"/>
              <w:jc w:val="both"/>
              <w:rPr>
                <w:rFonts w:ascii="Tahoma" w:hAnsi="Tahoma" w:cs="Tahoma"/>
                <w:noProof/>
                <w:sz w:val="20"/>
                <w:szCs w:val="20"/>
              </w:rPr>
            </w:pPr>
            <w:r>
              <w:rPr>
                <w:rFonts w:ascii="Tahoma" w:hAnsi="Tahoma"/>
                <w:b/>
                <w:noProof/>
                <w:sz w:val="20"/>
              </w:rPr>
              <w:t>Kakšna je dodana vrednost ukrepanja na ravni EU?</w:t>
            </w:r>
            <w:r>
              <w:rPr>
                <w:rFonts w:ascii="Tahoma" w:hAnsi="Tahoma"/>
                <w:noProof/>
                <w:sz w:val="20"/>
              </w:rPr>
              <w:t xml:space="preserve"> </w:t>
            </w:r>
          </w:p>
        </w:tc>
      </w:tr>
      <w:tr w:rsidR="00746B1E">
        <w:tc>
          <w:tcPr>
            <w:tcW w:w="10188" w:type="dxa"/>
            <w:tcBorders>
              <w:bottom w:val="single" w:sz="4" w:space="0" w:color="auto"/>
            </w:tcBorders>
            <w:shd w:val="clear" w:color="auto" w:fill="auto"/>
          </w:tcPr>
          <w:p w:rsidR="00746B1E" w:rsidRDefault="00363CF1">
            <w:pPr>
              <w:pStyle w:val="Default"/>
              <w:jc w:val="both"/>
              <w:rPr>
                <w:noProof/>
                <w:sz w:val="20"/>
                <w:szCs w:val="20"/>
              </w:rPr>
            </w:pPr>
            <w:r>
              <w:rPr>
                <w:noProof/>
                <w:sz w:val="20"/>
              </w:rPr>
              <w:t>Ker se vprašanje nanaša na mednarodno dodeljevanje pravic do obdavčenja, ga ni mogoče celovito obravnavati na ravni držav članic. Poleg tega bi ukrepanje na ravni EU preprečilo razdrobljenost enotnega trga, nove ovire za podjetja ali morebitne davčne luknj</w:t>
            </w:r>
            <w:r>
              <w:rPr>
                <w:noProof/>
                <w:sz w:val="20"/>
              </w:rPr>
              <w:t xml:space="preserve">e, ki bi bili posledica neusklajenega ukrepanja različnih držav članic.  </w:t>
            </w:r>
          </w:p>
        </w:tc>
      </w:tr>
      <w:tr w:rsidR="00746B1E">
        <w:tc>
          <w:tcPr>
            <w:tcW w:w="10188" w:type="dxa"/>
            <w:tcBorders>
              <w:bottom w:val="single" w:sz="4" w:space="0" w:color="auto"/>
            </w:tcBorders>
            <w:shd w:val="clear" w:color="auto" w:fill="CCCCCC"/>
          </w:tcPr>
          <w:p w:rsidR="00746B1E" w:rsidRDefault="00363CF1">
            <w:pPr>
              <w:spacing w:before="60" w:after="60"/>
              <w:jc w:val="center"/>
              <w:rPr>
                <w:rFonts w:ascii="Tahoma" w:hAnsi="Tahoma" w:cs="Tahoma"/>
                <w:b/>
                <w:noProof/>
                <w:sz w:val="22"/>
                <w:szCs w:val="22"/>
              </w:rPr>
            </w:pPr>
            <w:r>
              <w:rPr>
                <w:rFonts w:ascii="Tahoma" w:hAnsi="Tahoma"/>
                <w:b/>
                <w:noProof/>
                <w:sz w:val="22"/>
              </w:rPr>
              <w:t>B. Rešitve</w:t>
            </w:r>
          </w:p>
        </w:tc>
      </w:tr>
      <w:tr w:rsidR="00746B1E">
        <w:tc>
          <w:tcPr>
            <w:tcW w:w="10188" w:type="dxa"/>
            <w:tcBorders>
              <w:bottom w:val="single" w:sz="4" w:space="0" w:color="auto"/>
            </w:tcBorders>
            <w:shd w:val="clear" w:color="auto" w:fill="E6E6E6"/>
          </w:tcPr>
          <w:p w:rsidR="00746B1E" w:rsidRDefault="00363CF1">
            <w:pPr>
              <w:spacing w:before="60"/>
              <w:jc w:val="both"/>
              <w:rPr>
                <w:rFonts w:ascii="Tahoma" w:hAnsi="Tahoma" w:cs="Tahoma"/>
                <w:noProof/>
                <w:sz w:val="20"/>
                <w:szCs w:val="20"/>
              </w:rPr>
            </w:pPr>
            <w:r>
              <w:rPr>
                <w:rFonts w:ascii="Tahoma" w:hAnsi="Tahoma"/>
                <w:b/>
                <w:noProof/>
                <w:sz w:val="20"/>
              </w:rPr>
              <w:t>Katere zakonodajne in nezakonodajne možnosti politike so se upoštevale? Ali ima katera od njih prednost? Zakaj?</w:t>
            </w:r>
            <w:r>
              <w:rPr>
                <w:rFonts w:ascii="Tahoma" w:hAnsi="Tahoma"/>
                <w:noProof/>
                <w:sz w:val="20"/>
              </w:rPr>
              <w:t xml:space="preserve"> </w:t>
            </w:r>
          </w:p>
        </w:tc>
      </w:tr>
      <w:tr w:rsidR="00746B1E">
        <w:tc>
          <w:tcPr>
            <w:tcW w:w="10188" w:type="dxa"/>
            <w:tcBorders>
              <w:bottom w:val="single" w:sz="4" w:space="0" w:color="auto"/>
            </w:tcBorders>
            <w:shd w:val="clear" w:color="auto" w:fill="auto"/>
          </w:tcPr>
          <w:p w:rsidR="00746B1E" w:rsidRDefault="00363CF1">
            <w:pPr>
              <w:pStyle w:val="Default"/>
              <w:jc w:val="both"/>
              <w:rPr>
                <w:noProof/>
                <w:sz w:val="20"/>
                <w:szCs w:val="20"/>
                <w:u w:val="single"/>
              </w:rPr>
            </w:pPr>
            <w:r>
              <w:rPr>
                <w:noProof/>
                <w:sz w:val="20"/>
              </w:rPr>
              <w:t xml:space="preserve">Prvič, preučuje se oblikovanje celovite rešitve. Glavne možnosti: </w:t>
            </w:r>
          </w:p>
          <w:p w:rsidR="00746B1E" w:rsidRDefault="00363CF1">
            <w:pPr>
              <w:pStyle w:val="Default"/>
              <w:ind w:left="284"/>
              <w:jc w:val="both"/>
              <w:rPr>
                <w:noProof/>
                <w:sz w:val="20"/>
                <w:szCs w:val="20"/>
              </w:rPr>
            </w:pPr>
            <w:r>
              <w:rPr>
                <w:noProof/>
                <w:sz w:val="20"/>
                <w:u w:val="single"/>
              </w:rPr>
              <w:t>možnost 1</w:t>
            </w:r>
            <w:r>
              <w:rPr>
                <w:noProof/>
                <w:sz w:val="20"/>
              </w:rPr>
              <w:t xml:space="preserve">: sprememba pravil za predlog o skupni konsolidirani osnovi za davek od dohodkov pravnih oseb (CCCTB); </w:t>
            </w:r>
          </w:p>
          <w:p w:rsidR="00746B1E" w:rsidRDefault="00363CF1">
            <w:pPr>
              <w:pStyle w:val="Default"/>
              <w:ind w:left="284"/>
              <w:jc w:val="both"/>
              <w:rPr>
                <w:noProof/>
                <w:sz w:val="20"/>
                <w:szCs w:val="20"/>
                <w:u w:val="single"/>
              </w:rPr>
            </w:pPr>
            <w:r>
              <w:rPr>
                <w:rFonts w:eastAsiaTheme="minorHAnsi"/>
                <w:noProof/>
                <w:sz w:val="20"/>
                <w:u w:val="single"/>
              </w:rPr>
              <w:t>možnost 2</w:t>
            </w:r>
            <w:r>
              <w:rPr>
                <w:rFonts w:eastAsiaTheme="minorHAnsi"/>
                <w:noProof/>
                <w:sz w:val="20"/>
              </w:rPr>
              <w:t xml:space="preserve">: direktiva o načelih digitalne stalne poslovne enote in dodelitve </w:t>
            </w:r>
            <w:r>
              <w:rPr>
                <w:rFonts w:eastAsiaTheme="minorHAnsi"/>
                <w:noProof/>
                <w:sz w:val="20"/>
              </w:rPr>
              <w:t xml:space="preserve">dobička s prilagoditvami CCCTB;  </w:t>
            </w:r>
          </w:p>
          <w:p w:rsidR="00746B1E" w:rsidRDefault="00363CF1">
            <w:pPr>
              <w:pStyle w:val="Default"/>
              <w:ind w:left="284"/>
              <w:jc w:val="both"/>
              <w:rPr>
                <w:noProof/>
                <w:sz w:val="20"/>
                <w:szCs w:val="20"/>
              </w:rPr>
            </w:pPr>
            <w:r>
              <w:rPr>
                <w:rFonts w:eastAsiaTheme="minorHAnsi"/>
                <w:noProof/>
                <w:sz w:val="20"/>
                <w:u w:val="single"/>
              </w:rPr>
              <w:t>možnost 3 (prednostna)</w:t>
            </w:r>
            <w:r>
              <w:rPr>
                <w:rFonts w:eastAsiaTheme="minorHAnsi"/>
                <w:noProof/>
                <w:sz w:val="20"/>
              </w:rPr>
              <w:t xml:space="preserve">: možnost 2 in priporočilo za spremembo pravil v razmerju do tretjih držav. </w:t>
            </w:r>
          </w:p>
          <w:p w:rsidR="00746B1E" w:rsidRDefault="00363CF1">
            <w:pPr>
              <w:pStyle w:val="Default"/>
              <w:jc w:val="both"/>
              <w:rPr>
                <w:noProof/>
                <w:sz w:val="20"/>
                <w:szCs w:val="20"/>
              </w:rPr>
            </w:pPr>
            <w:r>
              <w:rPr>
                <w:noProof/>
                <w:sz w:val="20"/>
              </w:rPr>
              <w:t>Drugič, za reformo pravil o davku od dohodkov pravnih oseb bo potreben čas in v izogib enostranskim ukrepom držav članic se</w:t>
            </w:r>
            <w:r>
              <w:rPr>
                <w:noProof/>
                <w:sz w:val="20"/>
              </w:rPr>
              <w:t xml:space="preserve"> prav tako preučuje </w:t>
            </w:r>
            <w:r>
              <w:rPr>
                <w:b/>
                <w:noProof/>
                <w:sz w:val="20"/>
              </w:rPr>
              <w:t>začasna</w:t>
            </w:r>
            <w:r>
              <w:rPr>
                <w:noProof/>
                <w:sz w:val="20"/>
              </w:rPr>
              <w:t xml:space="preserve"> rešitev. Prednostna začasna rešitev je direktiva o skupnem sistemu davka na nekatere digitalne dejavnosti.  </w:t>
            </w:r>
          </w:p>
        </w:tc>
      </w:tr>
      <w:tr w:rsidR="00746B1E">
        <w:tc>
          <w:tcPr>
            <w:tcW w:w="10188" w:type="dxa"/>
            <w:shd w:val="clear" w:color="auto" w:fill="CCCCCC"/>
          </w:tcPr>
          <w:p w:rsidR="00746B1E" w:rsidRDefault="00363CF1">
            <w:pPr>
              <w:spacing w:before="60"/>
              <w:jc w:val="both"/>
              <w:rPr>
                <w:rFonts w:ascii="Tahoma" w:hAnsi="Tahoma" w:cs="Tahoma"/>
                <w:noProof/>
                <w:sz w:val="20"/>
                <w:szCs w:val="20"/>
              </w:rPr>
            </w:pPr>
            <w:r>
              <w:rPr>
                <w:rFonts w:ascii="Tahoma" w:hAnsi="Tahoma"/>
                <w:b/>
                <w:noProof/>
                <w:sz w:val="20"/>
              </w:rPr>
              <w:t>Kdo podpira katero možnost?</w:t>
            </w:r>
            <w:r>
              <w:rPr>
                <w:rFonts w:ascii="Tahoma" w:hAnsi="Tahoma"/>
                <w:noProof/>
                <w:sz w:val="20"/>
              </w:rPr>
              <w:t xml:space="preserve"> </w:t>
            </w:r>
          </w:p>
        </w:tc>
      </w:tr>
      <w:tr w:rsidR="00746B1E">
        <w:trPr>
          <w:trHeight w:val="862"/>
        </w:trPr>
        <w:tc>
          <w:tcPr>
            <w:tcW w:w="10188" w:type="dxa"/>
            <w:shd w:val="clear" w:color="auto" w:fill="auto"/>
          </w:tcPr>
          <w:p w:rsidR="00746B1E" w:rsidRDefault="00363CF1">
            <w:pPr>
              <w:pStyle w:val="Default"/>
              <w:jc w:val="both"/>
              <w:rPr>
                <w:noProof/>
                <w:sz w:val="20"/>
                <w:szCs w:val="20"/>
              </w:rPr>
            </w:pPr>
            <w:r>
              <w:rPr>
                <w:i/>
                <w:noProof/>
                <w:sz w:val="20"/>
                <w:u w:val="single"/>
              </w:rPr>
              <w:t>Celovita rešitev:</w:t>
            </w:r>
            <w:r>
              <w:rPr>
                <w:noProof/>
                <w:sz w:val="20"/>
              </w:rPr>
              <w:t xml:space="preserve"> 14 od 21 nacionalnih davčnih organov in 58 % od 446 udeležencev javnega posvetovanja meni, da je mogoče s celovito rešitvijo najbolje obravnavati trenutne težave. </w:t>
            </w:r>
          </w:p>
          <w:p w:rsidR="00746B1E" w:rsidRDefault="00363CF1">
            <w:pPr>
              <w:pStyle w:val="Default"/>
              <w:jc w:val="both"/>
              <w:rPr>
                <w:noProof/>
                <w:sz w:val="20"/>
              </w:rPr>
            </w:pPr>
            <w:r>
              <w:rPr>
                <w:i/>
                <w:noProof/>
                <w:sz w:val="20"/>
                <w:u w:val="single"/>
              </w:rPr>
              <w:t>Začasna rešitev:</w:t>
            </w:r>
            <w:r>
              <w:rPr>
                <w:noProof/>
                <w:sz w:val="20"/>
              </w:rPr>
              <w:t xml:space="preserve"> 10 od 21 nacionalnih davčnih organov in 53 % udeležencev javnega posvetova</w:t>
            </w:r>
            <w:r>
              <w:rPr>
                <w:noProof/>
                <w:sz w:val="20"/>
              </w:rPr>
              <w:t>nja meni, da je mogoče z „davkom na prihodke, ki izhajajo iz nekaterih digitalnih storitev,“ najbolje obravnavati trenutne težave.</w:t>
            </w:r>
          </w:p>
        </w:tc>
      </w:tr>
      <w:tr w:rsidR="00746B1E">
        <w:tc>
          <w:tcPr>
            <w:tcW w:w="10188" w:type="dxa"/>
            <w:tcBorders>
              <w:bottom w:val="single" w:sz="4" w:space="0" w:color="auto"/>
            </w:tcBorders>
            <w:shd w:val="clear" w:color="auto" w:fill="CCCCCC"/>
          </w:tcPr>
          <w:p w:rsidR="00746B1E" w:rsidRDefault="00363CF1">
            <w:pPr>
              <w:spacing w:before="60"/>
              <w:jc w:val="center"/>
              <w:rPr>
                <w:rFonts w:ascii="Tahoma" w:hAnsi="Tahoma" w:cs="Tahoma"/>
                <w:b/>
                <w:noProof/>
                <w:sz w:val="22"/>
                <w:szCs w:val="22"/>
              </w:rPr>
            </w:pPr>
            <w:r>
              <w:rPr>
                <w:rFonts w:ascii="Tahoma" w:hAnsi="Tahoma"/>
                <w:b/>
                <w:noProof/>
                <w:sz w:val="22"/>
              </w:rPr>
              <w:t>C. Učinki prednostne možnosti</w:t>
            </w:r>
          </w:p>
        </w:tc>
      </w:tr>
      <w:tr w:rsidR="00746B1E">
        <w:tc>
          <w:tcPr>
            <w:tcW w:w="10188" w:type="dxa"/>
            <w:tcBorders>
              <w:bottom w:val="single" w:sz="4" w:space="0" w:color="auto"/>
            </w:tcBorders>
            <w:shd w:val="clear" w:color="auto" w:fill="E6E6E6"/>
          </w:tcPr>
          <w:p w:rsidR="00746B1E" w:rsidRDefault="00363CF1">
            <w:pPr>
              <w:spacing w:before="60"/>
              <w:jc w:val="both"/>
              <w:rPr>
                <w:rFonts w:ascii="Tahoma" w:hAnsi="Tahoma" w:cs="Tahoma"/>
                <w:noProof/>
                <w:sz w:val="20"/>
                <w:szCs w:val="20"/>
              </w:rPr>
            </w:pPr>
            <w:r>
              <w:rPr>
                <w:rFonts w:ascii="Tahoma" w:hAnsi="Tahoma"/>
                <w:b/>
                <w:noProof/>
                <w:sz w:val="20"/>
              </w:rPr>
              <w:t>Kakšne so koristi prednostne možnosti (če obstaja, sicer glavnih možnosti)?</w:t>
            </w:r>
            <w:r>
              <w:rPr>
                <w:rFonts w:ascii="Tahoma" w:hAnsi="Tahoma"/>
                <w:noProof/>
                <w:sz w:val="20"/>
              </w:rPr>
              <w:t xml:space="preserve">                                      </w:t>
            </w:r>
          </w:p>
        </w:tc>
      </w:tr>
      <w:tr w:rsidR="00746B1E">
        <w:tc>
          <w:tcPr>
            <w:tcW w:w="10188" w:type="dxa"/>
            <w:tcBorders>
              <w:bottom w:val="single" w:sz="4" w:space="0" w:color="auto"/>
            </w:tcBorders>
            <w:shd w:val="clear" w:color="auto" w:fill="auto"/>
          </w:tcPr>
          <w:p w:rsidR="00746B1E" w:rsidRDefault="00363CF1">
            <w:pPr>
              <w:pStyle w:val="Default"/>
              <w:jc w:val="both"/>
              <w:rPr>
                <w:noProof/>
                <w:sz w:val="20"/>
                <w:szCs w:val="20"/>
              </w:rPr>
            </w:pPr>
            <w:r>
              <w:rPr>
                <w:i/>
                <w:noProof/>
                <w:sz w:val="20"/>
                <w:u w:val="single"/>
              </w:rPr>
              <w:t>Celovita rešitev</w:t>
            </w:r>
            <w:r>
              <w:rPr>
                <w:i/>
                <w:noProof/>
                <w:sz w:val="20"/>
              </w:rPr>
              <w:t xml:space="preserve">: </w:t>
            </w:r>
            <w:r>
              <w:rPr>
                <w:noProof/>
                <w:sz w:val="20"/>
              </w:rPr>
              <w:t xml:space="preserve">Rešitev bi izboljšala mnenje </w:t>
            </w:r>
            <w:r>
              <w:rPr>
                <w:b/>
                <w:noProof/>
                <w:sz w:val="20"/>
              </w:rPr>
              <w:t>državljanov</w:t>
            </w:r>
            <w:r>
              <w:rPr>
                <w:noProof/>
                <w:sz w:val="20"/>
              </w:rPr>
              <w:t xml:space="preserve"> o pravičnosti z zagotovitvijo, da se velika podjetja, ki izvajajo pomembne digitalne dejavnosti, ne bi mogla izogniti plačilu svojih davkov v EU. </w:t>
            </w:r>
            <w:r>
              <w:rPr>
                <w:b/>
                <w:noProof/>
                <w:sz w:val="20"/>
              </w:rPr>
              <w:t>Podjetja</w:t>
            </w:r>
            <w:r>
              <w:rPr>
                <w:noProof/>
                <w:sz w:val="20"/>
              </w:rPr>
              <w:t xml:space="preserve"> bi</w:t>
            </w:r>
            <w:r>
              <w:rPr>
                <w:noProof/>
                <w:sz w:val="20"/>
              </w:rPr>
              <w:t xml:space="preserve"> imela koristi od enakovrednejših konkurenčnih pogojev, saj bi revizija pravil odpravila izkrivljanja konkurence. </w:t>
            </w:r>
            <w:r>
              <w:rPr>
                <w:b/>
                <w:noProof/>
                <w:sz w:val="20"/>
              </w:rPr>
              <w:t>Nacionalne davčne uprave</w:t>
            </w:r>
            <w:r>
              <w:rPr>
                <w:noProof/>
                <w:sz w:val="20"/>
              </w:rPr>
              <w:t xml:space="preserve"> bi imele koristi zaradi pozitivnega vpliva na javne finance, saj bo rešitev prispevala k dolgoročni vzdržnosti sistem</w:t>
            </w:r>
            <w:r>
              <w:rPr>
                <w:noProof/>
                <w:sz w:val="20"/>
              </w:rPr>
              <w:t xml:space="preserve">a obdavčitve dohodkov pravnih oseb. </w:t>
            </w:r>
          </w:p>
          <w:p w:rsidR="00746B1E" w:rsidRDefault="00363CF1">
            <w:pPr>
              <w:pStyle w:val="Default"/>
              <w:jc w:val="both"/>
              <w:rPr>
                <w:i/>
                <w:noProof/>
                <w:sz w:val="20"/>
                <w:szCs w:val="20"/>
              </w:rPr>
            </w:pPr>
            <w:r>
              <w:rPr>
                <w:i/>
                <w:noProof/>
                <w:sz w:val="20"/>
                <w:u w:val="single"/>
              </w:rPr>
              <w:t>Začasna rešitev</w:t>
            </w:r>
            <w:r>
              <w:rPr>
                <w:i/>
                <w:noProof/>
                <w:sz w:val="20"/>
              </w:rPr>
              <w:t xml:space="preserve">: </w:t>
            </w:r>
            <w:r>
              <w:rPr>
                <w:noProof/>
                <w:sz w:val="20"/>
              </w:rPr>
              <w:t xml:space="preserve">Ta rešitev bi izboljšala mnenje </w:t>
            </w:r>
            <w:r>
              <w:rPr>
                <w:b/>
                <w:noProof/>
                <w:sz w:val="20"/>
              </w:rPr>
              <w:t>državljanov</w:t>
            </w:r>
            <w:r>
              <w:rPr>
                <w:noProof/>
                <w:sz w:val="20"/>
              </w:rPr>
              <w:t xml:space="preserve"> o pravičnosti z zagotovitvijo minimalne ravni obdavčitve v EU za podjetja, ki se najbolj opirajo na prispevke uporabnikov in podatke. Ker bo ta rešitev prepre</w:t>
            </w:r>
            <w:r>
              <w:rPr>
                <w:noProof/>
                <w:sz w:val="20"/>
              </w:rPr>
              <w:t xml:space="preserve">čila razdrobljenost enotnega trga, bo zagotovila stabilen davčni okvir za podjetja, ki delujejo v EU. </w:t>
            </w:r>
          </w:p>
        </w:tc>
      </w:tr>
      <w:tr w:rsidR="00746B1E">
        <w:tc>
          <w:tcPr>
            <w:tcW w:w="10188" w:type="dxa"/>
            <w:tcBorders>
              <w:bottom w:val="single" w:sz="4" w:space="0" w:color="auto"/>
            </w:tcBorders>
            <w:shd w:val="clear" w:color="auto" w:fill="E6E6E6"/>
          </w:tcPr>
          <w:p w:rsidR="00746B1E" w:rsidRDefault="00363CF1">
            <w:pPr>
              <w:spacing w:before="60"/>
              <w:jc w:val="both"/>
              <w:rPr>
                <w:rFonts w:ascii="Tahoma" w:hAnsi="Tahoma" w:cs="Tahoma"/>
                <w:noProof/>
                <w:sz w:val="20"/>
                <w:szCs w:val="20"/>
              </w:rPr>
            </w:pPr>
            <w:r>
              <w:rPr>
                <w:rFonts w:ascii="Tahoma" w:hAnsi="Tahoma"/>
                <w:b/>
                <w:noProof/>
                <w:sz w:val="20"/>
              </w:rPr>
              <w:t>Kakšni so stroški prednostne možnosti (če obstaja, sicer glavnih možnosti)?</w:t>
            </w:r>
            <w:r>
              <w:rPr>
                <w:rFonts w:ascii="Tahoma" w:hAnsi="Tahoma"/>
                <w:noProof/>
                <w:sz w:val="20"/>
              </w:rPr>
              <w:t xml:space="preserve"> </w:t>
            </w:r>
          </w:p>
        </w:tc>
      </w:tr>
      <w:tr w:rsidR="00746B1E">
        <w:tc>
          <w:tcPr>
            <w:tcW w:w="10188" w:type="dxa"/>
            <w:tcBorders>
              <w:bottom w:val="single" w:sz="4" w:space="0" w:color="auto"/>
            </w:tcBorders>
            <w:shd w:val="clear" w:color="auto" w:fill="auto"/>
          </w:tcPr>
          <w:p w:rsidR="00746B1E" w:rsidRDefault="00363CF1">
            <w:pPr>
              <w:pStyle w:val="Default"/>
              <w:jc w:val="both"/>
              <w:rPr>
                <w:noProof/>
                <w:sz w:val="20"/>
                <w:szCs w:val="20"/>
              </w:rPr>
            </w:pPr>
            <w:r>
              <w:rPr>
                <w:i/>
                <w:noProof/>
                <w:sz w:val="20"/>
                <w:u w:val="single"/>
              </w:rPr>
              <w:t>Celovita rešitev</w:t>
            </w:r>
            <w:r>
              <w:rPr>
                <w:i/>
                <w:noProof/>
                <w:sz w:val="20"/>
              </w:rPr>
              <w:t xml:space="preserve">: </w:t>
            </w:r>
            <w:r>
              <w:rPr>
                <w:noProof/>
                <w:sz w:val="20"/>
              </w:rPr>
              <w:t>Ta ukrep bi povečal regulativno obremenitev in obremenit</w:t>
            </w:r>
            <w:r>
              <w:rPr>
                <w:noProof/>
                <w:sz w:val="20"/>
              </w:rPr>
              <w:t xml:space="preserve">ev zaradi izpolnjevanja obveznosti za vsa </w:t>
            </w:r>
            <w:r>
              <w:rPr>
                <w:b/>
                <w:noProof/>
                <w:sz w:val="20"/>
              </w:rPr>
              <w:t>podjetja</w:t>
            </w:r>
            <w:r>
              <w:rPr>
                <w:noProof/>
                <w:sz w:val="20"/>
              </w:rPr>
              <w:t xml:space="preserve">, ki bi jih ta rešitev zajela. Tudi </w:t>
            </w:r>
            <w:r>
              <w:rPr>
                <w:b/>
                <w:noProof/>
                <w:sz w:val="20"/>
              </w:rPr>
              <w:t>nacionalne davčne uprave</w:t>
            </w:r>
            <w:r>
              <w:rPr>
                <w:noProof/>
                <w:sz w:val="20"/>
              </w:rPr>
              <w:t xml:space="preserve"> bi imele stroške za vzpostavitev novega sistema, zlasti na področju IT in usposabljanja osebja. </w:t>
            </w:r>
          </w:p>
          <w:p w:rsidR="00746B1E" w:rsidRDefault="00363CF1">
            <w:pPr>
              <w:pStyle w:val="Default"/>
              <w:jc w:val="both"/>
              <w:rPr>
                <w:i/>
                <w:noProof/>
                <w:sz w:val="20"/>
                <w:szCs w:val="20"/>
              </w:rPr>
            </w:pPr>
            <w:r>
              <w:rPr>
                <w:i/>
                <w:noProof/>
                <w:sz w:val="20"/>
                <w:u w:val="single"/>
              </w:rPr>
              <w:t>Začasna rešitev</w:t>
            </w:r>
            <w:r>
              <w:rPr>
                <w:i/>
                <w:noProof/>
                <w:sz w:val="20"/>
              </w:rPr>
              <w:t xml:space="preserve">: </w:t>
            </w:r>
            <w:r>
              <w:rPr>
                <w:b/>
                <w:noProof/>
                <w:sz w:val="20"/>
              </w:rPr>
              <w:t>Velika podjetja</w:t>
            </w:r>
            <w:r>
              <w:rPr>
                <w:noProof/>
                <w:sz w:val="20"/>
              </w:rPr>
              <w:t>, ki bodo preseg</w:t>
            </w:r>
            <w:r>
              <w:rPr>
                <w:noProof/>
                <w:sz w:val="20"/>
              </w:rPr>
              <w:t xml:space="preserve">ala pragove, bi imela dodatne zahteve po poročanju za izračun svojih davčnih osnov v državah članicah, v katerih so dejavna. Tudi </w:t>
            </w:r>
            <w:r>
              <w:rPr>
                <w:b/>
                <w:noProof/>
                <w:sz w:val="20"/>
              </w:rPr>
              <w:t>nacionalne davčne uprave</w:t>
            </w:r>
            <w:r>
              <w:rPr>
                <w:noProof/>
                <w:sz w:val="20"/>
              </w:rPr>
              <w:t xml:space="preserve"> bi imele začetne stroške pri vzpostavitvi novega sistema, zlasti na področju IT in usposabljanja oseb</w:t>
            </w:r>
            <w:r>
              <w:rPr>
                <w:noProof/>
                <w:sz w:val="20"/>
              </w:rPr>
              <w:t xml:space="preserve">ja. </w:t>
            </w:r>
          </w:p>
        </w:tc>
      </w:tr>
      <w:tr w:rsidR="00746B1E">
        <w:tc>
          <w:tcPr>
            <w:tcW w:w="10188" w:type="dxa"/>
            <w:tcBorders>
              <w:bottom w:val="single" w:sz="4" w:space="0" w:color="auto"/>
            </w:tcBorders>
            <w:shd w:val="clear" w:color="auto" w:fill="E6E6E6"/>
          </w:tcPr>
          <w:p w:rsidR="00746B1E" w:rsidRDefault="00363CF1">
            <w:pPr>
              <w:spacing w:before="60"/>
              <w:jc w:val="both"/>
              <w:rPr>
                <w:rFonts w:ascii="Tahoma" w:hAnsi="Tahoma" w:cs="Tahoma"/>
                <w:noProof/>
                <w:sz w:val="20"/>
                <w:szCs w:val="20"/>
              </w:rPr>
            </w:pPr>
            <w:r>
              <w:rPr>
                <w:rFonts w:ascii="Tahoma" w:hAnsi="Tahoma"/>
                <w:b/>
                <w:noProof/>
                <w:sz w:val="20"/>
              </w:rPr>
              <w:t xml:space="preserve">Kakšen bo vpliv na podjetja, MSP ter mikropodjetja? </w:t>
            </w:r>
          </w:p>
        </w:tc>
      </w:tr>
      <w:tr w:rsidR="00746B1E">
        <w:tc>
          <w:tcPr>
            <w:tcW w:w="10188" w:type="dxa"/>
            <w:tcBorders>
              <w:bottom w:val="single" w:sz="4" w:space="0" w:color="auto"/>
            </w:tcBorders>
            <w:shd w:val="clear" w:color="auto" w:fill="auto"/>
          </w:tcPr>
          <w:p w:rsidR="00746B1E" w:rsidRDefault="00363CF1">
            <w:pPr>
              <w:spacing w:before="60"/>
              <w:jc w:val="both"/>
              <w:rPr>
                <w:rFonts w:ascii="Arial" w:hAnsi="Arial" w:cs="Arial"/>
                <w:noProof/>
                <w:sz w:val="20"/>
                <w:szCs w:val="20"/>
              </w:rPr>
            </w:pPr>
            <w:r>
              <w:rPr>
                <w:rFonts w:ascii="Arial" w:hAnsi="Arial"/>
                <w:i/>
                <w:noProof/>
                <w:sz w:val="20"/>
                <w:u w:val="single"/>
              </w:rPr>
              <w:lastRenderedPageBreak/>
              <w:t>Celovita rešitev</w:t>
            </w:r>
            <w:r>
              <w:rPr>
                <w:rFonts w:ascii="Arial" w:hAnsi="Arial"/>
                <w:noProof/>
                <w:sz w:val="20"/>
              </w:rPr>
              <w:t xml:space="preserve"> – ukrep bi ponovno vzpostavil enake konkurenčne pogoje za multinacionalne družbe in manjša podjetja, ki so pogosto manj razvita na področju digitalizacije ali manj čezmejno dejavna. To bi koristilo MSP in mikropodjetjem. Ukrep bi lahko povečal regulativno</w:t>
            </w:r>
            <w:r>
              <w:rPr>
                <w:rFonts w:ascii="Arial" w:hAnsi="Arial"/>
                <w:noProof/>
                <w:sz w:val="20"/>
              </w:rPr>
              <w:t xml:space="preserve"> obremenitev in obremenitev zaradi izpolnjevanja obveznosti, kar bi lahko imelo večji negativen vpliv na čezmejna MSP. </w:t>
            </w:r>
          </w:p>
          <w:p w:rsidR="00746B1E" w:rsidRDefault="00363CF1">
            <w:pPr>
              <w:spacing w:before="60"/>
              <w:jc w:val="both"/>
              <w:rPr>
                <w:rFonts w:ascii="Arial" w:hAnsi="Arial" w:cs="Arial"/>
                <w:i/>
                <w:noProof/>
                <w:sz w:val="20"/>
                <w:szCs w:val="20"/>
              </w:rPr>
            </w:pPr>
            <w:r>
              <w:rPr>
                <w:rFonts w:ascii="Arial" w:hAnsi="Arial"/>
                <w:i/>
                <w:noProof/>
                <w:sz w:val="20"/>
                <w:u w:val="single"/>
              </w:rPr>
              <w:t>Začasna rešitev</w:t>
            </w:r>
            <w:r>
              <w:rPr>
                <w:rFonts w:ascii="Arial" w:hAnsi="Arial"/>
                <w:noProof/>
                <w:sz w:val="20"/>
              </w:rPr>
              <w:t xml:space="preserve"> – na MSP ne bi vplivala, saj njihovi prihodki ne bi dosegli praga. </w:t>
            </w:r>
          </w:p>
        </w:tc>
      </w:tr>
      <w:tr w:rsidR="00746B1E">
        <w:tc>
          <w:tcPr>
            <w:tcW w:w="10188" w:type="dxa"/>
            <w:tcBorders>
              <w:bottom w:val="single" w:sz="4" w:space="0" w:color="auto"/>
            </w:tcBorders>
            <w:shd w:val="clear" w:color="auto" w:fill="E6E6E6"/>
          </w:tcPr>
          <w:p w:rsidR="00746B1E" w:rsidRDefault="00363CF1">
            <w:pPr>
              <w:spacing w:before="60"/>
              <w:jc w:val="both"/>
              <w:rPr>
                <w:rFonts w:ascii="Tahoma" w:hAnsi="Tahoma" w:cs="Tahoma"/>
                <w:b/>
                <w:i/>
                <w:noProof/>
                <w:sz w:val="20"/>
                <w:szCs w:val="20"/>
              </w:rPr>
            </w:pPr>
            <w:r>
              <w:rPr>
                <w:rFonts w:ascii="Tahoma" w:hAnsi="Tahoma"/>
                <w:b/>
                <w:noProof/>
                <w:sz w:val="20"/>
              </w:rPr>
              <w:t>Ali bo prišlo do znatnih učinkov</w:t>
            </w:r>
            <w:r>
              <w:rPr>
                <w:rFonts w:ascii="Tahoma" w:hAnsi="Tahoma"/>
                <w:noProof/>
                <w:sz w:val="20"/>
              </w:rPr>
              <w:t xml:space="preserve"> </w:t>
            </w:r>
            <w:r>
              <w:rPr>
                <w:rFonts w:ascii="Tahoma" w:hAnsi="Tahoma"/>
                <w:b/>
                <w:noProof/>
                <w:sz w:val="20"/>
              </w:rPr>
              <w:t xml:space="preserve">na nacionalne </w:t>
            </w:r>
            <w:r>
              <w:rPr>
                <w:rFonts w:ascii="Tahoma" w:hAnsi="Tahoma"/>
                <w:b/>
                <w:noProof/>
                <w:sz w:val="20"/>
              </w:rPr>
              <w:t>proračune in uprave?</w:t>
            </w:r>
          </w:p>
        </w:tc>
      </w:tr>
      <w:tr w:rsidR="00746B1E">
        <w:tc>
          <w:tcPr>
            <w:tcW w:w="10188" w:type="dxa"/>
            <w:shd w:val="clear" w:color="auto" w:fill="auto"/>
          </w:tcPr>
          <w:p w:rsidR="00746B1E" w:rsidRDefault="00363CF1">
            <w:pPr>
              <w:pStyle w:val="Default"/>
              <w:jc w:val="both"/>
              <w:rPr>
                <w:noProof/>
                <w:sz w:val="20"/>
                <w:szCs w:val="20"/>
              </w:rPr>
            </w:pPr>
            <w:r>
              <w:rPr>
                <w:noProof/>
                <w:sz w:val="20"/>
              </w:rPr>
              <w:t>Celovita rešitev bi prispevala k dolgoročni vzdržnosti sistema obdavčitve dohodkov pravnih oseb in k pravičnejši porazdelitvi davčnih prihodkov. Z začasno rešitvijo bi se povečali dodatni prihodki za nacionalne proračune, čeprav bi bi</w:t>
            </w:r>
            <w:r>
              <w:rPr>
                <w:noProof/>
                <w:sz w:val="20"/>
              </w:rPr>
              <w:t xml:space="preserve">li pričakovani dodatni davčni prihodki dokaj zmerni zaradi ozkega področja uporabe rešitve in uporabe pragov. </w:t>
            </w:r>
          </w:p>
        </w:tc>
      </w:tr>
      <w:tr w:rsidR="00746B1E">
        <w:tc>
          <w:tcPr>
            <w:tcW w:w="10188" w:type="dxa"/>
            <w:tcBorders>
              <w:bottom w:val="single" w:sz="4" w:space="0" w:color="auto"/>
            </w:tcBorders>
            <w:shd w:val="clear" w:color="auto" w:fill="E6E6E6"/>
          </w:tcPr>
          <w:p w:rsidR="00746B1E" w:rsidRDefault="00363CF1">
            <w:pPr>
              <w:spacing w:before="60"/>
              <w:jc w:val="both"/>
              <w:rPr>
                <w:rFonts w:ascii="Tahoma" w:hAnsi="Tahoma" w:cs="Tahoma"/>
                <w:noProof/>
                <w:sz w:val="20"/>
                <w:szCs w:val="20"/>
              </w:rPr>
            </w:pPr>
            <w:r>
              <w:rPr>
                <w:rFonts w:ascii="Tahoma" w:hAnsi="Tahoma"/>
                <w:b/>
                <w:noProof/>
                <w:sz w:val="20"/>
              </w:rPr>
              <w:t>Bo imela pobuda druge pomembnejše učinke?</w:t>
            </w:r>
            <w:r>
              <w:rPr>
                <w:rFonts w:ascii="Tahoma" w:hAnsi="Tahoma"/>
                <w:noProof/>
                <w:sz w:val="20"/>
              </w:rPr>
              <w:t xml:space="preserve"> </w:t>
            </w:r>
          </w:p>
        </w:tc>
      </w:tr>
      <w:tr w:rsidR="00746B1E">
        <w:tc>
          <w:tcPr>
            <w:tcW w:w="10188" w:type="dxa"/>
            <w:tcBorders>
              <w:bottom w:val="single" w:sz="4" w:space="0" w:color="auto"/>
            </w:tcBorders>
            <w:shd w:val="clear" w:color="auto" w:fill="auto"/>
          </w:tcPr>
          <w:p w:rsidR="00746B1E" w:rsidRDefault="00363CF1">
            <w:pPr>
              <w:pStyle w:val="Default"/>
              <w:jc w:val="both"/>
              <w:rPr>
                <w:noProof/>
                <w:sz w:val="20"/>
                <w:szCs w:val="20"/>
              </w:rPr>
            </w:pPr>
            <w:r>
              <w:rPr>
                <w:noProof/>
                <w:sz w:val="20"/>
              </w:rPr>
              <w:t xml:space="preserve">Pričakuje se, da bo vizija EU v predlogu opredeljena kot zgled, ki bo vplival na mednarodne razprave. </w:t>
            </w:r>
          </w:p>
        </w:tc>
      </w:tr>
      <w:tr w:rsidR="00746B1E">
        <w:tc>
          <w:tcPr>
            <w:tcW w:w="10188" w:type="dxa"/>
            <w:tcBorders>
              <w:bottom w:val="single" w:sz="4" w:space="0" w:color="auto"/>
            </w:tcBorders>
            <w:shd w:val="clear" w:color="auto" w:fill="C0C0C0"/>
          </w:tcPr>
          <w:p w:rsidR="00746B1E" w:rsidRDefault="00363CF1">
            <w:pPr>
              <w:spacing w:before="60"/>
              <w:jc w:val="center"/>
              <w:rPr>
                <w:rFonts w:ascii="Tahoma" w:hAnsi="Tahoma" w:cs="Tahoma"/>
                <w:b/>
                <w:noProof/>
                <w:sz w:val="22"/>
                <w:szCs w:val="22"/>
              </w:rPr>
            </w:pPr>
            <w:r>
              <w:rPr>
                <w:rFonts w:ascii="Tahoma" w:hAnsi="Tahoma"/>
                <w:b/>
                <w:noProof/>
                <w:sz w:val="22"/>
              </w:rPr>
              <w:t>D. Spremljanje</w:t>
            </w:r>
          </w:p>
        </w:tc>
      </w:tr>
      <w:tr w:rsidR="00746B1E">
        <w:tc>
          <w:tcPr>
            <w:tcW w:w="10188" w:type="dxa"/>
            <w:tcBorders>
              <w:bottom w:val="single" w:sz="4" w:space="0" w:color="auto"/>
            </w:tcBorders>
            <w:shd w:val="clear" w:color="auto" w:fill="E6E6E6"/>
          </w:tcPr>
          <w:p w:rsidR="00746B1E" w:rsidRDefault="00363CF1">
            <w:pPr>
              <w:spacing w:before="60"/>
              <w:jc w:val="both"/>
              <w:rPr>
                <w:rFonts w:ascii="Tahoma" w:hAnsi="Tahoma" w:cs="Tahoma"/>
                <w:noProof/>
                <w:sz w:val="20"/>
                <w:szCs w:val="20"/>
              </w:rPr>
            </w:pPr>
            <w:r>
              <w:rPr>
                <w:rFonts w:ascii="Tahoma" w:hAnsi="Tahoma"/>
                <w:b/>
                <w:noProof/>
                <w:sz w:val="20"/>
              </w:rPr>
              <w:t xml:space="preserve">Kdaj se bo politika pregledala? </w:t>
            </w:r>
          </w:p>
        </w:tc>
      </w:tr>
      <w:tr w:rsidR="00746B1E">
        <w:tc>
          <w:tcPr>
            <w:tcW w:w="10188" w:type="dxa"/>
            <w:tcBorders>
              <w:bottom w:val="single" w:sz="4" w:space="0" w:color="auto"/>
            </w:tcBorders>
            <w:shd w:val="clear" w:color="auto" w:fill="auto"/>
          </w:tcPr>
          <w:p w:rsidR="00746B1E" w:rsidRDefault="00363CF1">
            <w:pPr>
              <w:jc w:val="both"/>
              <w:rPr>
                <w:rFonts w:ascii="Arial" w:hAnsi="Arial" w:cs="Arial"/>
                <w:noProof/>
                <w:sz w:val="20"/>
                <w:szCs w:val="20"/>
              </w:rPr>
            </w:pPr>
            <w:r>
              <w:rPr>
                <w:rFonts w:ascii="Arial" w:hAnsi="Arial"/>
                <w:noProof/>
                <w:sz w:val="20"/>
              </w:rPr>
              <w:t xml:space="preserve">Komisija bo spremljala izvajanje zakonodajnega predloga. Predlog bi bilo treba oceniti pet let po začetku izvajanja. </w:t>
            </w:r>
          </w:p>
        </w:tc>
      </w:tr>
    </w:tbl>
    <w:p w:rsidR="00746B1E" w:rsidRDefault="00746B1E">
      <w:pPr>
        <w:jc w:val="center"/>
        <w:rPr>
          <w:noProof/>
        </w:rPr>
      </w:pPr>
    </w:p>
    <w:sectPr w:rsidR="00746B1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1E" w:rsidRDefault="00363CF1">
      <w:r>
        <w:separator/>
      </w:r>
    </w:p>
  </w:endnote>
  <w:endnote w:type="continuationSeparator" w:id="0">
    <w:p w:rsidR="00746B1E" w:rsidRDefault="0036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F1" w:rsidRPr="00363CF1" w:rsidRDefault="00363CF1" w:rsidP="00363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F1" w:rsidRPr="00363CF1" w:rsidRDefault="00363CF1" w:rsidP="00363CF1">
    <w:pPr>
      <w:pStyle w:val="FooterCoverPage"/>
      <w:rPr>
        <w:rFonts w:ascii="Arial" w:hAnsi="Arial" w:cs="Arial"/>
        <w:b/>
        <w:sz w:val="48"/>
      </w:rPr>
    </w:pPr>
    <w:r w:rsidRPr="00363CF1">
      <w:rPr>
        <w:rFonts w:ascii="Arial" w:hAnsi="Arial" w:cs="Arial"/>
        <w:b/>
        <w:sz w:val="48"/>
      </w:rPr>
      <w:t>SL</w:t>
    </w:r>
    <w:r w:rsidRPr="00363CF1">
      <w:rPr>
        <w:rFonts w:ascii="Arial" w:hAnsi="Arial" w:cs="Arial"/>
        <w:b/>
        <w:sz w:val="48"/>
      </w:rPr>
      <w:tab/>
    </w:r>
    <w:r w:rsidRPr="00363CF1">
      <w:rPr>
        <w:rFonts w:ascii="Arial" w:hAnsi="Arial" w:cs="Arial"/>
        <w:b/>
        <w:sz w:val="48"/>
      </w:rPr>
      <w:tab/>
    </w:r>
    <w:r w:rsidRPr="00363CF1">
      <w:tab/>
    </w:r>
    <w:r w:rsidRPr="00363CF1">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F1" w:rsidRPr="00363CF1" w:rsidRDefault="00363CF1" w:rsidP="00363CF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1E" w:rsidRDefault="00746B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746B1E" w:rsidRDefault="00363C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1E" w:rsidRDefault="00746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1E" w:rsidRDefault="00363CF1">
      <w:r>
        <w:separator/>
      </w:r>
    </w:p>
  </w:footnote>
  <w:footnote w:type="continuationSeparator" w:id="0">
    <w:p w:rsidR="00746B1E" w:rsidRDefault="00363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F1" w:rsidRPr="00363CF1" w:rsidRDefault="00363CF1" w:rsidP="00363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F1" w:rsidRPr="00363CF1" w:rsidRDefault="00363CF1" w:rsidP="00363CF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F1" w:rsidRPr="00363CF1" w:rsidRDefault="00363CF1" w:rsidP="00363CF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1E" w:rsidRDefault="00746B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1E" w:rsidRDefault="00746B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1E" w:rsidRDefault="00746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317"/>
    <w:multiLevelType w:val="hybridMultilevel"/>
    <w:tmpl w:val="5B206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Spremni dokument"/>
    <w:docVar w:name="LW_CORRIGENDUM" w:val="&lt;UNUSED&gt;"/>
    <w:docVar w:name="LW_COVERPAGE_EXISTS" w:val="True"/>
    <w:docVar w:name="LW_COVERPAGE_GUID" w:val="112F0713-97BC-4B56-AD02-BE7D0E539758"/>
    <w:docVar w:name="LW_COVERPAGE_TYPE" w:val="1"/>
    <w:docVar w:name="LW_CROSSREFERENCE" w:val="{COM(2018) 147 final}_x000d__x000a_{COM(2018) 148 final}_x000a_{SWD(2018) 81 final}"/>
    <w:docVar w:name="LW_DocType" w:val="NORMAL"/>
    <w:docVar w:name="LW_EMISSION" w:val="21.3.2018"/>
    <w:docVar w:name="LW_EMISSION_ISODATE" w:val="2018-03-21"/>
    <w:docVar w:name="LW_EMISSION_LOCATION" w:val="BRX"/>
    <w:docVar w:name="LW_EMISSION_PREFIX" w:val="Bruselj,"/>
    <w:docVar w:name="LW_EMISSION_SUFFIX" w:val="&lt;EMPTY&gt;"/>
    <w:docVar w:name="LW_ID_DOCTYPE_NONLW" w:val="CP-027"/>
    <w:docVar w:name="LW_LANGUE" w:val="SL"/>
    <w:docVar w:name="LW_LEVEL_OF_SENSITIVITY" w:val="Standard treatment"/>
    <w:docVar w:name="LW_NOM.INST" w:val="EVROPSKA KOMISIJA"/>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8) 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ELOVNI DOKUMENT SLU\u381?B KOMISIJE_x000b__x000b_POVZETEK OCENE U\u268?INKA_x000b_"/>
    <w:docVar w:name="LW_TYPEACTEPRINCIPAL.CP" w:val="_x000b_k predlogu direktive Sveta o dolo\u269?itvi pravil glede obdav\u269?itve dohodkov pravnih oseb v zvezi s pomembno digitalno prisotnostjo_x000b__x000b_in k predlogu direktive Sveta o skupnem sistemu davka na digitalne storitve za prihodke od opravljanja nekaterih digitalnih storitev"/>
  </w:docVars>
  <w:rsids>
    <w:rsidRoot w:val="00746B1E"/>
    <w:rsid w:val="00363CF1"/>
    <w:rsid w:val="00746B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2">
    <w:name w:val="Text 2"/>
    <w:basedOn w:val="Normal"/>
    <w:pPr>
      <w:tabs>
        <w:tab w:val="left" w:pos="2302"/>
      </w:tabs>
      <w:spacing w:after="240"/>
      <w:ind w:left="1202"/>
      <w:jc w:val="both"/>
    </w:pPr>
    <w:rPr>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2">
    <w:name w:val="Text 2"/>
    <w:basedOn w:val="Normal"/>
    <w:pPr>
      <w:tabs>
        <w:tab w:val="left" w:pos="2302"/>
      </w:tabs>
      <w:spacing w:after="240"/>
      <w:ind w:left="1202"/>
      <w:jc w:val="both"/>
    </w:pPr>
    <w:rPr>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782</Words>
  <Characters>4689</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dcterms:created xsi:type="dcterms:W3CDTF">2018-03-16T14:56:00Z</dcterms:created>
  <dcterms:modified xsi:type="dcterms:W3CDTF">2018-03-21T15:44:00Z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