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EE0" w:rsidRDefault="00EC6711" w:rsidP="00EC6711">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540B7261-1A2C-4D37-840F-E152E8FD021F" style="width:450.75pt;height:417.75pt">
            <v:imagedata r:id="rId11" o:title=""/>
          </v:shape>
        </w:pict>
      </w:r>
    </w:p>
    <w:bookmarkEnd w:id="0"/>
    <w:p w:rsidR="00737EE0" w:rsidRDefault="00737EE0">
      <w:pPr>
        <w:pStyle w:val="Pagedecouverture"/>
        <w:rPr>
          <w:noProof/>
        </w:rPr>
        <w:sectPr w:rsidR="00737EE0" w:rsidSect="00EC6711">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tbl>
      <w:tblPr>
        <w:tblStyle w:val="TableGrid"/>
        <w:tblW w:w="10188" w:type="dxa"/>
        <w:tblLook w:val="01E0" w:firstRow="1" w:lastRow="1" w:firstColumn="1" w:lastColumn="1" w:noHBand="0" w:noVBand="0"/>
      </w:tblPr>
      <w:tblGrid>
        <w:gridCol w:w="10188"/>
      </w:tblGrid>
      <w:tr w:rsidR="00737EE0">
        <w:tc>
          <w:tcPr>
            <w:tcW w:w="10188" w:type="dxa"/>
            <w:tcBorders>
              <w:bottom w:val="single" w:sz="4" w:space="0" w:color="auto"/>
            </w:tcBorders>
            <w:shd w:val="clear" w:color="auto" w:fill="CCCCCC"/>
          </w:tcPr>
          <w:p w:rsidR="00737EE0" w:rsidRDefault="00EC6711">
            <w:pPr>
              <w:spacing w:before="60" w:after="60"/>
              <w:jc w:val="center"/>
              <w:rPr>
                <w:rFonts w:ascii="Tahoma" w:hAnsi="Tahoma" w:cs="Tahoma"/>
                <w:b/>
                <w:noProof/>
                <w:sz w:val="22"/>
                <w:szCs w:val="22"/>
              </w:rPr>
            </w:pPr>
            <w:bookmarkStart w:id="1" w:name="_GoBack"/>
            <w:bookmarkEnd w:id="1"/>
            <w:r>
              <w:rPr>
                <w:rFonts w:ascii="Tahoma" w:hAnsi="Tahoma"/>
                <w:b/>
                <w:noProof/>
                <w:sz w:val="22"/>
              </w:rPr>
              <w:lastRenderedPageBreak/>
              <w:t>Kopsavilkums</w:t>
            </w:r>
          </w:p>
        </w:tc>
      </w:tr>
      <w:tr w:rsidR="00737EE0">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737EE0" w:rsidRDefault="00EC6711">
            <w:pPr>
              <w:spacing w:before="120" w:after="120"/>
              <w:jc w:val="both"/>
              <w:rPr>
                <w:rFonts w:ascii="Tahoma" w:hAnsi="Tahoma" w:cs="Tahoma"/>
                <w:b/>
                <w:noProof/>
                <w:sz w:val="20"/>
                <w:szCs w:val="20"/>
              </w:rPr>
            </w:pPr>
            <w:r>
              <w:rPr>
                <w:rFonts w:ascii="Tahoma" w:hAnsi="Tahoma"/>
                <w:noProof/>
                <w:color w:val="FFFFFF" w:themeColor="background1"/>
                <w:sz w:val="20"/>
              </w:rPr>
              <w:t>Ietekmes novērtējums par taisnīgas nodokļu politikas nodrošināšanu digitālajā ekonomikā</w:t>
            </w:r>
          </w:p>
        </w:tc>
      </w:tr>
      <w:tr w:rsidR="00737EE0">
        <w:tc>
          <w:tcPr>
            <w:tcW w:w="10188" w:type="dxa"/>
            <w:tcBorders>
              <w:bottom w:val="single" w:sz="4" w:space="0" w:color="auto"/>
            </w:tcBorders>
            <w:shd w:val="clear" w:color="auto" w:fill="CCCCCC"/>
          </w:tcPr>
          <w:p w:rsidR="00737EE0" w:rsidRDefault="00EC6711">
            <w:pPr>
              <w:spacing w:before="60" w:after="60"/>
              <w:jc w:val="center"/>
              <w:rPr>
                <w:rFonts w:ascii="Tahoma" w:hAnsi="Tahoma" w:cs="Tahoma"/>
                <w:b/>
                <w:noProof/>
                <w:sz w:val="22"/>
                <w:szCs w:val="22"/>
              </w:rPr>
            </w:pPr>
            <w:r>
              <w:rPr>
                <w:rFonts w:ascii="Tahoma" w:hAnsi="Tahoma"/>
                <w:b/>
                <w:noProof/>
                <w:sz w:val="22"/>
              </w:rPr>
              <w:t>A. Rīcības nepieciešamība</w:t>
            </w:r>
          </w:p>
        </w:tc>
      </w:tr>
      <w:tr w:rsidR="00737EE0">
        <w:tc>
          <w:tcPr>
            <w:tcW w:w="10188" w:type="dxa"/>
            <w:tcBorders>
              <w:bottom w:val="single" w:sz="4" w:space="0" w:color="auto"/>
            </w:tcBorders>
            <w:shd w:val="clear" w:color="auto" w:fill="E0E0E0"/>
          </w:tcPr>
          <w:p w:rsidR="00737EE0" w:rsidRDefault="00EC6711">
            <w:pPr>
              <w:spacing w:before="60" w:after="60"/>
              <w:jc w:val="both"/>
              <w:rPr>
                <w:rFonts w:ascii="Tahoma" w:hAnsi="Tahoma" w:cs="Tahoma"/>
                <w:noProof/>
                <w:sz w:val="20"/>
                <w:szCs w:val="20"/>
              </w:rPr>
            </w:pPr>
            <w:r>
              <w:rPr>
                <w:rFonts w:ascii="Tahoma" w:hAnsi="Tahoma"/>
                <w:b/>
                <w:noProof/>
                <w:sz w:val="20"/>
              </w:rPr>
              <w:t xml:space="preserve">Kāpēc? Kāda problēma tiek risināta? </w:t>
            </w:r>
          </w:p>
        </w:tc>
      </w:tr>
      <w:tr w:rsidR="00737EE0">
        <w:tc>
          <w:tcPr>
            <w:tcW w:w="10188" w:type="dxa"/>
            <w:tcBorders>
              <w:bottom w:val="single" w:sz="4" w:space="0" w:color="auto"/>
            </w:tcBorders>
            <w:shd w:val="clear" w:color="auto" w:fill="auto"/>
          </w:tcPr>
          <w:p w:rsidR="00737EE0" w:rsidRDefault="00EC6711">
            <w:pPr>
              <w:pStyle w:val="Default"/>
              <w:jc w:val="both"/>
              <w:rPr>
                <w:noProof/>
                <w:sz w:val="20"/>
                <w:szCs w:val="20"/>
              </w:rPr>
            </w:pPr>
            <w:r>
              <w:rPr>
                <w:noProof/>
                <w:sz w:val="20"/>
              </w:rPr>
              <w:t>Uzņēmumu nodokļu sistēmas mērķis ir peļņu aplikt ar nodokli tur, kur ir radīta vērtība, bet pašreizējā starptautiskā nodokļu sistēma tika veidota tradicionālajai ekonomikai. Tā nav paredzēta jaunajiem vērtības radīšanas veidiem digitālajā ekonomikā, kur na</w:t>
            </w:r>
            <w:r>
              <w:rPr>
                <w:noProof/>
                <w:sz w:val="20"/>
              </w:rPr>
              <w:t>v nepieciešama fiziska klātbūtne un kur liela nozīme ir lietotāju ieguldījumam un nemateriālajiem aktīviem. Tas ietekmē publiskos budžetus un sociālo taisnīgumu. Reaģējot uz to, arvien vairāk dalībvalstu veic vienpusējus pasākumus, un tādējādi rodas vienot</w:t>
            </w:r>
            <w:r>
              <w:rPr>
                <w:noProof/>
                <w:sz w:val="20"/>
              </w:rPr>
              <w:t xml:space="preserve">ā tirgus sadrumstalošanas risks. </w:t>
            </w:r>
          </w:p>
        </w:tc>
      </w:tr>
      <w:tr w:rsidR="00737EE0">
        <w:tc>
          <w:tcPr>
            <w:tcW w:w="10188" w:type="dxa"/>
            <w:tcBorders>
              <w:bottom w:val="single" w:sz="4" w:space="0" w:color="auto"/>
            </w:tcBorders>
            <w:shd w:val="clear" w:color="auto" w:fill="E6E6E6"/>
          </w:tcPr>
          <w:p w:rsidR="00737EE0" w:rsidRDefault="00EC6711">
            <w:pPr>
              <w:spacing w:before="60" w:after="60"/>
              <w:jc w:val="both"/>
              <w:rPr>
                <w:rFonts w:ascii="Tahoma" w:hAnsi="Tahoma" w:cs="Tahoma"/>
                <w:noProof/>
                <w:sz w:val="20"/>
                <w:szCs w:val="20"/>
              </w:rPr>
            </w:pPr>
            <w:r>
              <w:rPr>
                <w:rFonts w:ascii="Tahoma" w:hAnsi="Tahoma"/>
                <w:b/>
                <w:noProof/>
                <w:sz w:val="20"/>
              </w:rPr>
              <w:t xml:space="preserve">Ko paredzēts panākt ar šo iniciatīvu? </w:t>
            </w:r>
          </w:p>
        </w:tc>
      </w:tr>
      <w:tr w:rsidR="00737EE0">
        <w:tc>
          <w:tcPr>
            <w:tcW w:w="10188" w:type="dxa"/>
            <w:tcBorders>
              <w:bottom w:val="single" w:sz="4" w:space="0" w:color="auto"/>
            </w:tcBorders>
            <w:shd w:val="clear" w:color="auto" w:fill="auto"/>
          </w:tcPr>
          <w:p w:rsidR="00737EE0" w:rsidRDefault="00EC6711">
            <w:pPr>
              <w:pStyle w:val="Default"/>
              <w:jc w:val="both"/>
              <w:rPr>
                <w:noProof/>
                <w:sz w:val="20"/>
                <w:szCs w:val="20"/>
              </w:rPr>
            </w:pPr>
            <w:r>
              <w:rPr>
                <w:noProof/>
                <w:sz w:val="20"/>
              </w:rPr>
              <w:t>Pirmkārt, ar iniciatīvu ir paredzēts aizsargāt vienotā tirgus integritāti un pareizu darbību. Otrkārt, ar to ir paredzēts nodrošināt, ka dalībvalstu finanses ir ilgtspējīgas un ka d</w:t>
            </w:r>
            <w:r>
              <w:rPr>
                <w:noProof/>
                <w:sz w:val="20"/>
              </w:rPr>
              <w:t>igitalizācija neiedragā valstu uzņēmumu nodokļu bāzes. Treškārt, tā būs ieguldījums sociālā taisnīguma saglabāšanā un vienlīdzīgu konkurences apstākļu nodrošināšanā visiem uzņēmumiem.</w:t>
            </w:r>
          </w:p>
        </w:tc>
      </w:tr>
      <w:tr w:rsidR="00737EE0">
        <w:tc>
          <w:tcPr>
            <w:tcW w:w="10188" w:type="dxa"/>
            <w:tcBorders>
              <w:bottom w:val="single" w:sz="4" w:space="0" w:color="auto"/>
            </w:tcBorders>
            <w:shd w:val="clear" w:color="auto" w:fill="E6E6E6"/>
          </w:tcPr>
          <w:p w:rsidR="00737EE0" w:rsidRDefault="00EC6711">
            <w:pPr>
              <w:spacing w:before="60" w:after="60"/>
              <w:jc w:val="both"/>
              <w:rPr>
                <w:rFonts w:ascii="Tahoma" w:hAnsi="Tahoma" w:cs="Tahoma"/>
                <w:noProof/>
                <w:sz w:val="20"/>
                <w:szCs w:val="20"/>
              </w:rPr>
            </w:pPr>
            <w:r>
              <w:rPr>
                <w:rFonts w:ascii="Tahoma" w:hAnsi="Tahoma"/>
                <w:b/>
                <w:noProof/>
                <w:sz w:val="20"/>
              </w:rPr>
              <w:t>Kāda ir ES līmeņa rīcības pievienotā vērtība?</w:t>
            </w:r>
            <w:r>
              <w:rPr>
                <w:rFonts w:ascii="Tahoma" w:hAnsi="Tahoma"/>
                <w:noProof/>
                <w:sz w:val="20"/>
              </w:rPr>
              <w:t xml:space="preserve"> </w:t>
            </w:r>
          </w:p>
        </w:tc>
      </w:tr>
      <w:tr w:rsidR="00737EE0">
        <w:tc>
          <w:tcPr>
            <w:tcW w:w="10188" w:type="dxa"/>
            <w:tcBorders>
              <w:bottom w:val="single" w:sz="4" w:space="0" w:color="auto"/>
            </w:tcBorders>
            <w:shd w:val="clear" w:color="auto" w:fill="auto"/>
          </w:tcPr>
          <w:p w:rsidR="00737EE0" w:rsidRDefault="00EC6711">
            <w:pPr>
              <w:pStyle w:val="Default"/>
              <w:jc w:val="both"/>
              <w:rPr>
                <w:noProof/>
                <w:sz w:val="20"/>
                <w:szCs w:val="20"/>
              </w:rPr>
            </w:pPr>
            <w:r>
              <w:rPr>
                <w:noProof/>
                <w:sz w:val="20"/>
              </w:rPr>
              <w:t>Tā kā problēma ir nodokļa uzlikšanas tiesību attiecināšana valstu starpā, to nevar visaptveroši risināt dalībvalsts līmenī. Turklāt ar ES līmeņa rīcību varētu izvairīties no vienotā tirgus sadrumstalošanas, jauniem šķēršļiem uzņēmumiem un iespējamām nepiln</w:t>
            </w:r>
            <w:r>
              <w:rPr>
                <w:noProof/>
                <w:sz w:val="20"/>
              </w:rPr>
              <w:t xml:space="preserve">ībām, ko varētu izraisīt dalībvalstu starpā nesaskaņota rīcība.  </w:t>
            </w:r>
          </w:p>
        </w:tc>
      </w:tr>
      <w:tr w:rsidR="00737EE0">
        <w:tc>
          <w:tcPr>
            <w:tcW w:w="10188" w:type="dxa"/>
            <w:tcBorders>
              <w:bottom w:val="single" w:sz="4" w:space="0" w:color="auto"/>
            </w:tcBorders>
            <w:shd w:val="clear" w:color="auto" w:fill="CCCCCC"/>
          </w:tcPr>
          <w:p w:rsidR="00737EE0" w:rsidRDefault="00EC6711">
            <w:pPr>
              <w:spacing w:before="60" w:after="60"/>
              <w:jc w:val="center"/>
              <w:rPr>
                <w:rFonts w:ascii="Tahoma" w:hAnsi="Tahoma" w:cs="Tahoma"/>
                <w:b/>
                <w:noProof/>
                <w:sz w:val="22"/>
                <w:szCs w:val="22"/>
              </w:rPr>
            </w:pPr>
            <w:r>
              <w:rPr>
                <w:rFonts w:ascii="Tahoma" w:hAnsi="Tahoma"/>
                <w:b/>
                <w:noProof/>
                <w:sz w:val="22"/>
              </w:rPr>
              <w:t>B. Risinājumi</w:t>
            </w:r>
          </w:p>
        </w:tc>
      </w:tr>
      <w:tr w:rsidR="00737EE0">
        <w:tc>
          <w:tcPr>
            <w:tcW w:w="10188" w:type="dxa"/>
            <w:tcBorders>
              <w:bottom w:val="single" w:sz="4" w:space="0" w:color="auto"/>
            </w:tcBorders>
            <w:shd w:val="clear" w:color="auto" w:fill="E6E6E6"/>
          </w:tcPr>
          <w:p w:rsidR="00737EE0" w:rsidRDefault="00EC6711">
            <w:pPr>
              <w:spacing w:before="60"/>
              <w:jc w:val="both"/>
              <w:rPr>
                <w:rFonts w:ascii="Tahoma" w:hAnsi="Tahoma" w:cs="Tahoma"/>
                <w:noProof/>
                <w:sz w:val="20"/>
                <w:szCs w:val="20"/>
              </w:rPr>
            </w:pPr>
            <w:r>
              <w:rPr>
                <w:rFonts w:ascii="Tahoma" w:hAnsi="Tahoma"/>
                <w:b/>
                <w:noProof/>
                <w:sz w:val="20"/>
              </w:rPr>
              <w:t>Kādi leģislatīvi un neleģislatīvi politikas risinājumi ir apsvērti? Vai kādam risinājumam tiek dota priekšroka? Kāpēc?</w:t>
            </w:r>
            <w:r>
              <w:rPr>
                <w:rFonts w:ascii="Tahoma" w:hAnsi="Tahoma"/>
                <w:noProof/>
                <w:sz w:val="20"/>
              </w:rPr>
              <w:t xml:space="preserve"> </w:t>
            </w:r>
          </w:p>
        </w:tc>
      </w:tr>
      <w:tr w:rsidR="00737EE0">
        <w:tc>
          <w:tcPr>
            <w:tcW w:w="10188" w:type="dxa"/>
            <w:tcBorders>
              <w:bottom w:val="single" w:sz="4" w:space="0" w:color="auto"/>
            </w:tcBorders>
            <w:shd w:val="clear" w:color="auto" w:fill="auto"/>
          </w:tcPr>
          <w:p w:rsidR="00737EE0" w:rsidRDefault="00EC6711">
            <w:pPr>
              <w:pStyle w:val="Default"/>
              <w:jc w:val="both"/>
              <w:rPr>
                <w:noProof/>
                <w:sz w:val="20"/>
                <w:szCs w:val="20"/>
                <w:u w:val="single"/>
              </w:rPr>
            </w:pPr>
            <w:r>
              <w:rPr>
                <w:noProof/>
                <w:sz w:val="20"/>
              </w:rPr>
              <w:t xml:space="preserve">Vispirms tika izvērtēts visaptverošs risinājums. Divi galvenie risinājumi </w:t>
            </w:r>
          </w:p>
          <w:p w:rsidR="00737EE0" w:rsidRDefault="00EC6711">
            <w:pPr>
              <w:pStyle w:val="Default"/>
              <w:ind w:left="284"/>
              <w:jc w:val="both"/>
              <w:rPr>
                <w:noProof/>
                <w:sz w:val="20"/>
                <w:szCs w:val="20"/>
              </w:rPr>
            </w:pPr>
            <w:r>
              <w:rPr>
                <w:noProof/>
                <w:sz w:val="20"/>
                <w:u w:val="single"/>
              </w:rPr>
              <w:t>1. risinājums</w:t>
            </w:r>
            <w:r>
              <w:rPr>
                <w:noProof/>
              </w:rPr>
              <w:t>:</w:t>
            </w:r>
            <w:r>
              <w:rPr>
                <w:noProof/>
                <w:sz w:val="20"/>
              </w:rPr>
              <w:t xml:space="preserve"> grozīt priekšlikuma par kopējo konsolidēto uzņēmumu ienākuma nodokļa bāzi (KKUINB) noteikumus. </w:t>
            </w:r>
          </w:p>
          <w:p w:rsidR="00737EE0" w:rsidRDefault="00EC6711">
            <w:pPr>
              <w:pStyle w:val="Default"/>
              <w:ind w:left="284"/>
              <w:jc w:val="both"/>
              <w:rPr>
                <w:noProof/>
                <w:sz w:val="20"/>
                <w:szCs w:val="20"/>
                <w:u w:val="single"/>
              </w:rPr>
            </w:pPr>
            <w:r>
              <w:rPr>
                <w:rFonts w:eastAsiaTheme="minorHAnsi"/>
                <w:noProof/>
                <w:sz w:val="20"/>
                <w:u w:val="single"/>
              </w:rPr>
              <w:t>2. risinājums</w:t>
            </w:r>
            <w:r>
              <w:rPr>
                <w:noProof/>
              </w:rPr>
              <w:t>:</w:t>
            </w:r>
            <w:r>
              <w:rPr>
                <w:rFonts w:eastAsiaTheme="minorHAnsi"/>
                <w:noProof/>
                <w:sz w:val="20"/>
              </w:rPr>
              <w:t xml:space="preserve"> direktīva par digitālu pastāvīgu pārstāvniecību un peļņ</w:t>
            </w:r>
            <w:r>
              <w:rPr>
                <w:rFonts w:eastAsiaTheme="minorHAnsi"/>
                <w:noProof/>
                <w:sz w:val="20"/>
              </w:rPr>
              <w:t xml:space="preserve">as attiecināšanas principiem, ar pielāgojumiem KKUINB.  </w:t>
            </w:r>
          </w:p>
          <w:p w:rsidR="00737EE0" w:rsidRDefault="00EC6711">
            <w:pPr>
              <w:pStyle w:val="Default"/>
              <w:ind w:left="284"/>
              <w:jc w:val="both"/>
              <w:rPr>
                <w:noProof/>
                <w:sz w:val="20"/>
                <w:szCs w:val="20"/>
              </w:rPr>
            </w:pPr>
            <w:r>
              <w:rPr>
                <w:rFonts w:eastAsiaTheme="minorHAnsi"/>
                <w:noProof/>
                <w:sz w:val="20"/>
                <w:u w:val="single"/>
              </w:rPr>
              <w:t>3. risinājums (vēlamais)</w:t>
            </w:r>
            <w:r>
              <w:rPr>
                <w:noProof/>
              </w:rPr>
              <w:t>:</w:t>
            </w:r>
            <w:r>
              <w:rPr>
                <w:rFonts w:eastAsiaTheme="minorHAnsi"/>
                <w:noProof/>
                <w:sz w:val="20"/>
              </w:rPr>
              <w:t xml:space="preserve"> 2. risinājums kopā ar ieteikumu mainīt noteikumus attiecībā uz trešām valstīm. </w:t>
            </w:r>
          </w:p>
          <w:p w:rsidR="00737EE0" w:rsidRDefault="00EC6711">
            <w:pPr>
              <w:pStyle w:val="Default"/>
              <w:jc w:val="both"/>
              <w:rPr>
                <w:noProof/>
                <w:sz w:val="20"/>
                <w:szCs w:val="20"/>
              </w:rPr>
            </w:pPr>
            <w:r>
              <w:rPr>
                <w:noProof/>
                <w:sz w:val="20"/>
              </w:rPr>
              <w:t xml:space="preserve">Otrkārt, uzņēmumu nodokļu normu reforma prasīs laiku, un tiek apsvērts arī </w:t>
            </w:r>
            <w:r>
              <w:rPr>
                <w:b/>
                <w:noProof/>
                <w:sz w:val="20"/>
              </w:rPr>
              <w:t>pagaidu</w:t>
            </w:r>
            <w:r>
              <w:rPr>
                <w:noProof/>
                <w:sz w:val="20"/>
              </w:rPr>
              <w:t xml:space="preserve"> risinājums</w:t>
            </w:r>
            <w:r>
              <w:rPr>
                <w:noProof/>
                <w:sz w:val="20"/>
              </w:rPr>
              <w:t xml:space="preserve">, lai izvairītos no vienpusēju pasākumu pieņemšanas dalībvalstīs. Vēlamais pagaidu risinājums ir direktīva par kopēju nodokļa sistēmu attiecībā uz konkrētām digitālām darbībām.  </w:t>
            </w:r>
          </w:p>
        </w:tc>
      </w:tr>
      <w:tr w:rsidR="00737EE0">
        <w:tc>
          <w:tcPr>
            <w:tcW w:w="10188" w:type="dxa"/>
            <w:shd w:val="clear" w:color="auto" w:fill="CCCCCC"/>
          </w:tcPr>
          <w:p w:rsidR="00737EE0" w:rsidRDefault="00EC6711">
            <w:pPr>
              <w:spacing w:before="60"/>
              <w:jc w:val="both"/>
              <w:rPr>
                <w:rFonts w:ascii="Tahoma" w:hAnsi="Tahoma" w:cs="Tahoma"/>
                <w:noProof/>
                <w:sz w:val="20"/>
                <w:szCs w:val="20"/>
              </w:rPr>
            </w:pPr>
            <w:r>
              <w:rPr>
                <w:rFonts w:ascii="Tahoma" w:hAnsi="Tahoma"/>
                <w:b/>
                <w:noProof/>
                <w:sz w:val="20"/>
              </w:rPr>
              <w:t>Kuru risinājumu kurš atbalsta?</w:t>
            </w:r>
            <w:r>
              <w:rPr>
                <w:rFonts w:ascii="Tahoma" w:hAnsi="Tahoma"/>
                <w:noProof/>
                <w:sz w:val="20"/>
              </w:rPr>
              <w:t xml:space="preserve"> </w:t>
            </w:r>
          </w:p>
        </w:tc>
      </w:tr>
      <w:tr w:rsidR="00737EE0">
        <w:trPr>
          <w:trHeight w:val="862"/>
        </w:trPr>
        <w:tc>
          <w:tcPr>
            <w:tcW w:w="10188" w:type="dxa"/>
            <w:shd w:val="clear" w:color="auto" w:fill="auto"/>
          </w:tcPr>
          <w:p w:rsidR="00737EE0" w:rsidRDefault="00EC6711">
            <w:pPr>
              <w:pStyle w:val="Default"/>
              <w:jc w:val="both"/>
              <w:rPr>
                <w:noProof/>
                <w:sz w:val="20"/>
                <w:szCs w:val="20"/>
              </w:rPr>
            </w:pPr>
            <w:r>
              <w:rPr>
                <w:i/>
                <w:noProof/>
                <w:sz w:val="20"/>
                <w:u w:val="single"/>
              </w:rPr>
              <w:t>Visaptverošs risinājums:</w:t>
            </w:r>
            <w:r>
              <w:rPr>
                <w:noProof/>
                <w:sz w:val="20"/>
              </w:rPr>
              <w:t xml:space="preserve"> 14 no 21 valsts nodokļu iestādes, kā arī 58 % no 446 atklātās sabiedriskās apspriešanas respondentiem uzskata, ka visaptverošs risinājums ir vislabāk piemērots pastāvošajām problēmām. </w:t>
            </w:r>
          </w:p>
          <w:p w:rsidR="00737EE0" w:rsidRDefault="00EC6711">
            <w:pPr>
              <w:pStyle w:val="Default"/>
              <w:jc w:val="both"/>
              <w:rPr>
                <w:noProof/>
                <w:sz w:val="20"/>
              </w:rPr>
            </w:pPr>
            <w:r>
              <w:rPr>
                <w:i/>
                <w:noProof/>
                <w:sz w:val="20"/>
                <w:u w:val="single"/>
              </w:rPr>
              <w:t>Pagaidu risinājums</w:t>
            </w:r>
            <w:r>
              <w:rPr>
                <w:noProof/>
                <w:sz w:val="20"/>
              </w:rPr>
              <w:t xml:space="preserve"> 10 no 21 valsts nodokļu iestādes, kā arī 53 % no atklātās sabiedriskās apspriešanas respondentiem uzskata, ka “nodoklis no ieņēmumiem par konkrētiem digitāliem pakalpojumiem” ir vislabāk piemērots pastāvošajām problēmām.</w:t>
            </w:r>
          </w:p>
        </w:tc>
      </w:tr>
      <w:tr w:rsidR="00737EE0">
        <w:tc>
          <w:tcPr>
            <w:tcW w:w="10188" w:type="dxa"/>
            <w:tcBorders>
              <w:bottom w:val="single" w:sz="4" w:space="0" w:color="auto"/>
            </w:tcBorders>
            <w:shd w:val="clear" w:color="auto" w:fill="CCCCCC"/>
          </w:tcPr>
          <w:p w:rsidR="00737EE0" w:rsidRDefault="00EC6711">
            <w:pPr>
              <w:spacing w:before="60"/>
              <w:jc w:val="center"/>
              <w:rPr>
                <w:rFonts w:ascii="Tahoma" w:hAnsi="Tahoma" w:cs="Tahoma"/>
                <w:b/>
                <w:noProof/>
                <w:sz w:val="22"/>
                <w:szCs w:val="22"/>
              </w:rPr>
            </w:pPr>
            <w:r>
              <w:rPr>
                <w:rFonts w:ascii="Tahoma" w:hAnsi="Tahoma"/>
                <w:b/>
                <w:noProof/>
                <w:sz w:val="22"/>
              </w:rPr>
              <w:t>C. Vēlamā risinājuma ietekme</w:t>
            </w:r>
          </w:p>
        </w:tc>
      </w:tr>
      <w:tr w:rsidR="00737EE0">
        <w:tc>
          <w:tcPr>
            <w:tcW w:w="10188" w:type="dxa"/>
            <w:tcBorders>
              <w:bottom w:val="single" w:sz="4" w:space="0" w:color="auto"/>
            </w:tcBorders>
            <w:shd w:val="clear" w:color="auto" w:fill="E6E6E6"/>
          </w:tcPr>
          <w:p w:rsidR="00737EE0" w:rsidRDefault="00EC6711">
            <w:pPr>
              <w:spacing w:before="60"/>
              <w:jc w:val="both"/>
              <w:rPr>
                <w:rFonts w:ascii="Tahoma" w:hAnsi="Tahoma" w:cs="Tahoma"/>
                <w:noProof/>
                <w:sz w:val="20"/>
                <w:szCs w:val="20"/>
              </w:rPr>
            </w:pPr>
            <w:r>
              <w:rPr>
                <w:rFonts w:ascii="Tahoma" w:hAnsi="Tahoma"/>
                <w:b/>
                <w:noProof/>
                <w:sz w:val="20"/>
              </w:rPr>
              <w:t>Kādus ieguvumus nodrošinās vēlamais risinājums (ja tāds ir, pretējā gadījumā — galvenie risinājumi)?</w:t>
            </w:r>
            <w:r>
              <w:rPr>
                <w:rFonts w:ascii="Tahoma" w:hAnsi="Tahoma"/>
                <w:noProof/>
                <w:sz w:val="20"/>
              </w:rPr>
              <w:t xml:space="preserve">                                      </w:t>
            </w:r>
          </w:p>
        </w:tc>
      </w:tr>
      <w:tr w:rsidR="00737EE0">
        <w:tc>
          <w:tcPr>
            <w:tcW w:w="10188" w:type="dxa"/>
            <w:tcBorders>
              <w:bottom w:val="single" w:sz="4" w:space="0" w:color="auto"/>
            </w:tcBorders>
            <w:shd w:val="clear" w:color="auto" w:fill="auto"/>
          </w:tcPr>
          <w:p w:rsidR="00737EE0" w:rsidRDefault="00EC6711">
            <w:pPr>
              <w:pStyle w:val="Default"/>
              <w:jc w:val="both"/>
              <w:rPr>
                <w:noProof/>
                <w:sz w:val="20"/>
                <w:szCs w:val="20"/>
              </w:rPr>
            </w:pPr>
            <w:r>
              <w:rPr>
                <w:i/>
                <w:noProof/>
                <w:sz w:val="20"/>
                <w:u w:val="single"/>
              </w:rPr>
              <w:t>Visaptverošs risinājums:</w:t>
            </w:r>
            <w:r>
              <w:rPr>
                <w:i/>
                <w:noProof/>
                <w:sz w:val="20"/>
              </w:rPr>
              <w:t xml:space="preserve"> </w:t>
            </w:r>
            <w:r>
              <w:rPr>
                <w:noProof/>
                <w:sz w:val="20"/>
              </w:rPr>
              <w:t xml:space="preserve">risinājums uzlabotu taisnīguma sajūtu </w:t>
            </w:r>
            <w:r>
              <w:rPr>
                <w:b/>
                <w:noProof/>
                <w:sz w:val="20"/>
              </w:rPr>
              <w:t>iedzīvotājiem</w:t>
            </w:r>
            <w:r>
              <w:rPr>
                <w:noProof/>
                <w:sz w:val="20"/>
              </w:rPr>
              <w:t>, nodrošinot to, ka lieli uzņēmumi ar no</w:t>
            </w:r>
            <w:r>
              <w:rPr>
                <w:noProof/>
                <w:sz w:val="20"/>
              </w:rPr>
              <w:t xml:space="preserve">zīmīgām digitālajām darbībām neizsprūk no nodokļiem ES. </w:t>
            </w:r>
            <w:r>
              <w:rPr>
                <w:b/>
                <w:noProof/>
                <w:sz w:val="20"/>
              </w:rPr>
              <w:t>Uzņēmumi</w:t>
            </w:r>
            <w:r>
              <w:rPr>
                <w:noProof/>
                <w:sz w:val="20"/>
              </w:rPr>
              <w:t xml:space="preserve"> gūtu labumu no vienlīdzīgiem konkurences apstākļiem, jo noteikumu pārskatīšana likvidētu konkurences kropļojumus. </w:t>
            </w:r>
            <w:r>
              <w:rPr>
                <w:b/>
                <w:noProof/>
                <w:sz w:val="20"/>
              </w:rPr>
              <w:t>Valstu nodokļu administrācijas</w:t>
            </w:r>
            <w:r>
              <w:rPr>
                <w:noProof/>
                <w:sz w:val="20"/>
              </w:rPr>
              <w:t xml:space="preserve"> gūtu labumu no labvēlīgas ietekmes uz publiska</w:t>
            </w:r>
            <w:r>
              <w:rPr>
                <w:noProof/>
                <w:sz w:val="20"/>
              </w:rPr>
              <w:t xml:space="preserve">jām finansēm, jo risinājums dotu ieguldījumu uzņēmumu nodokļu sistēmas ilgtermiņa ilgtspējā. </w:t>
            </w:r>
          </w:p>
          <w:p w:rsidR="00737EE0" w:rsidRDefault="00EC6711">
            <w:pPr>
              <w:pStyle w:val="Default"/>
              <w:jc w:val="both"/>
              <w:rPr>
                <w:i/>
                <w:noProof/>
                <w:sz w:val="20"/>
                <w:szCs w:val="20"/>
              </w:rPr>
            </w:pPr>
            <w:r>
              <w:rPr>
                <w:i/>
                <w:noProof/>
                <w:sz w:val="20"/>
                <w:u w:val="single"/>
              </w:rPr>
              <w:t>Pagaidu risinājums</w:t>
            </w:r>
            <w:r>
              <w:rPr>
                <w:noProof/>
              </w:rPr>
              <w:t>:</w:t>
            </w:r>
            <w:r>
              <w:rPr>
                <w:i/>
                <w:noProof/>
                <w:sz w:val="20"/>
              </w:rPr>
              <w:t xml:space="preserve"> </w:t>
            </w:r>
            <w:r>
              <w:rPr>
                <w:noProof/>
                <w:sz w:val="20"/>
              </w:rPr>
              <w:t>tas uzlabotu taisnīguma sajūtu iedzīvotājiem, jo ES tiktu nodrošināts obligāts nodokļu līmenis tādiem uzņēmumiem, kuri lielākoties izmanto lie</w:t>
            </w:r>
            <w:r>
              <w:rPr>
                <w:noProof/>
                <w:sz w:val="20"/>
              </w:rPr>
              <w:t xml:space="preserve">totāju ieguldījumus un datus. Tādējādi uzņēmumiem, kas darbojas ES, būs stabila nodokļu sistēma, un netiks pieļauta vienotā tirgus sadrumstalošana. </w:t>
            </w:r>
          </w:p>
        </w:tc>
      </w:tr>
      <w:tr w:rsidR="00737EE0">
        <w:tc>
          <w:tcPr>
            <w:tcW w:w="10188" w:type="dxa"/>
            <w:tcBorders>
              <w:bottom w:val="single" w:sz="4" w:space="0" w:color="auto"/>
            </w:tcBorders>
            <w:shd w:val="clear" w:color="auto" w:fill="E6E6E6"/>
          </w:tcPr>
          <w:p w:rsidR="00737EE0" w:rsidRDefault="00EC6711">
            <w:pPr>
              <w:spacing w:before="60"/>
              <w:jc w:val="both"/>
              <w:rPr>
                <w:rFonts w:ascii="Tahoma" w:hAnsi="Tahoma" w:cs="Tahoma"/>
                <w:noProof/>
                <w:sz w:val="20"/>
                <w:szCs w:val="20"/>
              </w:rPr>
            </w:pPr>
            <w:r>
              <w:rPr>
                <w:rFonts w:ascii="Tahoma" w:hAnsi="Tahoma"/>
                <w:b/>
                <w:noProof/>
                <w:sz w:val="20"/>
              </w:rPr>
              <w:t>Kādas ir vēlamā risinājuma izmaksas (ja tāds ir, pretējā gadījumā — galveno risinājumu izmaksas)?</w:t>
            </w:r>
            <w:r>
              <w:rPr>
                <w:rFonts w:ascii="Tahoma" w:hAnsi="Tahoma"/>
                <w:noProof/>
                <w:sz w:val="20"/>
              </w:rPr>
              <w:t xml:space="preserve"> </w:t>
            </w:r>
          </w:p>
        </w:tc>
      </w:tr>
      <w:tr w:rsidR="00737EE0">
        <w:tc>
          <w:tcPr>
            <w:tcW w:w="10188" w:type="dxa"/>
            <w:tcBorders>
              <w:bottom w:val="single" w:sz="4" w:space="0" w:color="auto"/>
            </w:tcBorders>
            <w:shd w:val="clear" w:color="auto" w:fill="auto"/>
          </w:tcPr>
          <w:p w:rsidR="00737EE0" w:rsidRDefault="00EC6711">
            <w:pPr>
              <w:pStyle w:val="Default"/>
              <w:jc w:val="both"/>
              <w:rPr>
                <w:noProof/>
                <w:sz w:val="20"/>
                <w:szCs w:val="20"/>
              </w:rPr>
            </w:pPr>
            <w:r>
              <w:rPr>
                <w:i/>
                <w:noProof/>
                <w:sz w:val="20"/>
                <w:u w:val="single"/>
              </w:rPr>
              <w:t>Visapt</w:t>
            </w:r>
            <w:r>
              <w:rPr>
                <w:i/>
                <w:noProof/>
                <w:sz w:val="20"/>
                <w:u w:val="single"/>
              </w:rPr>
              <w:t>verošs risinājums:</w:t>
            </w:r>
            <w:r>
              <w:rPr>
                <w:i/>
                <w:noProof/>
                <w:sz w:val="20"/>
              </w:rPr>
              <w:t xml:space="preserve"> </w:t>
            </w:r>
            <w:r>
              <w:rPr>
                <w:noProof/>
                <w:sz w:val="20"/>
              </w:rPr>
              <w:t xml:space="preserve">pasākums palielinātu regulējuma un atbilstības nodrošināšanas slogu visiem </w:t>
            </w:r>
            <w:r>
              <w:rPr>
                <w:b/>
                <w:noProof/>
                <w:sz w:val="20"/>
              </w:rPr>
              <w:lastRenderedPageBreak/>
              <w:t>uzņēmumiem</w:t>
            </w:r>
            <w:r>
              <w:rPr>
                <w:noProof/>
                <w:sz w:val="20"/>
              </w:rPr>
              <w:t xml:space="preserve">, kas ir risinājuma darbības jomā. </w:t>
            </w:r>
            <w:r>
              <w:rPr>
                <w:b/>
                <w:noProof/>
                <w:sz w:val="20"/>
              </w:rPr>
              <w:t>Valstu nodokļu administrācijām</w:t>
            </w:r>
            <w:r>
              <w:rPr>
                <w:noProof/>
                <w:sz w:val="20"/>
              </w:rPr>
              <w:t xml:space="preserve"> arī rastos izmaksas par jaunās sistēmas īstenošanu, proti par IT un personāla apmācību</w:t>
            </w:r>
            <w:r>
              <w:rPr>
                <w:noProof/>
                <w:sz w:val="20"/>
              </w:rPr>
              <w:t xml:space="preserve">. </w:t>
            </w:r>
          </w:p>
          <w:p w:rsidR="00737EE0" w:rsidRDefault="00EC6711">
            <w:pPr>
              <w:pStyle w:val="Default"/>
              <w:jc w:val="both"/>
              <w:rPr>
                <w:i/>
                <w:noProof/>
                <w:sz w:val="20"/>
                <w:szCs w:val="20"/>
              </w:rPr>
            </w:pPr>
            <w:r>
              <w:rPr>
                <w:i/>
                <w:noProof/>
                <w:sz w:val="20"/>
                <w:u w:val="single"/>
              </w:rPr>
              <w:t>Pagaidu risinājums</w:t>
            </w:r>
            <w:r>
              <w:rPr>
                <w:noProof/>
              </w:rPr>
              <w:t>:</w:t>
            </w:r>
            <w:r>
              <w:rPr>
                <w:i/>
                <w:noProof/>
                <w:sz w:val="20"/>
              </w:rPr>
              <w:t xml:space="preserve"> </w:t>
            </w:r>
            <w:r>
              <w:rPr>
                <w:b/>
                <w:noProof/>
                <w:sz w:val="20"/>
              </w:rPr>
              <w:t>lieliem uzņēmumiem</w:t>
            </w:r>
            <w:r>
              <w:rPr>
                <w:noProof/>
              </w:rPr>
              <w:t xml:space="preserve">, </w:t>
            </w:r>
            <w:r>
              <w:rPr>
                <w:noProof/>
                <w:sz w:val="20"/>
              </w:rPr>
              <w:t xml:space="preserve">kas pārsniedz robežvērtības, rastos papildu ziņošanas prasības, lai varētu aprēķināt to nodokļa bāzi dalībvalstīs, kurās tie darbojas. </w:t>
            </w:r>
            <w:r>
              <w:rPr>
                <w:b/>
                <w:noProof/>
                <w:sz w:val="20"/>
              </w:rPr>
              <w:t>Valstu nodokļu administrācijām</w:t>
            </w:r>
            <w:r>
              <w:rPr>
                <w:noProof/>
                <w:sz w:val="20"/>
              </w:rPr>
              <w:t xml:space="preserve"> arī rastos sākotnējas izmaksas, īstenojot jauno</w:t>
            </w:r>
            <w:r>
              <w:rPr>
                <w:noProof/>
                <w:sz w:val="20"/>
              </w:rPr>
              <w:t xml:space="preserve"> sistēmu, proti par IT un personāla apmācību. </w:t>
            </w:r>
          </w:p>
        </w:tc>
      </w:tr>
      <w:tr w:rsidR="00737EE0">
        <w:tc>
          <w:tcPr>
            <w:tcW w:w="10188" w:type="dxa"/>
            <w:tcBorders>
              <w:bottom w:val="single" w:sz="4" w:space="0" w:color="auto"/>
            </w:tcBorders>
            <w:shd w:val="clear" w:color="auto" w:fill="E6E6E6"/>
          </w:tcPr>
          <w:p w:rsidR="00737EE0" w:rsidRDefault="00EC6711">
            <w:pPr>
              <w:spacing w:before="60"/>
              <w:jc w:val="both"/>
              <w:rPr>
                <w:rFonts w:ascii="Tahoma" w:hAnsi="Tahoma" w:cs="Tahoma"/>
                <w:noProof/>
                <w:sz w:val="20"/>
                <w:szCs w:val="20"/>
              </w:rPr>
            </w:pPr>
            <w:r>
              <w:rPr>
                <w:rFonts w:ascii="Tahoma" w:hAnsi="Tahoma"/>
                <w:b/>
                <w:noProof/>
                <w:sz w:val="20"/>
              </w:rPr>
              <w:lastRenderedPageBreak/>
              <w:t xml:space="preserve">Kā tas skars uzņēmumus, MVU un mikrouzņēmumus? </w:t>
            </w:r>
          </w:p>
        </w:tc>
      </w:tr>
      <w:tr w:rsidR="00737EE0">
        <w:tc>
          <w:tcPr>
            <w:tcW w:w="10188" w:type="dxa"/>
            <w:tcBorders>
              <w:bottom w:val="single" w:sz="4" w:space="0" w:color="auto"/>
            </w:tcBorders>
            <w:shd w:val="clear" w:color="auto" w:fill="auto"/>
          </w:tcPr>
          <w:p w:rsidR="00737EE0" w:rsidRDefault="00EC6711">
            <w:pPr>
              <w:spacing w:before="60"/>
              <w:jc w:val="both"/>
              <w:rPr>
                <w:rFonts w:ascii="Arial" w:hAnsi="Arial" w:cs="Arial"/>
                <w:noProof/>
                <w:sz w:val="20"/>
                <w:szCs w:val="20"/>
              </w:rPr>
            </w:pPr>
            <w:r>
              <w:rPr>
                <w:rFonts w:ascii="Arial" w:hAnsi="Arial"/>
                <w:i/>
                <w:noProof/>
                <w:sz w:val="20"/>
                <w:u w:val="single"/>
              </w:rPr>
              <w:t>Visaptverošs risinājums</w:t>
            </w:r>
            <w:r>
              <w:rPr>
                <w:noProof/>
              </w:rPr>
              <w:t xml:space="preserve"> – </w:t>
            </w:r>
            <w:r>
              <w:rPr>
                <w:rFonts w:ascii="Arial" w:hAnsi="Arial"/>
                <w:noProof/>
                <w:sz w:val="20"/>
              </w:rPr>
              <w:t>pasākums atkal nodrošinātu vienlīdzīgus konkurences apstākļus starptautiskām uzņēmumu grupām un mazākiem uzņēmumiem, kas bieži ir mazāk digitalizēti un mazāk darbojas pāri robežām. Tas nāktu par labu MVU un mikrouzņēmumiem. Pasākums varētu palielināt regul</w:t>
            </w:r>
            <w:r>
              <w:rPr>
                <w:rFonts w:ascii="Arial" w:hAnsi="Arial"/>
                <w:noProof/>
                <w:sz w:val="20"/>
              </w:rPr>
              <w:t xml:space="preserve">ējuma un atbilstības nodrošināšanas slogu, kam varētu būt lielāka nelabvēlīga ietekme uz pārrobežu MVU. </w:t>
            </w:r>
          </w:p>
          <w:p w:rsidR="00737EE0" w:rsidRDefault="00EC6711">
            <w:pPr>
              <w:spacing w:before="60"/>
              <w:jc w:val="both"/>
              <w:rPr>
                <w:rFonts w:ascii="Arial" w:hAnsi="Arial" w:cs="Arial"/>
                <w:i/>
                <w:noProof/>
                <w:sz w:val="20"/>
                <w:szCs w:val="20"/>
              </w:rPr>
            </w:pPr>
            <w:r>
              <w:rPr>
                <w:rFonts w:ascii="Arial" w:hAnsi="Arial"/>
                <w:i/>
                <w:noProof/>
                <w:sz w:val="20"/>
                <w:u w:val="single"/>
              </w:rPr>
              <w:t>Pagaidu risinājums</w:t>
            </w:r>
            <w:r>
              <w:rPr>
                <w:noProof/>
              </w:rPr>
              <w:t xml:space="preserve"> </w:t>
            </w:r>
            <w:r>
              <w:rPr>
                <w:rFonts w:ascii="Arial" w:hAnsi="Arial"/>
                <w:noProof/>
                <w:sz w:val="20"/>
              </w:rPr>
              <w:t xml:space="preserve">– MVU netiktu skarti, jo to ieņēmumi nesasniegtu robežvērtību. </w:t>
            </w:r>
          </w:p>
        </w:tc>
      </w:tr>
      <w:tr w:rsidR="00737EE0">
        <w:tc>
          <w:tcPr>
            <w:tcW w:w="10188" w:type="dxa"/>
            <w:tcBorders>
              <w:bottom w:val="single" w:sz="4" w:space="0" w:color="auto"/>
            </w:tcBorders>
            <w:shd w:val="clear" w:color="auto" w:fill="E6E6E6"/>
          </w:tcPr>
          <w:p w:rsidR="00737EE0" w:rsidRDefault="00EC6711">
            <w:pPr>
              <w:spacing w:before="60"/>
              <w:jc w:val="both"/>
              <w:rPr>
                <w:rFonts w:ascii="Tahoma" w:hAnsi="Tahoma" w:cs="Tahoma"/>
                <w:b/>
                <w:i/>
                <w:noProof/>
                <w:sz w:val="20"/>
                <w:szCs w:val="20"/>
              </w:rPr>
            </w:pPr>
            <w:r>
              <w:rPr>
                <w:rFonts w:ascii="Tahoma" w:hAnsi="Tahoma"/>
                <w:b/>
                <w:noProof/>
                <w:sz w:val="20"/>
              </w:rPr>
              <w:t>Vai būs būtiska ietekme uz dalībvalstu budžetiem un administrācijām</w:t>
            </w:r>
            <w:r>
              <w:rPr>
                <w:rFonts w:ascii="Tahoma" w:hAnsi="Tahoma"/>
                <w:b/>
                <w:noProof/>
                <w:sz w:val="20"/>
              </w:rPr>
              <w:t>?</w:t>
            </w:r>
          </w:p>
        </w:tc>
      </w:tr>
      <w:tr w:rsidR="00737EE0">
        <w:tc>
          <w:tcPr>
            <w:tcW w:w="10188" w:type="dxa"/>
            <w:shd w:val="clear" w:color="auto" w:fill="auto"/>
          </w:tcPr>
          <w:p w:rsidR="00737EE0" w:rsidRDefault="00EC6711">
            <w:pPr>
              <w:pStyle w:val="Default"/>
              <w:jc w:val="both"/>
              <w:rPr>
                <w:noProof/>
                <w:sz w:val="20"/>
                <w:szCs w:val="20"/>
              </w:rPr>
            </w:pPr>
            <w:r>
              <w:rPr>
                <w:noProof/>
                <w:sz w:val="20"/>
              </w:rPr>
              <w:t>Visaptverošais risinājums dotu ieguldījumu uzņēmumu nodokļu sistēmas ilgtermiņa ilgtspējā un nodokļu ieņēmumu taisnīgākā sadalē. Pagaidu risinājums radītu papildu ieņēmumus valstu budžetiem, lai gan paredzamie papildu ieņēmumi no nodokļa būtu diezgan mē</w:t>
            </w:r>
            <w:r>
              <w:rPr>
                <w:noProof/>
                <w:sz w:val="20"/>
              </w:rPr>
              <w:t xml:space="preserve">reni, ņemot vērā šauro darbības jomu un robežvērtību piemērošanu. </w:t>
            </w:r>
          </w:p>
        </w:tc>
      </w:tr>
      <w:tr w:rsidR="00737EE0">
        <w:tc>
          <w:tcPr>
            <w:tcW w:w="10188" w:type="dxa"/>
            <w:tcBorders>
              <w:bottom w:val="single" w:sz="4" w:space="0" w:color="auto"/>
            </w:tcBorders>
            <w:shd w:val="clear" w:color="auto" w:fill="E6E6E6"/>
          </w:tcPr>
          <w:p w:rsidR="00737EE0" w:rsidRDefault="00EC6711">
            <w:pPr>
              <w:spacing w:before="60"/>
              <w:jc w:val="both"/>
              <w:rPr>
                <w:rFonts w:ascii="Tahoma" w:hAnsi="Tahoma" w:cs="Tahoma"/>
                <w:noProof/>
                <w:sz w:val="20"/>
                <w:szCs w:val="20"/>
              </w:rPr>
            </w:pPr>
            <w:r>
              <w:rPr>
                <w:rFonts w:ascii="Tahoma" w:hAnsi="Tahoma"/>
                <w:b/>
                <w:noProof/>
                <w:sz w:val="20"/>
              </w:rPr>
              <w:t>Vai būs vēl kāda cita būtiska ietekme?</w:t>
            </w:r>
            <w:r>
              <w:rPr>
                <w:rFonts w:ascii="Tahoma" w:hAnsi="Tahoma"/>
                <w:noProof/>
                <w:sz w:val="20"/>
              </w:rPr>
              <w:t xml:space="preserve"> </w:t>
            </w:r>
          </w:p>
        </w:tc>
      </w:tr>
      <w:tr w:rsidR="00737EE0">
        <w:tc>
          <w:tcPr>
            <w:tcW w:w="10188" w:type="dxa"/>
            <w:tcBorders>
              <w:bottom w:val="single" w:sz="4" w:space="0" w:color="auto"/>
            </w:tcBorders>
            <w:shd w:val="clear" w:color="auto" w:fill="auto"/>
          </w:tcPr>
          <w:p w:rsidR="00737EE0" w:rsidRDefault="00EC6711">
            <w:pPr>
              <w:pStyle w:val="Default"/>
              <w:jc w:val="both"/>
              <w:rPr>
                <w:noProof/>
                <w:sz w:val="20"/>
                <w:szCs w:val="20"/>
              </w:rPr>
            </w:pPr>
            <w:r>
              <w:rPr>
                <w:noProof/>
                <w:sz w:val="20"/>
              </w:rPr>
              <w:t xml:space="preserve">Ar priekšlikumu ir paredzēts izklāstīt ES redzējumu, kas kalpos par piemēru un ietekmēs starptautiskās diskusijas. </w:t>
            </w:r>
          </w:p>
        </w:tc>
      </w:tr>
      <w:tr w:rsidR="00737EE0">
        <w:tc>
          <w:tcPr>
            <w:tcW w:w="10188" w:type="dxa"/>
            <w:tcBorders>
              <w:bottom w:val="single" w:sz="4" w:space="0" w:color="auto"/>
            </w:tcBorders>
            <w:shd w:val="clear" w:color="auto" w:fill="C0C0C0"/>
          </w:tcPr>
          <w:p w:rsidR="00737EE0" w:rsidRDefault="00EC6711">
            <w:pPr>
              <w:spacing w:before="60"/>
              <w:jc w:val="center"/>
              <w:rPr>
                <w:rFonts w:ascii="Tahoma" w:hAnsi="Tahoma" w:cs="Tahoma"/>
                <w:b/>
                <w:noProof/>
                <w:sz w:val="22"/>
                <w:szCs w:val="22"/>
              </w:rPr>
            </w:pPr>
            <w:r>
              <w:rPr>
                <w:rFonts w:ascii="Tahoma" w:hAnsi="Tahoma"/>
                <w:b/>
                <w:noProof/>
                <w:sz w:val="22"/>
              </w:rPr>
              <w:t>D. Turpmākā rīcība</w:t>
            </w:r>
          </w:p>
        </w:tc>
      </w:tr>
      <w:tr w:rsidR="00737EE0">
        <w:tc>
          <w:tcPr>
            <w:tcW w:w="10188" w:type="dxa"/>
            <w:tcBorders>
              <w:bottom w:val="single" w:sz="4" w:space="0" w:color="auto"/>
            </w:tcBorders>
            <w:shd w:val="clear" w:color="auto" w:fill="E6E6E6"/>
          </w:tcPr>
          <w:p w:rsidR="00737EE0" w:rsidRDefault="00EC6711">
            <w:pPr>
              <w:spacing w:before="60"/>
              <w:jc w:val="both"/>
              <w:rPr>
                <w:rFonts w:ascii="Tahoma" w:hAnsi="Tahoma" w:cs="Tahoma"/>
                <w:noProof/>
                <w:sz w:val="20"/>
                <w:szCs w:val="20"/>
              </w:rPr>
            </w:pPr>
            <w:r>
              <w:rPr>
                <w:rFonts w:ascii="Tahoma" w:hAnsi="Tahoma"/>
                <w:b/>
                <w:noProof/>
                <w:sz w:val="20"/>
              </w:rPr>
              <w:t xml:space="preserve">Kad politika tiks pārskatīta? </w:t>
            </w:r>
          </w:p>
        </w:tc>
      </w:tr>
      <w:tr w:rsidR="00737EE0">
        <w:tc>
          <w:tcPr>
            <w:tcW w:w="10188" w:type="dxa"/>
            <w:tcBorders>
              <w:bottom w:val="single" w:sz="4" w:space="0" w:color="auto"/>
            </w:tcBorders>
            <w:shd w:val="clear" w:color="auto" w:fill="auto"/>
          </w:tcPr>
          <w:p w:rsidR="00737EE0" w:rsidRDefault="00EC6711">
            <w:pPr>
              <w:jc w:val="both"/>
              <w:rPr>
                <w:rFonts w:ascii="Arial" w:hAnsi="Arial" w:cs="Arial"/>
                <w:noProof/>
                <w:sz w:val="20"/>
                <w:szCs w:val="20"/>
              </w:rPr>
            </w:pPr>
            <w:r>
              <w:rPr>
                <w:rFonts w:ascii="Arial" w:hAnsi="Arial"/>
                <w:noProof/>
                <w:sz w:val="20"/>
              </w:rPr>
              <w:t xml:space="preserve">Komisija uzraudzīs tiesību akta priekšlikuma īstenošanu. Izvērtējums būtu jāveic pēc pieciem gadiem no īstenošanas datuma. </w:t>
            </w:r>
          </w:p>
        </w:tc>
      </w:tr>
    </w:tbl>
    <w:p w:rsidR="00737EE0" w:rsidRDefault="00737EE0">
      <w:pPr>
        <w:jc w:val="center"/>
        <w:rPr>
          <w:noProof/>
        </w:rPr>
      </w:pPr>
    </w:p>
    <w:sectPr w:rsidR="00737EE0">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EE0" w:rsidRDefault="00EC6711">
      <w:r>
        <w:separator/>
      </w:r>
    </w:p>
  </w:endnote>
  <w:endnote w:type="continuationSeparator" w:id="0">
    <w:p w:rsidR="00737EE0" w:rsidRDefault="00EC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11" w:rsidRPr="00EC6711" w:rsidRDefault="00EC6711" w:rsidP="00EC67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11" w:rsidRPr="00EC6711" w:rsidRDefault="00EC6711" w:rsidP="00EC6711">
    <w:pPr>
      <w:pStyle w:val="FooterCoverPage"/>
      <w:rPr>
        <w:rFonts w:ascii="Arial" w:hAnsi="Arial" w:cs="Arial"/>
        <w:b/>
        <w:sz w:val="48"/>
      </w:rPr>
    </w:pPr>
    <w:r w:rsidRPr="00EC6711">
      <w:rPr>
        <w:rFonts w:ascii="Arial" w:hAnsi="Arial" w:cs="Arial"/>
        <w:b/>
        <w:sz w:val="48"/>
      </w:rPr>
      <w:t>LV</w:t>
    </w:r>
    <w:r w:rsidRPr="00EC6711">
      <w:rPr>
        <w:rFonts w:ascii="Arial" w:hAnsi="Arial" w:cs="Arial"/>
        <w:b/>
        <w:sz w:val="48"/>
      </w:rPr>
      <w:tab/>
    </w:r>
    <w:r w:rsidRPr="00EC6711">
      <w:rPr>
        <w:rFonts w:ascii="Arial" w:hAnsi="Arial" w:cs="Arial"/>
        <w:b/>
        <w:sz w:val="48"/>
      </w:rPr>
      <w:tab/>
    </w:r>
    <w:r w:rsidRPr="00EC6711">
      <w:tab/>
    </w:r>
    <w:r w:rsidRPr="00EC6711">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11" w:rsidRPr="00EC6711" w:rsidRDefault="00EC6711" w:rsidP="00EC6711">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EE0" w:rsidRDefault="00737EE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rsidR="00737EE0" w:rsidRDefault="00EC671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EE0" w:rsidRDefault="00737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EE0" w:rsidRDefault="00EC6711">
      <w:r>
        <w:separator/>
      </w:r>
    </w:p>
  </w:footnote>
  <w:footnote w:type="continuationSeparator" w:id="0">
    <w:p w:rsidR="00737EE0" w:rsidRDefault="00EC6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11" w:rsidRPr="00EC6711" w:rsidRDefault="00EC6711" w:rsidP="00EC6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11" w:rsidRPr="00EC6711" w:rsidRDefault="00EC6711" w:rsidP="00EC6711">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11" w:rsidRPr="00EC6711" w:rsidRDefault="00EC6711" w:rsidP="00EC6711">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EE0" w:rsidRDefault="00737E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EE0" w:rsidRDefault="00737EE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EE0" w:rsidRDefault="00737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D3317"/>
    <w:multiLevelType w:val="hybridMultilevel"/>
    <w:tmpl w:val="5B206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avaddokuments dokumentam"/>
    <w:docVar w:name="LW_CORRIGENDUM" w:val="&lt;UNUSED&gt;"/>
    <w:docVar w:name="LW_COVERPAGE_EXISTS" w:val="True"/>
    <w:docVar w:name="LW_COVERPAGE_GUID" w:val="540B7261-1A2C-4D37-840F-E152E8FD021F"/>
    <w:docVar w:name="LW_COVERPAGE_TYPE" w:val="1"/>
    <w:docVar w:name="LW_CROSSREFERENCE" w:val="{COM(2018) 147 final}_x000d__x000a_{COM(2018) 148 final}_x000a_{SWD(2018) 81 final}"/>
    <w:docVar w:name="LW_DocType" w:val="NORMAL"/>
    <w:docVar w:name="LW_EMISSION" w:val="21.3.2018"/>
    <w:docVar w:name="LW_EMISSION_ISODATE" w:val="2018-03-21"/>
    <w:docVar w:name="LW_EMISSION_LOCATION" w:val="BRX"/>
    <w:docVar w:name="LW_EMISSION_PREFIX" w:val="Brisel\u275?,"/>
    <w:docVar w:name="LW_EMISSION_SUFFIX" w:val="."/>
    <w:docVar w:name="LW_ID_DOCTYPE_NONLW" w:val="CP-027"/>
    <w:docVar w:name="LW_LANGUE" w:val="LV"/>
    <w:docVar w:name="LW_LEVEL_OF_SENSITIVITY" w:val="Standard treatment"/>
    <w:docVar w:name="LW_NOM.INST" w:val="EIROPAS KOMISIJA"/>
    <w:docVar w:name="LW_NOM.INST_JOINTDOC" w:val="&lt;EMPTY&gt;"/>
    <w:docVar w:name="LW_OBJETACTEPRINCIPAL.CP" w:val="&lt;UNUSED&gt;"/>
    <w:docVar w:name="LW_PART_NBR" w:val="1"/>
    <w:docVar w:name="LW_PART_NBR_TOTAL" w:val="1"/>
    <w:docVar w:name="LW_REF.INST.NEW" w:val="SWD"/>
    <w:docVar w:name="LW_REF.INST.NEW_ADOPTED" w:val="final"/>
    <w:docVar w:name="LW_REF.INST.NEW_TEXT" w:val="(2018) 8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KOMISIJAS DIENESTU DARBA DOKUMENTS_x000b__x000b_IETEKMES NOV\u274?RT\u274?JUMA KOPSAVILKUMS_x000b_"/>
    <w:docVar w:name="LW_TYPEACTEPRINCIPAL.CP" w:val="_x000b_Priek\u353?likums Padomes direkt\u299?vai, ar ko paredz noteikumus par uz\u326?\u275?mumu nodok\u316?a uzlik\u353?anu noz\u299?m\u299?gas digit\u257?las kl\u257?tb\u363?tnes gad\u299?jum\u257?_x000b__x000b_Priek\u353?likums Padomes direkt\u299?vai par digit\u257?lo pakalpojumu nodok\u316?a kop\u275?jo sist\u275?mu attiec\u299?b\u257? uz ie\u326?\u275?mumiem, ko rada konkr\u275?tu digit\u257?lo pakalpojumu snieg\u353?ana"/>
  </w:docVars>
  <w:rsids>
    <w:rsidRoot w:val="00737EE0"/>
    <w:rsid w:val="00737EE0"/>
    <w:rsid w:val="00EC67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v-LV"/>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Text2">
    <w:name w:val="Text 2"/>
    <w:basedOn w:val="Normal"/>
    <w:pPr>
      <w:tabs>
        <w:tab w:val="left" w:pos="2302"/>
      </w:tabs>
      <w:spacing w:after="240"/>
      <w:ind w:left="1202"/>
      <w:jc w:val="both"/>
    </w:pPr>
    <w:rPr>
      <w:szCs w:val="20"/>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v-LV"/>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Text2">
    <w:name w:val="Text 2"/>
    <w:basedOn w:val="Normal"/>
    <w:pPr>
      <w:tabs>
        <w:tab w:val="left" w:pos="2302"/>
      </w:tabs>
      <w:spacing w:after="240"/>
      <w:ind w:left="1202"/>
      <w:jc w:val="both"/>
    </w:pPr>
    <w:rPr>
      <w:szCs w:val="20"/>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228E3-FEEC-429F-8C93-CFCC37DE565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694</Words>
  <Characters>4871</Characters>
  <Application>Microsoft Office Word</Application>
  <DocSecurity>0</DocSecurity>
  <Lines>77</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20</cp:revision>
  <dcterms:created xsi:type="dcterms:W3CDTF">2018-03-16T14:56:00Z</dcterms:created>
  <dcterms:modified xsi:type="dcterms:W3CDTF">2018-03-21T15:41:00Z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0x010100AB6DCF41F10D214DBDDF7E1F5EB8F7C1</vt:lpwstr>
  </property>
  <property fmtid="{D5CDD505-2E9C-101B-9397-08002B2CF9AE}" pid="10" name="TemplateUrl">
    <vt:lpwstr/>
  </property>
  <property fmtid="{D5CDD505-2E9C-101B-9397-08002B2CF9AE}" pid="11" name="Level of sensitivity">
    <vt:lpwstr>Standard treatment</vt:lpwstr>
  </property>
</Properties>
</file>