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A" w:rsidRDefault="00B912C7" w:rsidP="00B912C7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1C6992C-910E-4D8C-8667-F265AD887EAA" style="width:450.75pt;height:417.75pt">
            <v:imagedata r:id="rId11" o:title=""/>
          </v:shape>
        </w:pict>
      </w:r>
    </w:p>
    <w:bookmarkEnd w:id="0"/>
    <w:p w:rsidR="002D3CDA" w:rsidRDefault="002D3CDA">
      <w:pPr>
        <w:pStyle w:val="Pagedecouverture"/>
        <w:rPr>
          <w:noProof/>
        </w:rPr>
        <w:sectPr w:rsidR="002D3CDA" w:rsidSect="00B912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2D3CDA" w:rsidRDefault="00B912C7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Skeda tas-Sommarju Eżekuttiv</w:t>
            </w:r>
          </w:p>
        </w:tc>
      </w:tr>
      <w:tr w:rsidR="002D3CD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D3CDA" w:rsidRDefault="00B912C7"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Valutazzjoni tal-impatt dwar it-Tassazzjoni Ġusta tal-Ekonomija Diġitali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2D3CDA" w:rsidRDefault="00B912C7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Ħtieġa li tittieħed azzjoni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2D3CDA" w:rsidRDefault="00B912C7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Għaliex? X’inhi l-problema li qed tiġi indirizzata?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It-tassazzjoni korporattiva għandha l-għan li tintaxxa l-profitti fejn jinħoloq il-valur, iżda l-qafas attwali tat-taxxa internazzjonali kien maħsub għall-ekonomija tradizzjonali. Dan mhux kapaċi jqis modalitajiet ġodda ta’ ħolqien tal-valur fl-ekonomija d</w:t>
            </w:r>
            <w:r>
              <w:rPr>
                <w:noProof/>
                <w:sz w:val="20"/>
              </w:rPr>
              <w:t>iġitali, li jirrikjedu inqas preżenza fiżika u fejn il-kontribuzzjonijiet tal-utenti u l-assi intanġibbli jaqdu rwoli sinifikanti. Il-baġits pubbliċi u l-ġustizzja soċjali jiġu affettwati. Bħala rispons, għadd dejjem ikbar ta’ Stati Membri qed jieħdu miżur</w:t>
            </w:r>
            <w:r>
              <w:rPr>
                <w:noProof/>
                <w:sz w:val="20"/>
              </w:rPr>
              <w:t xml:space="preserve">i unilaterali li qed jissograw li jifframmentaw is-Suq Uniku.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X’mistenni li tikseb din l-inizjattiva?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L-ewwel nett, huwa mistenni li l-inizjattiva tipproteġi l-integrità u l-funzjonament kif suppost tas-Suq Uniku. It-tieni, l-inizjattiva għandha l-għan</w:t>
            </w:r>
            <w:r>
              <w:rPr>
                <w:noProof/>
                <w:sz w:val="20"/>
              </w:rPr>
              <w:t xml:space="preserve"> li tiżgura li l-finanzi tal-Istati Membri jkunu sostenibbli u li l-bażijiet għat-taxxa korporattiva nazzjonali ma jitnawrux mid-diġitalizzazzjoni. Fl-aħħar nett, l-inizjattiva se tgħin biex jiġu ppreservati l-ġustizzja soċjali u l-kundizzjonijiet ekwivale</w:t>
            </w:r>
            <w:r>
              <w:rPr>
                <w:noProof/>
                <w:sz w:val="20"/>
              </w:rPr>
              <w:t>nti ta’ kompetizzjoni bejn in-negozji kollha.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 l-valur miżjud ta’ azzjoni fil-livell tal-UE?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Peress li l-problema hija marbuta mal-allokazzjoni internazzjonali tad-drittijiet tal-intaxxar, ma tistax tiġi indirizzata b’mod komprensiv fil-livell tal-Istati Membri. Barra minn hekk, l-azzjoni fil-livell tal-UE tevita l-frammentazzjoni tas-Suq Uniku, o</w:t>
            </w:r>
            <w:r>
              <w:rPr>
                <w:noProof/>
                <w:sz w:val="20"/>
              </w:rPr>
              <w:t xml:space="preserve">stakli ġodda għan-negozju jew lakuni potenzjali li jirriżultaw minn azzjoni mhux ikkoordinata minn Stati Membri differenti. 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2D3CDA" w:rsidRDefault="00B912C7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Soluzzjonijiet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X’għażliet ta’ politika leġiżlattivi u mhux leġiżlattivi ġew ikkunsidrati? Hemm għażla ppreferuta jew le? </w:t>
            </w:r>
            <w:r>
              <w:rPr>
                <w:rFonts w:ascii="Tahoma" w:hAnsi="Tahoma"/>
                <w:b/>
                <w:noProof/>
                <w:sz w:val="20"/>
              </w:rPr>
              <w:t>Għaliex?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</w:rPr>
              <w:t xml:space="preserve">L-ewwel nett, tiġi eżaminata soluzzjoni komprensiva. L-għażliet ewlenin: </w:t>
            </w:r>
          </w:p>
          <w:p w:rsidR="002D3CDA" w:rsidRDefault="00B912C7">
            <w:pPr>
              <w:pStyle w:val="Default"/>
              <w:ind w:left="284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u w:val="single"/>
              </w:rPr>
              <w:t>Għażla 1</w:t>
            </w:r>
            <w:r>
              <w:rPr>
                <w:noProof/>
                <w:sz w:val="20"/>
              </w:rPr>
              <w:t xml:space="preserve">: L-emendar tar-regoli dwar il-proposta għal Bażi Komuni Konsolidata għat-Taxxa Korporattiva (BKKTK); </w:t>
            </w:r>
          </w:p>
          <w:p w:rsidR="002D3CDA" w:rsidRDefault="00B912C7">
            <w:pPr>
              <w:pStyle w:val="Default"/>
              <w:ind w:left="284"/>
              <w:jc w:val="both"/>
              <w:rPr>
                <w:noProof/>
                <w:sz w:val="20"/>
                <w:szCs w:val="20"/>
                <w:u w:val="single"/>
              </w:rPr>
            </w:pPr>
            <w:r>
              <w:rPr>
                <w:rFonts w:eastAsiaTheme="minorHAnsi"/>
                <w:noProof/>
                <w:sz w:val="20"/>
                <w:u w:val="single"/>
              </w:rPr>
              <w:t>Għażla 2</w:t>
            </w:r>
            <w:r>
              <w:rPr>
                <w:rFonts w:eastAsiaTheme="minorHAnsi"/>
                <w:noProof/>
                <w:sz w:val="20"/>
              </w:rPr>
              <w:t>: Direttiva dwar l-istabbiliment permanenti diġitali</w:t>
            </w:r>
            <w:r>
              <w:rPr>
                <w:rFonts w:eastAsiaTheme="minorHAnsi"/>
                <w:noProof/>
                <w:sz w:val="20"/>
              </w:rPr>
              <w:t xml:space="preserve"> u l-prinċipji tal-allokazzjoni tal-profitt, b’aġġustamenti fil-BKKTK;  </w:t>
            </w:r>
          </w:p>
          <w:p w:rsidR="002D3CDA" w:rsidRDefault="00B912C7">
            <w:pPr>
              <w:pStyle w:val="Default"/>
              <w:ind w:left="284"/>
              <w:jc w:val="both"/>
              <w:rPr>
                <w:noProof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u w:val="single"/>
              </w:rPr>
              <w:t>Għażla 3 (ippreferuta)</w:t>
            </w:r>
            <w:r>
              <w:rPr>
                <w:rFonts w:eastAsiaTheme="minorHAnsi"/>
                <w:noProof/>
                <w:sz w:val="20"/>
              </w:rPr>
              <w:t xml:space="preserve">: L-Għażla 2 flimkien ma’ rakkomandazzjoni biex jinbidlu r-regoli fir-rigward tal-pajjiżi terzi. </w:t>
            </w:r>
          </w:p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It-tieni, peress li r-riforma tar-regoli dwar it-taxxa korporat</w:t>
            </w:r>
            <w:r>
              <w:rPr>
                <w:noProof/>
                <w:sz w:val="20"/>
              </w:rPr>
              <w:t xml:space="preserve">tiva tieħu ż-żmien, u sabiex tiġi evitata l-adozzjoni ta’ miżuri unilaterali mill-Istati Membri, tiġi kkunsidrata wkoll soluzzjoni </w:t>
            </w:r>
            <w:r>
              <w:rPr>
                <w:b/>
                <w:noProof/>
                <w:sz w:val="20"/>
              </w:rPr>
              <w:t>temporanja</w:t>
            </w:r>
            <w:r>
              <w:rPr>
                <w:noProof/>
                <w:sz w:val="20"/>
              </w:rPr>
              <w:t>. Is-soluzzjoni temporanja ppreferuta hija Direttiva dwar sistema komuni ta’ taxxa fuq ċerti attivitajiet diġitali.</w:t>
            </w:r>
            <w:r>
              <w:rPr>
                <w:noProof/>
                <w:sz w:val="20"/>
              </w:rPr>
              <w:t xml:space="preserve">  </w:t>
            </w:r>
          </w:p>
        </w:tc>
      </w:tr>
      <w:tr w:rsidR="002D3CDA">
        <w:tc>
          <w:tcPr>
            <w:tcW w:w="10188" w:type="dxa"/>
            <w:shd w:val="clear" w:color="auto" w:fill="CCCCCC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Liema għażla u min jappoġġaha?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D3CDA">
        <w:trPr>
          <w:trHeight w:val="862"/>
        </w:trPr>
        <w:tc>
          <w:tcPr>
            <w:tcW w:w="10188" w:type="dxa"/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Soluzzjoni komprensiva:</w:t>
            </w:r>
            <w:r>
              <w:rPr>
                <w:noProof/>
                <w:sz w:val="20"/>
              </w:rPr>
              <w:t xml:space="preserve"> 14-il awtorità tat-taxxa nazzjonali minn 21 u 58 % mill-446 persuna li wieġbu għall-konsultazzjoni pubblika jemmnu li s-soluzzjoni komprensiva tista’ tindirizza bl-aqwa mod il-problemi attwali. </w:t>
            </w:r>
          </w:p>
          <w:p w:rsidR="002D3CDA" w:rsidRDefault="00B912C7">
            <w:pPr>
              <w:pStyle w:val="Default"/>
              <w:jc w:val="both"/>
              <w:rPr>
                <w:noProof/>
                <w:sz w:val="20"/>
              </w:rPr>
            </w:pPr>
            <w:r>
              <w:rPr>
                <w:i/>
                <w:noProof/>
                <w:sz w:val="20"/>
                <w:u w:val="single"/>
              </w:rPr>
              <w:t>Soluzzjoni temporanja:</w:t>
            </w:r>
            <w:r>
              <w:rPr>
                <w:noProof/>
                <w:sz w:val="20"/>
              </w:rPr>
              <w:t xml:space="preserve"> 10 awtoritajiet tat-taxxa nazzjonali minn 21 u 53 % mill-persuni li wieġbu għall-konsultazzjoni pubblika jemmnu li t-“taxxa fuq id-dħul minn ċerti servizzi diġitali” tista’ tindirizza bl-aqwa mod il-problemi attwali.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2D3CDA" w:rsidRDefault="00B912C7">
            <w:pPr>
              <w:spacing w:before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Impatti tal-</w:t>
            </w:r>
            <w:r>
              <w:rPr>
                <w:rFonts w:ascii="Tahoma" w:hAnsi="Tahoma"/>
                <w:b/>
                <w:noProof/>
                <w:sz w:val="22"/>
              </w:rPr>
              <w:t>għażla ppreferuta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l-benefiċċji tal-għażla ppreferuta (jekk hemm, inkella x’inhuma dawk ewlenin)?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Soluzzjoni komprensiva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noProof/>
                <w:sz w:val="20"/>
              </w:rPr>
              <w:t>Is-soluzzjoni ttejjeb il-perċezzjoni ta’ ġustizzja għaċ-</w:t>
            </w:r>
            <w:r>
              <w:rPr>
                <w:b/>
                <w:noProof/>
                <w:sz w:val="20"/>
              </w:rPr>
              <w:t>ċittadini</w:t>
            </w:r>
            <w:r>
              <w:rPr>
                <w:noProof/>
                <w:sz w:val="20"/>
              </w:rPr>
              <w:t xml:space="preserve"> billi tiżgura li l-kumpaniji l-kbar b’attivitajiet diġitali sinifikanti ma jaħarbux mit-taxxi tagħhom fl-UE. In-</w:t>
            </w:r>
            <w:r>
              <w:rPr>
                <w:b/>
                <w:noProof/>
                <w:sz w:val="20"/>
              </w:rPr>
              <w:t>negozji</w:t>
            </w:r>
            <w:r>
              <w:rPr>
                <w:noProof/>
                <w:sz w:val="20"/>
              </w:rPr>
              <w:t xml:space="preserve"> jibbenefikaw minn kundizzjonijiet iktar ekwivalenti ta’ kompetizzjoni peress li r-reviżjoni tar-regoli tneħħi d-distorsjonijiet tal-kom</w:t>
            </w:r>
            <w:r>
              <w:rPr>
                <w:noProof/>
                <w:sz w:val="20"/>
              </w:rPr>
              <w:t>petizzjoni. L-</w:t>
            </w:r>
            <w:r>
              <w:rPr>
                <w:b/>
                <w:noProof/>
                <w:sz w:val="20"/>
              </w:rPr>
              <w:t>amministrazzjonijiet tat-taxxa nazzjonali</w:t>
            </w:r>
            <w:r>
              <w:rPr>
                <w:noProof/>
                <w:sz w:val="20"/>
              </w:rPr>
              <w:t xml:space="preserve"> jibbenefikaw minn impatt pożittiv fuq il-finanzi pubbliċi peress li s-soluzzjoni tikkontribwixxi għas-sostenibbiltà fit-tul tas-sistema tat-taxxa korporattiva. </w:t>
            </w:r>
          </w:p>
          <w:p w:rsidR="002D3CDA" w:rsidRDefault="00B912C7">
            <w:pPr>
              <w:pStyle w:val="Default"/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Soluzzjoni temporanja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noProof/>
                <w:sz w:val="20"/>
              </w:rPr>
              <w:t>Din għandha ttej</w:t>
            </w:r>
            <w:r>
              <w:rPr>
                <w:noProof/>
                <w:sz w:val="20"/>
              </w:rPr>
              <w:t>jeb il-perċezzjoni ta’ ġustizzja għaċ-ċittadini billi tiżgura livell minimu ta’ tassazzjoni fl-UE għall-kumpaniji li jiddependu l-iżjed fuq il-kontribuzzjonijiet u d-dejta tal-utenti. Billi tiġi evitata l-frammentazzjoni tas-Suq Uniku, din il-miżura tippro</w:t>
            </w:r>
            <w:r>
              <w:rPr>
                <w:noProof/>
                <w:sz w:val="20"/>
              </w:rPr>
              <w:t xml:space="preserve">vdi qafas stabbli tat-taxxa għan-negozji attivi fl-UE.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l-kostijiet tal-għażla ppreferuta (jekk hemm, inkella x’inhuma dawk ewlenin)?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Soluzzjoni komprensiva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noProof/>
                <w:sz w:val="20"/>
              </w:rPr>
              <w:t>Il-miżura żżid il-piż regolatorju u ta’ konformità għan-</w:t>
            </w:r>
            <w:r>
              <w:rPr>
                <w:b/>
                <w:noProof/>
                <w:sz w:val="20"/>
              </w:rPr>
              <w:t>negozji</w:t>
            </w:r>
            <w:r>
              <w:rPr>
                <w:noProof/>
                <w:sz w:val="20"/>
              </w:rPr>
              <w:t xml:space="preserve"> kollha li jaqgħu fl-am</w:t>
            </w:r>
            <w:r>
              <w:rPr>
                <w:noProof/>
                <w:sz w:val="20"/>
              </w:rPr>
              <w:t>bitu tas-soluzzjoni. L-</w:t>
            </w:r>
            <w:r>
              <w:rPr>
                <w:b/>
                <w:noProof/>
                <w:sz w:val="20"/>
              </w:rPr>
              <w:t>amministrazzjonijiet nazzjonali tat-taxxa</w:t>
            </w:r>
            <w:r>
              <w:rPr>
                <w:noProof/>
                <w:sz w:val="20"/>
              </w:rPr>
              <w:t xml:space="preserve"> jġarrbu kostijiet ukoll għall-implimentazzjoni tas-sistema l-ġdida, b’mod partikolari kostijiet informatiċi u ta’ taħriġ tal-persunal. </w:t>
            </w:r>
          </w:p>
          <w:p w:rsidR="002D3CDA" w:rsidRDefault="00B912C7">
            <w:pPr>
              <w:pStyle w:val="Default"/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Soluzzjoni temporanja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b/>
                <w:noProof/>
                <w:sz w:val="20"/>
              </w:rPr>
              <w:t>Il-kumpaniji l-kbar</w:t>
            </w:r>
            <w:r>
              <w:rPr>
                <w:noProof/>
              </w:rPr>
              <w:t xml:space="preserve"> li jkunu ’l </w:t>
            </w:r>
            <w:r>
              <w:rPr>
                <w:noProof/>
              </w:rPr>
              <w:t xml:space="preserve">fuq mil-livelli limitu jkollhom jiffaċċjaw rekwiżiti </w:t>
            </w:r>
            <w:r>
              <w:rPr>
                <w:noProof/>
              </w:rPr>
              <w:lastRenderedPageBreak/>
              <w:t>addizzjonali tar-rapportar biex jikkalkolaw il-bażi għat-taxxa tagħhom fl-Istati Membri li huma attivi fihom.</w:t>
            </w:r>
            <w:r>
              <w:rPr>
                <w:noProof/>
                <w:sz w:val="20"/>
              </w:rPr>
              <w:t xml:space="preserve"> L-</w:t>
            </w:r>
            <w:r>
              <w:rPr>
                <w:b/>
                <w:noProof/>
                <w:sz w:val="20"/>
              </w:rPr>
              <w:t>amministrazzjonijiet nazzjonali tat-taxxa</w:t>
            </w:r>
            <w:r>
              <w:rPr>
                <w:noProof/>
                <w:sz w:val="20"/>
              </w:rPr>
              <w:t xml:space="preserve"> jġarrbu kostijiet inizjali wkoll biex jimplimenta</w:t>
            </w:r>
            <w:r>
              <w:rPr>
                <w:noProof/>
                <w:sz w:val="20"/>
              </w:rPr>
              <w:t xml:space="preserve">w is-sistema l-ġdida, b’mod partikolari fir-rigward ta’ kostijiet informatiċi u ta’ taħriġ tal-persunal.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 xml:space="preserve">Kif se jintlaqtu n-negozji, l-SMEs u l-mikroimpriżi?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  <w:u w:val="single"/>
              </w:rPr>
              <w:t>Soluzzjoni komprensiva</w:t>
            </w:r>
            <w:r>
              <w:rPr>
                <w:rFonts w:ascii="Arial" w:hAnsi="Arial"/>
                <w:noProof/>
                <w:sz w:val="20"/>
              </w:rPr>
              <w:t xml:space="preserve"> – din il-miżura terġa’ twassal għal kundizzjonijiet ekwivalenti ta’ kompetizzjoni bejn il-kumpaniji multinazzjonali u l-kumpaniji ż-żgħar li ħafna drabi jkunu inqas diġitalizzati jew li jkollhom inqas attività transfruntiera. Il-miżura tkun ta’ benefiċċju</w:t>
            </w:r>
            <w:r>
              <w:rPr>
                <w:rFonts w:ascii="Arial" w:hAnsi="Arial"/>
                <w:noProof/>
                <w:sz w:val="20"/>
              </w:rPr>
              <w:t xml:space="preserve"> għall-SMEs u għall-mikroimpriżi. Tista’ żżid il-piż regolatorju u ta’ konformità, li jaf ikollu impatt negattiv ikbar fuq l-SMEs transfruntiera. </w:t>
            </w:r>
          </w:p>
          <w:p w:rsidR="002D3CDA" w:rsidRDefault="00B912C7">
            <w:pPr>
              <w:spacing w:before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  <w:u w:val="single"/>
              </w:rPr>
              <w:t>Soluzzjoni temporanja</w:t>
            </w:r>
            <w:r>
              <w:rPr>
                <w:rFonts w:ascii="Arial" w:hAnsi="Arial"/>
                <w:noProof/>
                <w:sz w:val="20"/>
              </w:rPr>
              <w:t xml:space="preserve"> – l-SMEs ma jintlaqtux, peress li d-dħul tagħhom ma jkunx jilħaq il-livell limitu.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</w:t>
            </w:r>
            <w:r>
              <w:rPr>
                <w:rFonts w:ascii="Tahoma" w:hAnsi="Tahoma"/>
                <w:b/>
                <w:noProof/>
                <w:sz w:val="20"/>
              </w:rPr>
              <w:t xml:space="preserve"> jkun hemm impatti sinifikanti fuq il-baġits u l-amministrazzjonijiet nazzjonali?</w:t>
            </w:r>
          </w:p>
        </w:tc>
      </w:tr>
      <w:tr w:rsidR="002D3CDA">
        <w:tc>
          <w:tcPr>
            <w:tcW w:w="10188" w:type="dxa"/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Is-soluzzjoni komprensiva tikkontribwixxi għas-sostenibbiltà fit-tul tas-sistema tat-taxxa korporattiva u għal distribuzzjoni iktar ġusta tad-dħul mit-taxxa. Is-soluzzjoni t</w:t>
            </w:r>
            <w:r>
              <w:rPr>
                <w:noProof/>
                <w:sz w:val="20"/>
              </w:rPr>
              <w:t xml:space="preserve">emporanja twassal għal dħul addizzjonali għall-baġits nazzjonali, għalkemm id-dħul addizzjonali mistenni mit-taxxa jkun pjuttost moderat meta jitqies l-ambitu dejjaq u l-applikazzjoni ta’ livelli limitu.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sinifikanti oħra?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Huwa mistenni li l-proposta tistabbilixxi l-viżjoni tal-UE sabiex isservi ta’ eżempju biex tinfluwenza d-diskussjonijiet internazzjonali.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:rsidR="002D3CDA" w:rsidRDefault="00B912C7">
            <w:pPr>
              <w:spacing w:before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Segwitu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D3CDA" w:rsidRDefault="00B912C7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Meta se tiġi rieżaminata l-politika? </w:t>
            </w:r>
          </w:p>
        </w:tc>
      </w:tr>
      <w:tr w:rsidR="002D3CD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D3CDA" w:rsidRDefault="00B912C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Il-Kummissjoni se timmonitorja l-implimentazzjoni tal-proposta ġuridika. Ħames snin wara l-implimentazzjoni, għandha ssir evalwazzjoni. </w:t>
            </w:r>
          </w:p>
        </w:tc>
      </w:tr>
    </w:tbl>
    <w:p w:rsidR="002D3CDA" w:rsidRDefault="002D3CDA">
      <w:pPr>
        <w:jc w:val="center"/>
        <w:rPr>
          <w:noProof/>
        </w:rPr>
      </w:pPr>
    </w:p>
    <w:sectPr w:rsidR="002D3C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DA" w:rsidRDefault="00B912C7">
      <w:r>
        <w:separator/>
      </w:r>
    </w:p>
  </w:endnote>
  <w:endnote w:type="continuationSeparator" w:id="0">
    <w:p w:rsidR="002D3CDA" w:rsidRDefault="00B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7" w:rsidRPr="00B912C7" w:rsidRDefault="00B912C7" w:rsidP="00B91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7" w:rsidRPr="00B912C7" w:rsidRDefault="00B912C7" w:rsidP="00B912C7">
    <w:pPr>
      <w:pStyle w:val="FooterCoverPage"/>
      <w:rPr>
        <w:rFonts w:ascii="Arial" w:hAnsi="Arial" w:cs="Arial"/>
        <w:b/>
        <w:sz w:val="48"/>
      </w:rPr>
    </w:pPr>
    <w:r w:rsidRPr="00B912C7">
      <w:rPr>
        <w:rFonts w:ascii="Arial" w:hAnsi="Arial" w:cs="Arial"/>
        <w:b/>
        <w:sz w:val="48"/>
      </w:rPr>
      <w:t>MT</w:t>
    </w:r>
    <w:r w:rsidRPr="00B912C7">
      <w:rPr>
        <w:rFonts w:ascii="Arial" w:hAnsi="Arial" w:cs="Arial"/>
        <w:b/>
        <w:sz w:val="48"/>
      </w:rPr>
      <w:tab/>
    </w:r>
    <w:r w:rsidRPr="00B912C7">
      <w:rPr>
        <w:rFonts w:ascii="Arial" w:hAnsi="Arial" w:cs="Arial"/>
        <w:b/>
        <w:sz w:val="48"/>
      </w:rPr>
      <w:tab/>
    </w:r>
    <w:r w:rsidRPr="00B912C7">
      <w:tab/>
    </w:r>
    <w:r w:rsidRPr="00B912C7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7" w:rsidRPr="00B912C7" w:rsidRDefault="00B912C7" w:rsidP="00B912C7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DA" w:rsidRDefault="002D3C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CDA" w:rsidRDefault="00B91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DA" w:rsidRDefault="002D3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DA" w:rsidRDefault="00B912C7">
      <w:r>
        <w:separator/>
      </w:r>
    </w:p>
  </w:footnote>
  <w:footnote w:type="continuationSeparator" w:id="0">
    <w:p w:rsidR="002D3CDA" w:rsidRDefault="00B9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7" w:rsidRPr="00B912C7" w:rsidRDefault="00B912C7" w:rsidP="00B91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7" w:rsidRPr="00B912C7" w:rsidRDefault="00B912C7" w:rsidP="00B912C7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7" w:rsidRPr="00B912C7" w:rsidRDefault="00B912C7" w:rsidP="00B912C7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DA" w:rsidRDefault="002D3CD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DA" w:rsidRDefault="002D3CD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DA" w:rsidRDefault="002D3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317"/>
    <w:multiLevelType w:val="hybridMultilevel"/>
    <w:tmpl w:val="5B206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21C6992C-910E-4D8C-8667-F265AD887EAA"/>
    <w:docVar w:name="LW_COVERPAGE_TYPE" w:val="1"/>
    <w:docVar w:name="LW_CROSSREFERENCE" w:val="{COM(2018) 147 final}_x000d__x000a_{COM(2018) 148 final}_x000a_{SWD(2018) 81 final}"/>
    <w:docVar w:name="LW_DocType" w:val="NORMAL"/>
    <w:docVar w:name="LW_EMISSION" w:val="21.3.2018"/>
    <w:docVar w:name="LW_EMISSION_ISODATE" w:val="2018-03-21"/>
    <w:docVar w:name="LW_EMISSION_LOCATION" w:val="BRX"/>
    <w:docVar w:name="LW_EMISSION_PREFIX" w:val="Brussell,"/>
    <w:docVar w:name="LW_EMISSION_SUFFIX" w:val="&lt;EMPTY&gt;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SWD"/>
    <w:docVar w:name="LW_REF.INST.NEW_ADOPTED" w:val="final"/>
    <w:docVar w:name="LW_REF.INST.NEW_TEXT" w:val="(2018) 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_x000b_Proposta g\u295?al Direttiva tal-Kunsill li tistabbilixxi r-regoli dwar it-tassazzjoni korporattiva ta\u8217? pre\u380?enza di\u289?itali sinifikanti_x000b__x000b_Proposta g\u295?al Direttiva tal-Kunsill dwar is-sistema komuni ta\u8217? taxxa fuq is-servizzi di\u289?itali fir-rigward tad-d\u295?ul li jirri\u380?ulta mill-provvista ta\u8217? \u267?erti servizzi di\u289?itali "/>
  </w:docVars>
  <w:rsids>
    <w:rsidRoot w:val="002D3CDA"/>
    <w:rsid w:val="002D3CDA"/>
    <w:rsid w:val="00B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Text2">
    <w:name w:val="Text 2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Text2">
    <w:name w:val="Text 2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8E3-FEEC-429F-8C93-CFCC37DE56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743</Words>
  <Characters>5664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21</cp:revision>
  <dcterms:created xsi:type="dcterms:W3CDTF">2018-03-16T14:56:00Z</dcterms:created>
  <dcterms:modified xsi:type="dcterms:W3CDTF">2018-03-21T15:41:00Z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0x010100AB6DCF41F10D214DBDDF7E1F5EB8F7C1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