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2D9C7F56-8B59-4BB7-A630-572E6F5C484A" style="width:450.75pt;height:379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GoBack"/>
      <w:bookmarkEnd w:id="1"/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lastRenderedPageBreak/>
        <w:t>BILAG 1 - EU's trustfond for Afrika - Medlemsstaternes bidrag</w:t>
      </w:r>
    </w:p>
    <w:tbl>
      <w:tblPr>
        <w:tblW w:w="15642" w:type="dxa"/>
        <w:tblInd w:w="93" w:type="dxa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2882"/>
        <w:gridCol w:w="2455"/>
        <w:gridCol w:w="2268"/>
        <w:gridCol w:w="2429"/>
        <w:gridCol w:w="2503"/>
        <w:gridCol w:w="3105"/>
      </w:tblGrid>
      <w:tr>
        <w:trPr>
          <w:cantSplit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Bidrag, attesteret (EUR)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Bidrag, modtaget (EUR)</w:t>
            </w:r>
          </w:p>
        </w:tc>
      </w:tr>
      <w:tr>
        <w:trPr>
          <w:cantSplit/>
        </w:trPr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Land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Alle vinduer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Fordelt pr. vindue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Pr. 08.3.2018</w:t>
            </w:r>
          </w:p>
        </w:tc>
      </w:tr>
      <w:tr>
        <w:trPr>
          <w:cantSplit/>
        </w:trPr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SAH (A)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AH (B)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NO (C)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I alt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Østrig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6 000 000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3 000 000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6 000 000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Belgien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5 500 000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500 000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4 000 000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6 000 000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Bulgarien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550 000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110 000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550 000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Kroatien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200 000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Tjekkiet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10 419 008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740 000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9 679 008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1 669 008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Danmark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10 013 196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2 400 768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2 400 768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5 211 659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10 013 196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Estland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1 450 000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-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1 450 000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1 450 000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Finland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5 000 000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5 000 000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Frankrig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9 000 000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Tyskland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157 500 000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39 600 000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116 700 000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139 500 000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Ungarn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700 000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700 000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Irland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6 000 000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4 200 000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Italien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102 000 000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86 000 000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5 000 000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11 000 000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102 000 000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Letland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260 000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300 000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Litauen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160 000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200 000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Luxembourg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3 100 000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Malta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325 000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125 000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200 000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Nederlandene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26 362 000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13 362 000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10 000 000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23 362 000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lang w:val="nb-NO"/>
              </w:rPr>
              <w:t xml:space="preserve"> Norge</w:t>
            </w:r>
            <w:r>
              <w:rPr>
                <w:rFonts w:ascii="Times New Roman" w:hAnsi="Times New Roman"/>
                <w:b/>
                <w:noProof/>
                <w:color w:val="000000"/>
                <w:sz w:val="16"/>
                <w:lang w:val="nb-NO"/>
              </w:rPr>
              <w:t xml:space="preserve"> (EUR svarende til NOK)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nb-NO"/>
              </w:rPr>
              <w:t xml:space="preserve">                   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8 778 990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2 669 630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4 035 101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2 074 258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8 778 990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Polen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10 486 206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9 386 206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10 486 206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Portugal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1 800 000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855 000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180 000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765 000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1 800 000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Rumænien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Slovakiet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1 600 000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300 000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1 100 000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Slovenien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Spanien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9 000 000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9 000 000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Sverige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3 000 000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Schweiz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4 100 000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1 640 000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1 640 000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820 000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3 600 000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Det Forenede Kongerige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1 200 000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Eksterne bidrag i alt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391 084 400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163 005 399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 48 622 869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179 456 132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                344 409 400 </w:t>
            </w:r>
          </w:p>
        </w:tc>
      </w:tr>
    </w:tbl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tbl>
      <w:tblPr>
        <w:tblpPr w:leftFromText="180" w:rightFromText="180" w:vertAnchor="text" w:tblpX="93" w:tblpY="1"/>
        <w:tblOverlap w:val="never"/>
        <w:tblW w:w="1480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65"/>
        <w:gridCol w:w="2083"/>
        <w:gridCol w:w="1811"/>
        <w:gridCol w:w="1948"/>
        <w:gridCol w:w="1947"/>
        <w:gridCol w:w="1948"/>
      </w:tblGrid>
      <w:tr>
        <w:trPr>
          <w:trHeight w:val="458"/>
        </w:trPr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 w:val="24"/>
              </w:rPr>
              <w:t>Godkendte projekter fordelt på strategiske mål for EU's Trustfond for Afrika (i mio. EUR)</w:t>
            </w:r>
          </w:p>
        </w:tc>
      </w:tr>
      <w:tr>
        <w:trPr>
          <w:trHeight w:val="458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noProof/>
                <w:lang w:val="nn-NO"/>
              </w:rPr>
              <w:t>EU's Trustfond for Afrika – strategiske mål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Sahel og Tchadsøen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Afrikas Horn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Nordafrika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På tværs af vinduer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I alt</w:t>
            </w:r>
          </w:p>
        </w:tc>
      </w:tr>
      <w:tr>
        <w:trPr>
          <w:trHeight w:val="458"/>
        </w:trPr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1. Større økonomiske muligheder og beskæftigelsesmuligheder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383,6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580,6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2. Styrkelse af befolkningsgruppers modstandsdygtighed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335,2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732,2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3. Bedre migrationsstyring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182,5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114,1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123,6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705,2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4. Forbedret regeringsførelse og konfliktforebyggelse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318,1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174,8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 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502,9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5. Andet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Tværgående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12,1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 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25,1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I alt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1 293,4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833,2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136,6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2 548*</w:t>
            </w:r>
          </w:p>
        </w:tc>
      </w:tr>
    </w:tbl>
    <w:p>
      <w:pPr>
        <w:rPr>
          <w:rFonts w:ascii="Times New Roman" w:hAnsi="Times New Roman"/>
          <w:noProof/>
        </w:rPr>
      </w:pPr>
      <w:r>
        <w:rPr>
          <w:noProof/>
        </w:rPr>
        <w:br/>
      </w: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*Afrundede tal</w:t>
      </w: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 w:code="9"/>
      <w:pgMar w:top="300" w:right="720" w:bottom="300" w:left="72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63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TYSER Frederik (SG)">
    <w15:presenceInfo w15:providerId="None" w15:userId="SCHUTYSER Frederik (S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2D9C7F56-8B59-4BB7-A630-572E6F5C484A"/>
    <w:docVar w:name="LW_COVERPAGE_TYPE" w:val="1"/>
    <w:docVar w:name="LW_CROSSREFERENCE" w:val="&lt;UNUSED&gt;"/>
    <w:docVar w:name="LW_DocType" w:val="NORMAL"/>
    <w:docVar w:name="LW_EMISSION" w:val="14.3.2018"/>
    <w:docVar w:name="LW_EMISSION_ISODATE" w:val="2018-03-14"/>
    <w:docVar w:name="LW_EMISSION_LOCATION" w:val="BRX"/>
    <w:docVar w:name="LW_EMISSION_PREFIX" w:val="Bruxelles, den "/>
    <w:docVar w:name="LW_EMISSION_SUFFIX" w:val="&lt;EMPTY&gt;"/>
    <w:docVar w:name="LW_ID_DOCTYPE_NONLW" w:val="CP-039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.CP" w:val="Statusrapport om gennemførelsen af den europæiske dagsorden for migration"/>
    <w:docVar w:name="LW_PART_NBR" w:val="1"/>
    <w:docVar w:name="LW_PART_NBR_TOTAL" w:val="1"/>
    <w:docVar w:name="LW_REF.INST.NEW" w:val="COM"/>
    <w:docVar w:name="LW_REF.INST.NEW_ADOPTED" w:val="final"/>
    <w:docVar w:name="LW_REF.INST.NEW_TEXT" w:val="(2018) 2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BILAG_x000b_"/>
    <w:docVar w:name="LW_TYPEACTEPRINCIPAL.CP" w:val="MEDDELELSE FRA KOMMISSIONEN TIL EUROPA-PARLAMENTET, DET EUROPÆISKE RÅD OG RÅD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3C85-5161-489C-A0CF-56C1D6E4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1477</Words>
  <Characters>5158</Characters>
  <Application>Microsoft Office Word</Application>
  <DocSecurity>0</DocSecurity>
  <Lines>859</Lines>
  <Paragraphs>829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Jadot</dc:creator>
  <cp:lastModifiedBy>DIGIT/A3</cp:lastModifiedBy>
  <cp:revision>19</cp:revision>
  <dcterms:created xsi:type="dcterms:W3CDTF">2018-03-13T09:35:00Z</dcterms:created>
  <dcterms:modified xsi:type="dcterms:W3CDTF">2018-03-20T08:49:00Z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