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1EB17826-08CA-4E67-A38B-D682328CA1D2" style="width:450.75pt;height:397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PRILOGA</w:t>
      </w:r>
    </w:p>
    <w:p>
      <w:pPr>
        <w:jc w:val="center"/>
        <w:rPr>
          <w:b/>
          <w:noProof/>
        </w:rPr>
      </w:pPr>
      <w:r>
        <w:rPr>
          <w:b/>
          <w:noProof/>
        </w:rPr>
        <w:t>Spremembe Priloge IV k Uredbi (EU) št. 168/2013</w:t>
      </w:r>
    </w:p>
    <w:p>
      <w:pPr>
        <w:rPr>
          <w:noProof/>
        </w:rPr>
      </w:pPr>
      <w:r>
        <w:rPr>
          <w:noProof/>
        </w:rPr>
        <w:t>V Prilogi IV k Uredbi (EU) št. 168/2013 se tabela spremeni:</w:t>
      </w:r>
    </w:p>
    <w:p>
      <w:pPr>
        <w:pStyle w:val="Point1letter"/>
        <w:numPr>
          <w:ilvl w:val="3"/>
          <w:numId w:val="1"/>
        </w:numPr>
        <w:rPr>
          <w:noProof/>
        </w:rPr>
      </w:pPr>
      <w:r>
        <w:rPr>
          <w:noProof/>
        </w:rPr>
        <w:t xml:space="preserve">točke 1.1.2.1, 1.1.2.2 in 1.1.2.3 se nadomestijo z naslednjim: </w:t>
      </w:r>
    </w:p>
    <w:tbl>
      <w:tblPr>
        <w:tblW w:w="4594" w:type="pct"/>
        <w:tblCellSpacing w:w="0" w:type="dxa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944"/>
        <w:gridCol w:w="1393"/>
        <w:gridCol w:w="1201"/>
        <w:gridCol w:w="1136"/>
        <w:gridCol w:w="1838"/>
      </w:tblGrid>
      <w:tr>
        <w:trPr>
          <w:tblCellSpacing w:w="0" w:type="dxa"/>
        </w:trPr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„1.1.2.1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Euro 4: Priloga VI (A1)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L1e, L2e, L6e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1.1.2017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1.1.2018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31.12.2020;</w:t>
            </w:r>
            <w:r>
              <w:rPr>
                <w:noProof/>
              </w:rPr>
              <w:t xml:space="preserve"> za L2e-U in </w:t>
            </w:r>
            <w:r>
              <w:rPr>
                <w:noProof/>
                <w:sz w:val="22"/>
              </w:rPr>
              <w:t>L6e-B: 31.12.2022</w:t>
            </w:r>
          </w:p>
        </w:tc>
      </w:tr>
      <w:tr>
        <w:trPr>
          <w:tblCellSpacing w:w="0" w:type="dxa"/>
        </w:trPr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1.1.2.2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Euro 4: Priloga VI (A1)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L3e, L4e, L5e</w:t>
            </w:r>
          </w:p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L7e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1.1.2016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1.1.2017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31.12.2020; za L3e-AxE in L3e-AxT: 31.12.2022</w:t>
            </w:r>
          </w:p>
        </w:tc>
      </w:tr>
      <w:tr>
        <w:trPr>
          <w:tblCellSpacing w:w="0" w:type="dxa"/>
        </w:trPr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1.1.2.3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Euro 5: Priloga VI (A2)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L1e-L7e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1.1.2020;</w:t>
            </w:r>
          </w:p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za L2e-U, L3e-AxE, L3e-AxT in L6e-B: 1.1.2022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1.1.2021;</w:t>
            </w:r>
          </w:p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za L2e-U, L3e-AxE, L3e-AxT in L6e-B: 1.1.2023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“;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pStyle w:val="Point1letter"/>
        <w:rPr>
          <w:noProof/>
        </w:rPr>
      </w:pPr>
      <w:r>
        <w:rPr>
          <w:noProof/>
        </w:rPr>
        <w:t xml:space="preserve">točke 1.8.1, 1.8.2 in 1.8.3 se nadomestijo z naslednjim: </w:t>
      </w:r>
    </w:p>
    <w:tbl>
      <w:tblPr>
        <w:tblW w:w="4594" w:type="pct"/>
        <w:tblCellSpacing w:w="0" w:type="dxa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253"/>
        <w:gridCol w:w="1420"/>
        <w:gridCol w:w="852"/>
        <w:gridCol w:w="853"/>
        <w:gridCol w:w="1276"/>
      </w:tblGrid>
      <w:tr>
        <w:trPr>
          <w:tblCellSpacing w:w="0" w:type="dxa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„1.8.1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Zahteve za delovanje OBD stopnje I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 xml:space="preserve">L3e, L4e, 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noProof/>
                <w:sz w:val="22"/>
              </w:rPr>
              <w:t>L5e-A, L7e-A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1.1.2016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1.1.2017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31.12.2020</w:t>
            </w:r>
          </w:p>
        </w:tc>
      </w:tr>
      <w:tr>
        <w:trPr>
          <w:tblCellSpacing w:w="0" w:type="dxa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Postopek preskušanja okoljske učinkovitosti OBD stopnje I (preskus tipa VIII)</w:t>
            </w: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  <w:tr>
        <w:trPr>
          <w:tblCellSpacing w:w="0" w:type="dxa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Mejne vrednosti postopka preskušanja okoljske učinkovitosti OBD stopnje I, Priloga VI (B1)</w:t>
            </w: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  <w:tr>
        <w:trPr>
          <w:tblCellSpacing w:w="0" w:type="dxa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1.8.2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Zahteve za delovanje OBD stopnje I, vključno z vsemi načini delovanja, ki znatno zmanjšajo navor motorja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L3e, L4e, L5e, L7e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1.1.2020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31.12.2024</w:t>
            </w:r>
          </w:p>
        </w:tc>
      </w:tr>
      <w:tr>
        <w:trPr>
          <w:tblCellSpacing w:w="0" w:type="dxa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Postopek preskušanja okoljske učinkovitosti OBD stopnje I (preskus tipa VIII)</w:t>
            </w:r>
          </w:p>
        </w:tc>
        <w:tc>
          <w:tcPr>
            <w:tcW w:w="14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  <w:tr>
        <w:trPr>
          <w:tblCellSpacing w:w="0" w:type="dxa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Mejne vrednosti postopka preskušanja okoljske učinkovitosti OBD stopnje I, Priloga VI (B1)</w:t>
            </w: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  <w:tr>
        <w:trPr>
          <w:tblCellSpacing w:w="0" w:type="dxa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1.8.3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Zahteve za delovanje OBD stopnje I, vključno z vsemi načini delovanja, ki znatno zmanjšajo navor motorja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L3e, L4e, L5e, L7e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1.1.2024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1.1.2025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“;</w:t>
            </w:r>
          </w:p>
        </w:tc>
      </w:tr>
      <w:tr>
        <w:trPr>
          <w:tblCellSpacing w:w="0" w:type="dxa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Postopek preskušanja okoljske učinkovitosti OBD stopnje I (preskus tipa VIII)</w:t>
            </w:r>
          </w:p>
        </w:tc>
        <w:tc>
          <w:tcPr>
            <w:tcW w:w="14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  <w:tr>
        <w:trPr>
          <w:tblCellSpacing w:w="0" w:type="dxa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Mejne vrednosti postopka preskušanja okoljske učinkovitosti OBD stopnje I, Priloga VI (B2)</w:t>
            </w:r>
          </w:p>
        </w:tc>
        <w:tc>
          <w:tcPr>
            <w:tcW w:w="1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pStyle w:val="Point1letter"/>
        <w:rPr>
          <w:noProof/>
        </w:rPr>
      </w:pPr>
      <w:r>
        <w:rPr>
          <w:noProof/>
        </w:rPr>
        <w:t>vstavijo se naslednje točke:</w:t>
      </w:r>
    </w:p>
    <w:tbl>
      <w:tblPr>
        <w:tblW w:w="4594" w:type="pct"/>
        <w:tblCellSpacing w:w="0" w:type="dxa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3377"/>
        <w:gridCol w:w="1245"/>
        <w:gridCol w:w="846"/>
        <w:gridCol w:w="846"/>
        <w:gridCol w:w="1365"/>
      </w:tblGrid>
      <w:tr>
        <w:trPr>
          <w:tblCellSpacing w:w="0" w:type="dxa"/>
        </w:trPr>
        <w:tc>
          <w:tcPr>
            <w:tcW w:w="4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„1.8.4</w:t>
            </w:r>
          </w:p>
        </w:tc>
        <w:tc>
          <w:tcPr>
            <w:tcW w:w="2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Zahteve za delovanje OBD stopnje II,</w:t>
            </w:r>
          </w:p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razen nadzora katalizatorja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L3e, L4e,</w:t>
            </w:r>
          </w:p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L5e-A, L7e-A</w:t>
            </w:r>
          </w:p>
        </w:tc>
        <w:tc>
          <w:tcPr>
            <w:tcW w:w="5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1.1.2020</w:t>
            </w:r>
          </w:p>
        </w:tc>
        <w:tc>
          <w:tcPr>
            <w:tcW w:w="5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1.1.2021</w:t>
            </w:r>
          </w:p>
        </w:tc>
        <w:tc>
          <w:tcPr>
            <w:tcW w:w="8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31.12.2024</w:t>
            </w:r>
          </w:p>
        </w:tc>
      </w:tr>
      <w:tr>
        <w:trPr>
          <w:tblCellSpacing w:w="0" w:type="dxa"/>
        </w:trPr>
        <w:tc>
          <w:tcPr>
            <w:tcW w:w="4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2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Postopki preskušanja okoljske učinkovitosti OBD stopnje II (preskus tipa VIII)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</w:p>
        </w:tc>
      </w:tr>
      <w:tr>
        <w:trPr>
          <w:tblCellSpacing w:w="0" w:type="dxa"/>
        </w:trPr>
        <w:tc>
          <w:tcPr>
            <w:tcW w:w="4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2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Mejne vrednosti postopka preskušanja okoljske učinkovitosti OBD stopnje II, Priloga VI (B1)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</w:p>
        </w:tc>
      </w:tr>
      <w:tr>
        <w:trPr>
          <w:tblCellSpacing w:w="0" w:type="dxa"/>
        </w:trPr>
        <w:tc>
          <w:tcPr>
            <w:tcW w:w="4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1.8.5</w:t>
            </w:r>
          </w:p>
        </w:tc>
        <w:tc>
          <w:tcPr>
            <w:tcW w:w="2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 xml:space="preserve">Zahteve za delovanje OBD stopnje II 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L3e, L4e, L5e-A, L7e-A</w:t>
            </w:r>
          </w:p>
        </w:tc>
        <w:tc>
          <w:tcPr>
            <w:tcW w:w="5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1.1.2024</w:t>
            </w:r>
          </w:p>
        </w:tc>
        <w:tc>
          <w:tcPr>
            <w:tcW w:w="5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1.1.2025</w:t>
            </w:r>
          </w:p>
        </w:tc>
        <w:tc>
          <w:tcPr>
            <w:tcW w:w="8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</w:rPr>
              <w:t>“;</w:t>
            </w:r>
          </w:p>
        </w:tc>
      </w:tr>
      <w:tr>
        <w:trPr>
          <w:tblCellSpacing w:w="0" w:type="dxa"/>
        </w:trPr>
        <w:tc>
          <w:tcPr>
            <w:tcW w:w="40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2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 xml:space="preserve">Postopki preskušanja okoljske učinkovitosti OBD stopnje II (preskus tipa VIII) 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</w:p>
        </w:tc>
      </w:tr>
      <w:tr>
        <w:trPr>
          <w:tblCellSpacing w:w="0" w:type="dxa"/>
        </w:trPr>
        <w:tc>
          <w:tcPr>
            <w:tcW w:w="40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2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Mejne vrednosti postopka preskušanja okoljske učinkovitosti OBD stopnje II, Priloga VI (B2)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5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Cs w:val="24"/>
              </w:rPr>
            </w:pPr>
          </w:p>
        </w:tc>
      </w:tr>
    </w:tbl>
    <w:p>
      <w:pPr>
        <w:rPr>
          <w:noProof/>
        </w:rPr>
      </w:pPr>
    </w:p>
    <w:p>
      <w:pPr>
        <w:pStyle w:val="Point1letter"/>
        <w:rPr>
          <w:noProof/>
        </w:rPr>
      </w:pPr>
      <w:r>
        <w:rPr>
          <w:noProof/>
        </w:rPr>
        <w:t>točki 1.9.1 in 1.9.2 se nadomestita z naslednjim:</w:t>
      </w:r>
    </w:p>
    <w:tbl>
      <w:tblPr>
        <w:tblW w:w="4592" w:type="pct"/>
        <w:tblCellSpacing w:w="0" w:type="dxa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078"/>
        <w:gridCol w:w="1394"/>
        <w:gridCol w:w="1393"/>
        <w:gridCol w:w="1393"/>
        <w:gridCol w:w="1394"/>
      </w:tblGrid>
      <w:tr>
        <w:trPr>
          <w:trHeight w:val="626"/>
          <w:tblCellSpacing w:w="0" w:type="dxa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„1.9.1</w:t>
            </w:r>
          </w:p>
        </w:tc>
        <w:tc>
          <w:tcPr>
            <w:tcW w:w="1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Preskusni postopek za raven hrupa in mejne vrednosti, Priloga VI (D)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L1e, L2e, L6e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1.1.2017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1.1.2018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</w:p>
        </w:tc>
      </w:tr>
      <w:tr>
        <w:trPr>
          <w:trHeight w:val="626"/>
          <w:tblCellSpacing w:w="0" w:type="dxa"/>
        </w:trPr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1.9.2</w:t>
            </w:r>
          </w:p>
        </w:tc>
        <w:tc>
          <w:tcPr>
            <w:tcW w:w="1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Preskusni postopek za raven hrupa in mejne vrednosti (3), Priloga VI (D)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L3e, L4e, L5e, L7e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1.1.2016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1.1.2017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“;</w:t>
            </w:r>
          </w:p>
        </w:tc>
      </w:tr>
    </w:tbl>
    <w:p>
      <w:pPr>
        <w:rPr>
          <w:noProof/>
        </w:rPr>
      </w:pPr>
    </w:p>
    <w:p>
      <w:pPr>
        <w:pStyle w:val="Point1letter"/>
        <w:rPr>
          <w:noProof/>
        </w:rPr>
      </w:pPr>
      <w:r>
        <w:rPr>
          <w:noProof/>
        </w:rPr>
        <w:t>točka 1.9.4 se nadomesti z naslednjim:</w:t>
      </w:r>
    </w:p>
    <w:tbl>
      <w:tblPr>
        <w:tblW w:w="4594" w:type="pct"/>
        <w:tblCellSpacing w:w="0" w:type="dxa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396"/>
        <w:gridCol w:w="1410"/>
        <w:gridCol w:w="863"/>
        <w:gridCol w:w="677"/>
        <w:gridCol w:w="1419"/>
      </w:tblGrid>
      <w:tr>
        <w:trPr>
          <w:tblCellSpacing w:w="0" w:type="dxa"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„1.9.4</w:t>
            </w:r>
          </w:p>
        </w:tc>
        <w:tc>
          <w:tcPr>
            <w:tcW w:w="2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Pravilniki UN/ECE št. 9, 41, 63, 92 in ustrezne nove mejne vrednosti, ki jih predlaga Komisija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L1e-L7e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0"/>
              <w:jc w:val="center"/>
              <w:rPr>
                <w:rFonts w:eastAsia="Times New Roman"/>
                <w:noProof/>
                <w:szCs w:val="24"/>
              </w:rPr>
            </w:pPr>
            <w:r>
              <w:rPr>
                <w:noProof/>
                <w:sz w:val="22"/>
              </w:rPr>
              <w:t>“.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3EA69F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02C33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8D63E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96405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C1276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E7CA5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DAA58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1CE20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3-09 09:26:3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 predlogu za"/>
    <w:docVar w:name="LW_ACCOMPAGNANT.CP" w:val="k predlogu za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1EB17826-08CA-4E67-A38B-D682328CA1D2"/>
    <w:docVar w:name="LW_COVERPAGE_TYPE" w:val="1"/>
    <w:docVar w:name="LW_CROSSREFERENCE" w:val="&lt;UNUSED&gt;"/>
    <w:docVar w:name="LW_DocType" w:val="ANNEX"/>
    <w:docVar w:name="LW_EMISSION" w:val="19.3.2018"/>
    <w:docVar w:name="LW_EMISSION_ISODATE" w:val="2018-03-19"/>
    <w:docVar w:name="LW_EMISSION_LOCATION" w:val="BRX"/>
    <w:docVar w:name="LW_EMISSION_PREFIX" w:val="Bruselj,"/>
    <w:docVar w:name="LW_EMISSION_SUFFIX" w:val="&lt;EMPTY&gt;"/>
    <w:docVar w:name="LW_ID_DOCSTRUCTURE" w:val="COM/ANNEX"/>
    <w:docVar w:name="LW_ID_DOCTYPE" w:val="SG-017"/>
    <w:docVar w:name="LW_LANGUE" w:val="SL"/>
    <w:docVar w:name="LW_LEVEL_OF_SENSITIVITY" w:val="Standard treatment"/>
    <w:docVar w:name="LW_NOM.INST" w:val="EVROPSKA KOMISIJA"/>
    <w:docVar w:name="LW_NOM.INST_JOINTDOC" w:val="&lt;EMPTY&gt;"/>
    <w:docVar w:name="LW_OBJETACTEPRINCIPAL" w:val="o spremembi Uredbe (EU) \u353?t.&lt;LWCR:NBS&gt;168/2013 v zvezi z uporabo standarda Euro 5 pri homologaciji dvo-ali trikolesnih vozil in \u353?tirikolesnikov_x000b_"/>
    <w:docVar w:name="LW_OBJETACTEPRINCIPAL.CP" w:val="o spremembi Uredbe (EU) \u353?t. 168/2013 v zvezi z uporabo standarda Euro 5 pri homologaciji dvo-ali trikolesnih vozil in \u353?tirikolesnikov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8) 1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ILOGA"/>
    <w:docVar w:name="LW_TYPE.DOC.CP" w:val="PRILOGA"/>
    <w:docVar w:name="LW_TYPEACTEPRINCIPAL" w:val="UREDBO EVROPSKEGA PARLAMENTA IN SVETA"/>
    <w:docVar w:name="LW_TYPEACTEPRINCIPAL.CP" w:val="UREDBO EVROPSKEGA PARLAMENTA IN SVE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l-S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l-S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389</Words>
  <Characters>2233</Characters>
  <Application>Microsoft Office Word</Application>
  <DocSecurity>0</DocSecurity>
  <Lines>223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BRASSART Odile (GROW)</dc:creator>
  <cp:lastModifiedBy>DIGIT/A3</cp:lastModifiedBy>
  <cp:revision>7</cp:revision>
  <cp:lastPrinted>2018-01-23T10:15:00Z</cp:lastPrinted>
  <dcterms:created xsi:type="dcterms:W3CDTF">2018-02-09T13:23:00Z</dcterms:created>
  <dcterms:modified xsi:type="dcterms:W3CDTF">2018-03-09T08:26:00Z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0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