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4038158-4C56-4FBF-869A-D197D1B98485" style="width:450.75pt;height:36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CRSeparator"/>
        <w:rPr>
          <w:noProof/>
        </w:rPr>
      </w:pPr>
      <w:bookmarkStart w:id="0" w:name="_GoBack"/>
      <w:bookmarkEnd w:id="0"/>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757/2010 art. 1 en bijlage, punt 1 (aangepast)</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293/2016 art. 1 en bijlage </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519/2012 art. 1 en bijlage, punt 1, onder a)</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519/2012 art. 1 en bijlage, punt 1, onder b)</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519/2012 art. 1 en bijlage, punt 2</w:t>
      </w:r>
    </w:p>
    <w:p>
      <w:pPr>
        <w:pStyle w:val="CRReference"/>
        <w:rPr>
          <w:noProof/>
          <w:lang w:val="da-DK"/>
        </w:rPr>
      </w:pPr>
      <w:r>
        <w:rPr>
          <w:noProof/>
        </w:rPr>
        <w:fldChar w:fldCharType="begin"/>
      </w:r>
      <w:r>
        <w:rPr>
          <w:noProof/>
          <w:lang w:val="da-DK"/>
        </w:rPr>
        <w:instrText xml:space="preserve"> QUOTE "</w:instrText>
      </w:r>
      <w:r>
        <w:rPr>
          <w:rStyle w:val="CRMarker"/>
          <w:noProof/>
          <w:lang w:val="da-DK"/>
        </w:rPr>
        <w:instrText>è</w:instrText>
      </w:r>
      <w:r>
        <w:rPr>
          <w:noProof/>
          <w:lang w:val="da-DK"/>
        </w:rPr>
        <w:instrText xml:space="preserve">" </w:instrText>
      </w:r>
      <w:r>
        <w:rPr>
          <w:noProof/>
        </w:rPr>
        <w:fldChar w:fldCharType="separate"/>
      </w:r>
      <w:r>
        <w:rPr>
          <w:rStyle w:val="CRMarker"/>
          <w:noProof/>
          <w:lang w:val="da-DK"/>
        </w:rPr>
        <w:t>è</w:t>
      </w:r>
      <w:r>
        <w:rPr>
          <w:noProof/>
        </w:rPr>
        <w:fldChar w:fldCharType="end"/>
      </w:r>
      <w:r>
        <w:rPr>
          <w:rStyle w:val="CRRefNum"/>
          <w:noProof/>
          <w:lang w:val="da-DK"/>
        </w:rPr>
        <w:t>5</w:t>
      </w:r>
      <w:r>
        <w:rPr>
          <w:noProof/>
          <w:lang w:val="da-DK"/>
        </w:rPr>
        <w:t xml:space="preserve"> 2030/2015 art. 1 en bijlage </w:t>
      </w:r>
    </w:p>
    <w:p>
      <w:pPr>
        <w:pStyle w:val="CRReference"/>
        <w:rPr>
          <w:noProof/>
          <w:highlight w:val="lightGray"/>
          <w:lang w:val="da-DK"/>
        </w:rPr>
      </w:pPr>
      <w:r>
        <w:rPr>
          <w:noProof/>
          <w:highlight w:val="lightGray"/>
        </w:rPr>
        <w:fldChar w:fldCharType="begin"/>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rPr>
        <w:fldChar w:fldCharType="separate"/>
      </w:r>
      <w:r>
        <w:rPr>
          <w:rStyle w:val="CRMarker"/>
          <w:noProof/>
          <w:highlight w:val="lightGray"/>
          <w:lang w:val="da-DK"/>
        </w:rPr>
        <w:t>ð</w:t>
      </w:r>
      <w:r>
        <w:rPr>
          <w:noProof/>
          <w:highlight w:val="lightGray"/>
        </w:rPr>
        <w:fldChar w:fldCharType="end"/>
      </w:r>
      <w:r>
        <w:rPr>
          <w:noProof/>
          <w:highlight w:val="lightGray"/>
          <w:lang w:val="da-DK"/>
        </w:rPr>
        <w:t> new</w:t>
      </w:r>
    </w:p>
    <w:p>
      <w:pPr>
        <w:pStyle w:val="Annexetitre"/>
        <w:rPr>
          <w:noProof/>
          <w:lang w:val="da-DK"/>
        </w:rPr>
      </w:pPr>
      <w:r>
        <w:rPr>
          <w:noProof/>
          <w:lang w:val="da-DK"/>
        </w:rPr>
        <w:t>BIJLAGE I</w:t>
      </w:r>
    </w:p>
    <w:p>
      <w:pPr>
        <w:jc w:val="center"/>
        <w:rPr>
          <w:noProof/>
        </w:rPr>
      </w:pPr>
      <w:r>
        <w:rPr>
          <w:b/>
          <w:bCs/>
          <w:noProof/>
        </w:rPr>
        <w:t>Deel A — Stoffen die in het verdrag en in het protocol zijn opgenomen en stoffen die uitsluitend in het verdrag zijn opgenomen</w:t>
      </w:r>
    </w:p>
    <w:tbl>
      <w:tblPr>
        <w:tblW w:w="0" w:type="auto"/>
        <w:tblLayout w:type="fixed"/>
        <w:tblLook w:val="0000" w:firstRow="0" w:lastRow="0" w:firstColumn="0" w:lastColumn="0" w:noHBand="0" w:noVBand="0"/>
      </w:tblPr>
      <w:tblGrid>
        <w:gridCol w:w="2786"/>
        <w:gridCol w:w="2786"/>
        <w:gridCol w:w="1300"/>
        <w:gridCol w:w="2414"/>
      </w:tblGrid>
      <w:tr>
        <w:tc>
          <w:tcPr>
            <w:tcW w:w="2786"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Stof</w:t>
            </w:r>
          </w:p>
        </w:tc>
        <w:tc>
          <w:tcPr>
            <w:tcW w:w="2786"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CAS-nr.:</w:t>
            </w:r>
          </w:p>
        </w:tc>
        <w:tc>
          <w:tcPr>
            <w:tcW w:w="13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EG-nr.</w:t>
            </w:r>
          </w:p>
        </w:tc>
        <w:tc>
          <w:tcPr>
            <w:tcW w:w="241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Specifieke vrijstelling voor gebruik als tussenproduct of andere specificatie</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Tetrabroomdifenylether</w:t>
            </w:r>
          </w:p>
          <w:p>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40088-47-9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254-787-2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In verband met deze vermelding is artikel 4, lid 1, onder b), van toepassing op concentraties tetrabroomdifenylether van ten hoogste 10 mg/kg (0,001 massaprocent) wanneer de stof voorkomt in stoffen of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als bestanddeel van de brandvertraagde delen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NormalLeft"/>
              <w:rPr>
                <w:noProof/>
              </w:rPr>
            </w:pPr>
            <w:r>
              <w:rPr>
                <w:noProof/>
              </w:rPr>
              <w:t xml:space="preserve">2. In afwijking hiervan zijn de productie, het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en het gebruik van de volgende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toegestaan:</w:t>
            </w:r>
          </w:p>
          <w:p>
            <w:pPr>
              <w:pStyle w:val="Point0"/>
              <w:rPr>
                <w:noProof/>
              </w:rPr>
            </w:pPr>
            <w:r>
              <w:rPr>
                <w:noProof/>
              </w:rPr>
              <w:tab/>
              <w:t xml:space="preserve">a) onverminderd het bepaalde onder b),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lagere concentraties dan 0,1 massaprocent tetrabroomdifenylether bevatten wanneer zij geheel of gedeeltelijk uit gerecycleerde materialen of materialen uit voor hergebruik opgewerkt afval zijn vervaardigd;</w:t>
            </w:r>
          </w:p>
          <w:p>
            <w:pPr>
              <w:pStyle w:val="Point0"/>
              <w:rPr>
                <w:noProof/>
              </w:rPr>
            </w:pPr>
            <w:r>
              <w:rPr>
                <w:noProof/>
              </w:rPr>
              <w:tab/>
              <w:t>b) elektrische en elektronische apparatuur die onder Richtlijn 2002/95/EG van het Europees Parlement en de Raad</w:t>
            </w:r>
            <w:r>
              <w:rPr>
                <w:rStyle w:val="FootnoteReference"/>
                <w:noProof/>
              </w:rPr>
              <w:footnoteReference w:id="1"/>
            </w:r>
            <w:r>
              <w:rPr>
                <w:noProof/>
              </w:rPr>
              <w:t xml:space="preserve"> valt.</w:t>
            </w:r>
          </w:p>
          <w:p>
            <w:pPr>
              <w:pStyle w:val="NormalLeft"/>
              <w:rPr>
                <w:noProof/>
              </w:rPr>
            </w:pPr>
            <w:r>
              <w:rPr>
                <w:noProof/>
              </w:rPr>
              <w:t xml:space="preserve">3. Het gebruik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tetrabroomdifenylether als bestanddeel die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gebruik waren vóór 25 augustus 2010 is toegestaan. Op zulke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artikel 4, lid 2, derde en vierde alinea, van toepassing.</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Pentabroomdifenylether</w:t>
            </w:r>
          </w:p>
          <w:p>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32534-81-9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251-084-2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In verband met deze vermelding is artikel 4, lid 1, onder b), van toepassing op concentraties pentabroomdifenylether van ten hoogste 10 mg/kg (0,001 massaprocent) wanneer de stof voorkomt in stoffen of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als bestanddeel van de brandvertraagde delen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NormalLeft"/>
              <w:rPr>
                <w:noProof/>
              </w:rPr>
            </w:pPr>
            <w:r>
              <w:rPr>
                <w:noProof/>
              </w:rPr>
              <w:t xml:space="preserve">2. In afwijking hiervan zijn de productie, het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en het gebruik van de volgende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toegestaan:</w:t>
            </w:r>
          </w:p>
          <w:p>
            <w:pPr>
              <w:pStyle w:val="Point0"/>
              <w:rPr>
                <w:noProof/>
              </w:rPr>
            </w:pPr>
            <w:r>
              <w:rPr>
                <w:noProof/>
              </w:rPr>
              <w:tab/>
              <w:t xml:space="preserve">a) onverminderd het bepaalde onder b),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lagere concentraties dan 0,1 massaprocent pentabroomdifenylether bevatten wanneer zij geheel of gedeeltelijk uit gerecycleerde materialen of materialen uit voor hergebruik opgewerkt afval zijn vervaardigd;</w:t>
            </w:r>
          </w:p>
          <w:p>
            <w:pPr>
              <w:pStyle w:val="Point0"/>
              <w:rPr>
                <w:noProof/>
              </w:rPr>
            </w:pPr>
            <w:r>
              <w:rPr>
                <w:noProof/>
              </w:rPr>
              <w:tab/>
              <w:t>b) elektrische en elektronische apparatuur die onder Richtlijn 2002/95/EG valt.</w:t>
            </w:r>
          </w:p>
          <w:p>
            <w:pPr>
              <w:pStyle w:val="NormalLeft"/>
              <w:rPr>
                <w:noProof/>
              </w:rPr>
            </w:pPr>
            <w:r>
              <w:rPr>
                <w:noProof/>
              </w:rPr>
              <w:t xml:space="preserve">3. Het gebruik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pentabroomdifenylether als bestanddeel die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gebruik waren vóór 25 augustus 2010 is toegestaan. Op zulke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artikel 4, lid 2, derde en vierde alinea, van toepassing.</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Hexabroomdifenylether</w:t>
            </w:r>
          </w:p>
          <w:p>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36483-60-0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253-058-6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In verband met deze vermelding is artikel 4, lid 1, onder b), van toepassing op concentraties hexabroomdifenylether van ten hoogste 10 mg/kg (0,001 massaprocent) wanneer de stof voorkomt in stoffen of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als bestanddeel van de brandvertraagde delen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NormalLeft"/>
              <w:rPr>
                <w:noProof/>
              </w:rPr>
            </w:pPr>
            <w:r>
              <w:rPr>
                <w:noProof/>
              </w:rPr>
              <w:t xml:space="preserve">2. In afwijking hiervan zijn de productie, het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en het gebruik van de volgende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toegestaan:</w:t>
            </w:r>
          </w:p>
          <w:p>
            <w:pPr>
              <w:pStyle w:val="Point0"/>
              <w:rPr>
                <w:noProof/>
              </w:rPr>
            </w:pPr>
            <w:r>
              <w:rPr>
                <w:noProof/>
              </w:rPr>
              <w:tab/>
              <w:t xml:space="preserve">a) onverminderd het bepaalde onder b),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lagere concentraties dan 0,1 massaprocent hexabroomdifenylether bevatten wanneer zij geheel of gedeeltelijk uit gerecycleerde materialen of materialen uit voor hergebruik opgewerkt afval zijn vervaardigd;</w:t>
            </w:r>
          </w:p>
          <w:p>
            <w:pPr>
              <w:pStyle w:val="Point0"/>
              <w:rPr>
                <w:noProof/>
              </w:rPr>
            </w:pPr>
            <w:r>
              <w:rPr>
                <w:noProof/>
              </w:rPr>
              <w:tab/>
              <w:t>b) elektrische en elektronische apparatuur die onder Richtlijn 2002/95/EG valt.</w:t>
            </w:r>
          </w:p>
          <w:p>
            <w:pPr>
              <w:pStyle w:val="NormalLeft"/>
              <w:rPr>
                <w:noProof/>
              </w:rPr>
            </w:pPr>
            <w:r>
              <w:rPr>
                <w:noProof/>
              </w:rPr>
              <w:t xml:space="preserve">3. Het gebruik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hexabroomdifenylether als bestanddeel die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gebruik waren vóór 25 augustus 2010 is toegestaan. Op zulke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artikel 4, lid 2, derde en vierde alinea, van toepassing.</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Heptabroomdifenylether</w:t>
            </w:r>
          </w:p>
          <w:p>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68928-80-3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273-031-2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In verband met deze vermelding is artikel 4, lid 1, onder b), van toepassing op concentraties heptabroomdifenylether van ten hoogste 10 mg/kg (0,001 massaprocent) wanneer de stof voorkomt in stoffen of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als bestanddeel van de brandvertraagde delen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NormalLeft"/>
              <w:rPr>
                <w:noProof/>
              </w:rPr>
            </w:pPr>
            <w:r>
              <w:rPr>
                <w:noProof/>
              </w:rPr>
              <w:t xml:space="preserve">2. In afwijking hiervan zijn de productie, het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en het gebruik van de volgende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toegestaan:</w:t>
            </w:r>
          </w:p>
          <w:p>
            <w:pPr>
              <w:pStyle w:val="Point0"/>
              <w:rPr>
                <w:noProof/>
              </w:rPr>
            </w:pPr>
            <w:r>
              <w:rPr>
                <w:noProof/>
              </w:rPr>
              <w:tab/>
              <w:t xml:space="preserve">a) onverminderd het bepaalde onder b),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lagere concentraties dan 0,1 massaprocent heptabroomdifenylether bevatten wanneer zij geheel of gedeeltelijk uit gerecycleerde materialen of materialen uit voor hergebruik opgewerkt afval zijn vervaardigd;</w:t>
            </w:r>
          </w:p>
          <w:p>
            <w:pPr>
              <w:pStyle w:val="Point0"/>
              <w:rPr>
                <w:noProof/>
              </w:rPr>
            </w:pPr>
            <w:r>
              <w:rPr>
                <w:noProof/>
              </w:rPr>
              <w:tab/>
              <w:t>b) elektrische en elektronische apparatuur die onder Richtlijn 2002/95/EG valt.</w:t>
            </w:r>
          </w:p>
          <w:p>
            <w:pPr>
              <w:pStyle w:val="NormalLeft"/>
              <w:rPr>
                <w:noProof/>
              </w:rPr>
            </w:pPr>
            <w:r>
              <w:rPr>
                <w:noProof/>
              </w:rPr>
              <w:t xml:space="preserve">3. Het gebruik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heptabroomdifenylether als bestanddeel die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gebruik waren vóór 25 augustus 2010 is toegestaan. Op zulke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artikel 4, lid 2, derde en vierde alinea, van toepassing.</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Perfluoroctaansulfonzuur en derivaten daarvan (PFOS)</w:t>
            </w:r>
          </w:p>
          <w:p>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pPr>
              <w:pStyle w:val="NormalLeft"/>
              <w:rPr>
                <w:noProof/>
              </w:rPr>
            </w:pPr>
            <w:r>
              <w:rPr>
                <w:noProof/>
              </w:rPr>
              <w:t>(X = OH, metaalzout (O-M</w:t>
            </w:r>
            <w:r>
              <w:rPr>
                <w:noProof/>
                <w:vertAlign w:val="superscript"/>
              </w:rPr>
              <w:t>+</w:t>
            </w:r>
            <w:r>
              <w:rPr>
                <w:noProof/>
              </w:rPr>
              <w:t>), halogenide, amide en andere derivaten inclusief polymeren)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1763-23-1 </w:t>
            </w:r>
          </w:p>
          <w:p>
            <w:pPr>
              <w:pStyle w:val="NormalLeft"/>
              <w:rPr>
                <w:noProof/>
              </w:rPr>
            </w:pPr>
            <w:r>
              <w:rPr>
                <w:noProof/>
              </w:rPr>
              <w:t xml:space="preserve">2795-39-3 </w:t>
            </w:r>
          </w:p>
          <w:p>
            <w:pPr>
              <w:pStyle w:val="NormalLeft"/>
              <w:rPr>
                <w:noProof/>
              </w:rPr>
            </w:pPr>
            <w:r>
              <w:rPr>
                <w:noProof/>
              </w:rPr>
              <w:t xml:space="preserve">29457-72-5 </w:t>
            </w:r>
          </w:p>
          <w:p>
            <w:pPr>
              <w:pStyle w:val="NormalLeft"/>
              <w:rPr>
                <w:noProof/>
              </w:rPr>
            </w:pPr>
            <w:r>
              <w:rPr>
                <w:noProof/>
              </w:rPr>
              <w:t xml:space="preserve">29081-56-9 </w:t>
            </w:r>
          </w:p>
          <w:p>
            <w:pPr>
              <w:pStyle w:val="NormalLeft"/>
              <w:rPr>
                <w:noProof/>
              </w:rPr>
            </w:pPr>
            <w:r>
              <w:rPr>
                <w:noProof/>
              </w:rPr>
              <w:t xml:space="preserve">70225-14-8 </w:t>
            </w:r>
          </w:p>
          <w:p>
            <w:pPr>
              <w:pStyle w:val="NormalLeft"/>
              <w:rPr>
                <w:noProof/>
              </w:rPr>
            </w:pPr>
            <w:r>
              <w:rPr>
                <w:noProof/>
              </w:rPr>
              <w:t xml:space="preserve">56773-42-3 </w:t>
            </w:r>
          </w:p>
          <w:p>
            <w:pPr>
              <w:pStyle w:val="NormalLeft"/>
              <w:rPr>
                <w:noProof/>
              </w:rPr>
            </w:pPr>
            <w:r>
              <w:rPr>
                <w:noProof/>
              </w:rPr>
              <w:t xml:space="preserve">251099-16-8 </w:t>
            </w:r>
          </w:p>
          <w:p>
            <w:pPr>
              <w:pStyle w:val="NormalLeft"/>
              <w:rPr>
                <w:noProof/>
              </w:rPr>
            </w:pPr>
            <w:r>
              <w:rPr>
                <w:noProof/>
              </w:rPr>
              <w:t xml:space="preserve">4151-50-2 </w:t>
            </w:r>
          </w:p>
          <w:p>
            <w:pPr>
              <w:pStyle w:val="NormalLeft"/>
              <w:rPr>
                <w:noProof/>
              </w:rPr>
            </w:pPr>
            <w:r>
              <w:rPr>
                <w:noProof/>
              </w:rPr>
              <w:t xml:space="preserve">31506-32-8 </w:t>
            </w:r>
          </w:p>
          <w:p>
            <w:pPr>
              <w:pStyle w:val="NormalLeft"/>
              <w:rPr>
                <w:noProof/>
              </w:rPr>
            </w:pPr>
            <w:r>
              <w:rPr>
                <w:noProof/>
              </w:rPr>
              <w:t xml:space="preserve">1691-99-2 </w:t>
            </w:r>
          </w:p>
          <w:p>
            <w:pPr>
              <w:pStyle w:val="NormalLeft"/>
              <w:rPr>
                <w:noProof/>
              </w:rPr>
            </w:pPr>
            <w:r>
              <w:rPr>
                <w:noProof/>
              </w:rPr>
              <w:t xml:space="preserve">24448-09-7 </w:t>
            </w:r>
          </w:p>
          <w:p>
            <w:pPr>
              <w:pStyle w:val="NormalLeft"/>
              <w:rPr>
                <w:noProof/>
              </w:rPr>
            </w:pPr>
            <w:r>
              <w:rPr>
                <w:noProof/>
              </w:rPr>
              <w:t>307-35-7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217-179-8</w:t>
            </w:r>
          </w:p>
          <w:p>
            <w:pPr>
              <w:pStyle w:val="NormalLeft"/>
              <w:rPr>
                <w:noProof/>
              </w:rPr>
            </w:pPr>
            <w:r>
              <w:rPr>
                <w:noProof/>
              </w:rPr>
              <w:t>220-527-1</w:t>
            </w:r>
          </w:p>
          <w:p>
            <w:pPr>
              <w:pStyle w:val="NormalLeft"/>
              <w:rPr>
                <w:noProof/>
              </w:rPr>
            </w:pPr>
            <w:r>
              <w:rPr>
                <w:noProof/>
              </w:rPr>
              <w:t>249-644-6</w:t>
            </w:r>
          </w:p>
          <w:p>
            <w:pPr>
              <w:pStyle w:val="NormalLeft"/>
              <w:rPr>
                <w:noProof/>
              </w:rPr>
            </w:pPr>
            <w:r>
              <w:rPr>
                <w:noProof/>
              </w:rPr>
              <w:t>249-415-0</w:t>
            </w:r>
          </w:p>
          <w:p>
            <w:pPr>
              <w:pStyle w:val="NormalLeft"/>
              <w:rPr>
                <w:noProof/>
              </w:rPr>
            </w:pPr>
            <w:r>
              <w:rPr>
                <w:noProof/>
              </w:rPr>
              <w:t>274-460-8</w:t>
            </w:r>
          </w:p>
          <w:p>
            <w:pPr>
              <w:pStyle w:val="NormalLeft"/>
              <w:rPr>
                <w:noProof/>
              </w:rPr>
            </w:pPr>
            <w:r>
              <w:rPr>
                <w:noProof/>
              </w:rPr>
              <w:t>260-375-3</w:t>
            </w:r>
          </w:p>
          <w:p>
            <w:pPr>
              <w:pStyle w:val="NormalLeft"/>
              <w:rPr>
                <w:noProof/>
              </w:rPr>
            </w:pPr>
          </w:p>
          <w:p>
            <w:pPr>
              <w:pStyle w:val="NormalLeft"/>
              <w:rPr>
                <w:rStyle w:val="orderablesearchcontainer"/>
                <w:noProof/>
              </w:rPr>
            </w:pPr>
            <w:r>
              <w:rPr>
                <w:rStyle w:val="orderablesearchcontainer"/>
                <w:noProof/>
              </w:rPr>
              <w:t>223-980-3</w:t>
            </w:r>
          </w:p>
          <w:p>
            <w:pPr>
              <w:pStyle w:val="NormalLeft"/>
              <w:rPr>
                <w:rStyle w:val="orderablesearchcontainer"/>
                <w:noProof/>
              </w:rPr>
            </w:pPr>
            <w:r>
              <w:rPr>
                <w:rStyle w:val="orderablesearchcontainer"/>
                <w:noProof/>
              </w:rPr>
              <w:t>250-665-8</w:t>
            </w:r>
          </w:p>
          <w:p>
            <w:pPr>
              <w:pStyle w:val="NormalLeft"/>
              <w:rPr>
                <w:rStyle w:val="orderablesearchcontainer"/>
                <w:noProof/>
              </w:rPr>
            </w:pPr>
            <w:r>
              <w:rPr>
                <w:rStyle w:val="orderablesearchcontainer"/>
                <w:noProof/>
              </w:rPr>
              <w:t>216-887-4</w:t>
            </w:r>
          </w:p>
          <w:p>
            <w:pPr>
              <w:pStyle w:val="NormalLeft"/>
              <w:rPr>
                <w:rStyle w:val="orderablesearchcontainer"/>
                <w:noProof/>
              </w:rPr>
            </w:pPr>
            <w:r>
              <w:rPr>
                <w:rStyle w:val="orderablesearchcontainer"/>
                <w:noProof/>
              </w:rPr>
              <w:t>246-262-1</w:t>
            </w:r>
          </w:p>
          <w:p>
            <w:pPr>
              <w:pStyle w:val="NormalLeft"/>
              <w:rPr>
                <w:noProof/>
              </w:rPr>
            </w:pPr>
            <w:r>
              <w:rPr>
                <w:rStyle w:val="orderablesearchcontainer"/>
                <w:noProof/>
              </w:rPr>
              <w:t>206-200-6 en andere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In verband met deze vermelding is artikel 4, lid 1, onder b), van toepassing op concentraties PFOS van ten hoogste 10 mg/kg (0,001 massaprocent) wanneer de stof voorkomt in stoffen of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NormalLeft"/>
              <w:rPr>
                <w:noProof/>
              </w:rPr>
            </w:pPr>
            <w:r>
              <w:rPr>
                <w:noProof/>
              </w:rPr>
              <w:t xml:space="preserve">2. In verband met deze vermelding is artikel 4, lid 1, onder b), van toepassing op concentraties PFOS in halffabricaten of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of delen daarvan, indien de PFOS-concentratie lager is dan 0,1 massaprocent, berekend naar de massa van structureel of microstructureel afzonderlijke delen die PFOS bevatten, of voor textiel of andere gecoate materialen indien de hoeveelheid PFOS lager is dan 1 μg/m</w:t>
            </w:r>
            <w:r>
              <w:rPr>
                <w:noProof/>
                <w:vertAlign w:val="superscript"/>
              </w:rPr>
              <w:t>2</w:t>
            </w:r>
            <w:r>
              <w:rPr>
                <w:noProof/>
              </w:rPr>
              <w:t xml:space="preserve"> van het gecoate materiaal.</w:t>
            </w:r>
          </w:p>
          <w:p>
            <w:pPr>
              <w:pStyle w:val="NormalLeft"/>
              <w:rPr>
                <w:noProof/>
              </w:rPr>
            </w:pPr>
            <w:r>
              <w:rPr>
                <w:noProof/>
              </w:rPr>
              <w:t xml:space="preserve">3. Het gebruik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PFOS als bestanddeel die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gebruik waren vóór 25 augustus 2010 is toegestaan. Op zulke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artikel 4, lid 2, derde en vierde alinea, van toepassing.</w:t>
            </w:r>
          </w:p>
          <w:p>
            <w:pPr>
              <w:pStyle w:val="NormalLeft"/>
              <w:rPr>
                <w:noProof/>
              </w:rPr>
            </w:pPr>
            <w:r>
              <w:rPr>
                <w:noProof/>
              </w:rPr>
              <w:t xml:space="preserve">4. Blusschuim dat vóór 27 december 2006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gebracht, mag worden gebruikt tot en met 27 juni 2011.</w:t>
            </w:r>
          </w:p>
          <w:p>
            <w:pPr>
              <w:pStyle w:val="NormalLeft"/>
              <w:rPr>
                <w:noProof/>
              </w:rPr>
            </w:pPr>
            <w:r>
              <w:rPr>
                <w:noProof/>
              </w:rPr>
              <w:t xml:space="preserve">5. Als de in het milieu vrijkomende hoeveelheid tot een minimum wordt beperkt, worden de </w:t>
            </w:r>
            <w:r>
              <w:rPr>
                <w:rStyle w:val="CRRefonteDeleted"/>
                <w:noProof/>
                <w:highlight w:val="lightGray"/>
              </w:rPr>
              <w:t>productie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vervaardiging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het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voor de volgende specifieke toepassingen toegestaan, op voorwaarde dat de lidstaten om de vier jaar bij de Commissie verslag uitbrengen over de vorderingen bij de eliminatie van PFOS:</w:t>
            </w:r>
          </w:p>
          <w:p>
            <w:pPr>
              <w:pStyle w:val="Point0"/>
              <w:rPr>
                <w:noProof/>
              </w:rPr>
            </w:pPr>
            <w:r>
              <w:rPr>
                <w:noProof/>
              </w:rPr>
              <w:tab/>
              <w:t>a) tot 26 augustus 2015: bevochtigingsmiddelen voor gebruik bij gecontroleerde galvanisatie;</w:t>
            </w:r>
          </w:p>
          <w:p>
            <w:pPr>
              <w:pStyle w:val="Point0"/>
              <w:rPr>
                <w:noProof/>
              </w:rPr>
            </w:pPr>
            <w:r>
              <w:rPr>
                <w:noProof/>
              </w:rPr>
              <w:tab/>
              <w:t>b) lichtgevoelige of antireflecterende coatings voor fotolithografische procedés;</w:t>
            </w:r>
          </w:p>
          <w:p>
            <w:pPr>
              <w:pStyle w:val="Point0"/>
              <w:rPr>
                <w:noProof/>
              </w:rPr>
            </w:pPr>
            <w:r>
              <w:rPr>
                <w:noProof/>
              </w:rPr>
              <w:tab/>
              <w:t>c) fotografische coatings voor films, papier of drukplaten;</w:t>
            </w:r>
          </w:p>
          <w:p>
            <w:pPr>
              <w:pStyle w:val="Point0"/>
              <w:rPr>
                <w:noProof/>
              </w:rPr>
            </w:pPr>
            <w:r>
              <w:rPr>
                <w:noProof/>
              </w:rPr>
              <w:tab/>
              <w:t>d) nevelonderdrukkers voor niet-decoratieve hardverchroming met chroom (VI) in systemen met een gesloten cyclus;</w:t>
            </w:r>
          </w:p>
          <w:p>
            <w:pPr>
              <w:pStyle w:val="Point0"/>
              <w:rPr>
                <w:noProof/>
              </w:rPr>
            </w:pPr>
            <w:r>
              <w:rPr>
                <w:noProof/>
              </w:rPr>
              <w:tab/>
              <w:t>e) hydraulische vloeistoffen voor de luchtvaart.</w:t>
            </w:r>
          </w:p>
          <w:p>
            <w:pPr>
              <w:pStyle w:val="NormalLeft"/>
              <w:rPr>
                <w:noProof/>
              </w:rPr>
            </w:pPr>
            <w:r>
              <w:rPr>
                <w:noProof/>
              </w:rPr>
              <w:t xml:space="preserve">Wanneer de onder a) tot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genoemde uitzonderingen betrekking hebben op de productie of het gebruik in een installatie die valt binnen de werkingssfeer van Richtlijn 2008/1/EG van het Europees Parlement en de Raad</w:t>
            </w:r>
            <w:r>
              <w:rPr>
                <w:rStyle w:val="FootnoteReference"/>
                <w:noProof/>
              </w:rPr>
              <w:footnoteReference w:id="2"/>
            </w:r>
            <w:r>
              <w:rPr>
                <w:noProof/>
              </w:rPr>
              <w:t>, zijn de relevante beste beschikbare technieken voor de preventie en minimalisering van de uitstoot van PFOS van toepassing, die worden beschreven in de door de Commissie krachtens artikel 17, lid 2, tweede alinea, van Richtlijn 2008/1/EG gepubliceerde informatie.</w:t>
            </w:r>
          </w:p>
          <w:p>
            <w:pPr>
              <w:pStyle w:val="NormalLeft"/>
              <w:rPr>
                <w:noProof/>
              </w:rPr>
            </w:pPr>
            <w:r>
              <w:rPr>
                <w:noProof/>
              </w:rPr>
              <w:t xml:space="preserve">Zodra nieuwe informatie beschikbaar komt met nadere bijzonderheden over het gebruik en veiliger alternatieve stoffen of technologieën voor de onder de punten b) tot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genoemde toepassingen, herziet de Commissie de in de tweede alinea genoemde uitzonderingen, zodat:</w:t>
            </w:r>
          </w:p>
          <w:p>
            <w:pPr>
              <w:pStyle w:val="NormalLeft"/>
              <w:rPr>
                <w:noProof/>
              </w:rPr>
            </w:pPr>
          </w:p>
          <w:p>
            <w:pPr>
              <w:pStyle w:val="Point0"/>
              <w:rPr>
                <w:noProof/>
              </w:rPr>
            </w:pPr>
            <w:r>
              <w:rPr>
                <w:noProof/>
              </w:rPr>
              <w:tab/>
              <w:t>i) het gebruik van PFOS geleidelijk wordt uitgebannen zodra het gebruik van veiliger alternatieven technisch en economisch haalbaar is,</w:t>
            </w:r>
          </w:p>
          <w:p>
            <w:pPr>
              <w:pStyle w:val="Point0"/>
              <w:rPr>
                <w:noProof/>
              </w:rPr>
            </w:pPr>
            <w:r>
              <w:rPr>
                <w:noProof/>
              </w:rPr>
              <w:tab/>
              <w:t>ii) een uitzondering alleen nog kan blijven gelden voor essentiële toepassingen waarvoor geen veiliger alternatieven bestaan, op voorwaarde dat verslag is uitgebracht over de inspanningen die zijn gedaan om veiliger alternatieven te vinden,</w:t>
            </w:r>
          </w:p>
          <w:p>
            <w:pPr>
              <w:pStyle w:val="Point0"/>
              <w:rPr>
                <w:noProof/>
              </w:rPr>
            </w:pPr>
            <w:r>
              <w:rPr>
                <w:noProof/>
              </w:rPr>
              <w:tab/>
              <w:t>iii) de vrijkoming van PFOS in het milieu door toepassing van de beste beschikbare technieken tot een minimum is beperkt.</w:t>
            </w:r>
          </w:p>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w:t>
            </w:r>
          </w:p>
          <w:p>
            <w:pPr>
              <w:pStyle w:val="NormalLeft"/>
              <w:rPr>
                <w:noProof/>
              </w:rPr>
            </w:pPr>
            <w:r>
              <w:rPr>
                <w:noProof/>
              </w:rPr>
              <w:t xml:space="preserve">6. Zodra door het Europees Comité voor Normalisatie (CEN) normen worden vastgesteld, worden deze als analysemethoden gebruikt om aan te tonen dat stoffen,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 de punten 1 en 2 voldoen. Als alternatief voor de CEN-normen kunnen ook andere analysemethoden worden gebruikt indien de gebruiker kan bewijzen dat deze gelijkwaardig zijn.</w:t>
            </w:r>
          </w:p>
          <w:p>
            <w:pPr>
              <w:pStyle w:val="NormalLeft"/>
              <w:rPr>
                <w:noProof/>
              </w:rPr>
            </w:pP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DDT (1,1,1-trichloor-2,2-bis(4-chloorfenyl)ethaan)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50-29-3</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200-024-3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Chloordaan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57-74-9</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200-349-0</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Hexachloorcyclohexanen, inclusief lindaan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58-89-9</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200-401-2</w:t>
            </w:r>
          </w:p>
        </w:tc>
        <w:tc>
          <w:tcPr>
            <w:tcW w:w="2414"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319-84-6</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206-270-8</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319-85-7</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206-271-3</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608-73-1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210-168-9</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Dieldrin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60-57-1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200-484-5</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Endrin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72-20-8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200-775-7</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Heptachloor</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76-44-8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200-962-3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Endosulfan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115-29-7</w:t>
            </w:r>
          </w:p>
          <w:p>
            <w:pPr>
              <w:pStyle w:val="NormalLeft"/>
              <w:rPr>
                <w:noProof/>
              </w:rPr>
            </w:pPr>
            <w:r>
              <w:rPr>
                <w:noProof/>
              </w:rPr>
              <w:t>959-98-8</w:t>
            </w:r>
          </w:p>
          <w:p>
            <w:pPr>
              <w:pStyle w:val="NormalLeft"/>
              <w:rPr>
                <w:noProof/>
              </w:rPr>
            </w:pPr>
            <w:r>
              <w:rPr>
                <w:noProof/>
              </w:rPr>
              <w:t>33213-65-9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204-079-4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xml:space="preserve"> 1.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endosulfan als bestanddeel die vóór of op 10 juli 2012 geproduceerd zijn, mogen tot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10 januari 2013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gebracht en gebruikt worden.</w:t>
            </w:r>
          </w:p>
          <w:p>
            <w:pPr>
              <w:pStyle w:val="NormalLeft"/>
              <w:rPr>
                <w:noProof/>
              </w:rPr>
            </w:pPr>
            <w:r>
              <w:rPr>
                <w:noProof/>
              </w:rPr>
              <w:t xml:space="preserve">2.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endosulfan als bestanddeel die vóór of op 10 juli 2012 al in gebruik waren, mogen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gebracht en gebruikt worden.</w:t>
            </w:r>
          </w:p>
          <w:p>
            <w:pPr>
              <w:pStyle w:val="NormalLeft"/>
              <w:rPr>
                <w:noProof/>
              </w:rPr>
            </w:pPr>
            <w:r>
              <w:rPr>
                <w:noProof/>
              </w:rPr>
              <w:t xml:space="preserve">3. Artikel 4, lid 2, derde en vierde alinea, is van toepassing op de in de leden 1 en 2 bedoelde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Hexachloorbenzeen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118-74-1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200-273-9</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Chloordecon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143-50-0</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205-601-3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Aldrin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309-00-2</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206-215-8</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Pentachloorbenzeen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608-93-5</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210-172-5</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Polychloorbifenylen (pcb's)</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1336-36-3 en andere</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215-648-1 en andere</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Onverminderd Richtlijn 96/59/EG mogen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ten tijde van de inwerkingtreding van deze verordening al in gebruik zijn, worden gebruikt.</w:t>
            </w:r>
          </w:p>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lidstaten moeten apparatuur (bv. transformatoren, condensatoren of andere apparatuur die vloeistoffen bevatten) die meer dan 0,005 % pcb's en een volume van meer dan 0,05 dm</w:t>
            </w:r>
            <w:r>
              <w:rPr>
                <w:noProof/>
                <w:highlight w:val="lightGray"/>
                <w:vertAlign w:val="superscript"/>
              </w:rPr>
              <w:t>3</w:t>
            </w:r>
            <w:r>
              <w:rPr>
                <w:noProof/>
                <w:highlight w:val="lightGray"/>
              </w:rPr>
              <w:t xml:space="preserve"> bevat zo spoedig mogelijk maar uiterlijk op 31 december 2025 identificeren en uit gebruik nemen.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Mirex</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2385-85-5</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219-196-6</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Toxafeen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8001-35-2</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232-283-3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Hexabroombifenyl</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36355-01-8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252-994-2</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Hexabroomcyclododecaan</w:t>
            </w:r>
          </w:p>
          <w:p>
            <w:pPr>
              <w:pStyle w:val="NormalLeft"/>
              <w:rPr>
                <w:noProof/>
              </w:rPr>
            </w:pPr>
            <w:r>
              <w:rPr>
                <w:noProof/>
              </w:rPr>
              <w:t>"Hexabroomcyclododecaan" omvat: hexabroomcyclododecaan, 1,2,5,6,9,10-hexabroomcyclododecaan en zijn voornaamste diastereo-isomeren: α-hexabroomcyclododecaan; ß-hexabroomcyclododecaan; en γ-hexabroomcyclododecaan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25637-99-4,</w:t>
            </w:r>
          </w:p>
          <w:p>
            <w:pPr>
              <w:pStyle w:val="NormalLeft"/>
              <w:rPr>
                <w:noProof/>
              </w:rPr>
            </w:pPr>
            <w:r>
              <w:rPr>
                <w:noProof/>
              </w:rPr>
              <w:t>3194-55-6,</w:t>
            </w:r>
          </w:p>
          <w:p>
            <w:pPr>
              <w:pStyle w:val="NormalLeft"/>
              <w:rPr>
                <w:noProof/>
              </w:rPr>
            </w:pPr>
            <w:r>
              <w:rPr>
                <w:noProof/>
              </w:rPr>
              <w:t>134237-50-6,</w:t>
            </w:r>
          </w:p>
          <w:p>
            <w:pPr>
              <w:pStyle w:val="NormalLeft"/>
              <w:rPr>
                <w:noProof/>
              </w:rPr>
            </w:pPr>
            <w:r>
              <w:rPr>
                <w:noProof/>
              </w:rPr>
              <w:t>134237-51-7,</w:t>
            </w:r>
          </w:p>
          <w:p>
            <w:pPr>
              <w:pStyle w:val="NormalLeft"/>
              <w:rPr>
                <w:noProof/>
              </w:rPr>
            </w:pPr>
            <w:r>
              <w:rPr>
                <w:noProof/>
              </w:rPr>
              <w:t>134237-52-8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247-148-4,</w:t>
            </w:r>
          </w:p>
          <w:p>
            <w:pPr>
              <w:pStyle w:val="NormalLeft"/>
              <w:rPr>
                <w:noProof/>
              </w:rPr>
            </w:pPr>
            <w:r>
              <w:rPr>
                <w:noProof/>
              </w:rPr>
              <w:t>221-695-9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ab/>
              <w:t xml:space="preserve">1. Voor de toepassing van deze vermelding is — onder voorbehoud van een herziening door de Commissie vóór 22 maart 2019 — artikel 4, lid 1, onder b), van toepassing op concentraties hexabroomcyclododecaan van ten hoogste 100 mg/kg (0,01 massaprocent) wanneer de stof voorkomt in stoffen,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of als bestanddeel van de brandvertraagde delen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rPr>
                <w:noProof/>
              </w:rPr>
            </w:pPr>
            <w:r>
              <w:rPr>
                <w:noProof/>
              </w:rPr>
              <w:tab/>
              <w:t xml:space="preserve">2. Het gebruik van hexabroomcyclododecaan, als zodanig of in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bij de productie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geëxpandeerd polystyreen, alsook de </w:t>
            </w:r>
            <w:r>
              <w:rPr>
                <w:rStyle w:val="CRRefonteDeleted"/>
                <w:noProof/>
                <w:highlight w:val="lightGray"/>
              </w:rPr>
              <w:t>productie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vervaardiging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het in de handel brengen van hexabroomcyclododecaan voor een dergelijk gebruik zijn toegestaan, mits voor dit gebruik autorisatie is verleend overeenkomstig titel VII van Verordening (EG) nr. 1907/2006 van het Europees Parlement en de Raad</w:t>
            </w:r>
            <w:r>
              <w:rPr>
                <w:rStyle w:val="FootnoteReference"/>
                <w:noProof/>
              </w:rPr>
              <w:footnoteReference w:id="3"/>
            </w:r>
            <w:r>
              <w:rPr>
                <w:noProof/>
              </w:rPr>
              <w:t>, of indien er uiterlijk op 21 februari 2014 een autorisatieaanvraag voor is ingediend waarover nog geen besluit is genomen.</w:t>
            </w:r>
          </w:p>
          <w:p>
            <w:pPr>
              <w:pStyle w:val="Point0"/>
              <w:rPr>
                <w:noProof/>
              </w:rPr>
            </w:pPr>
            <w:r>
              <w:rPr>
                <w:noProof/>
              </w:rPr>
              <w:tab/>
              <w:t xml:space="preserve">Het in de handel brengen en het gebruik van hexabroomcyclododecaan, als zodanig of in </w:t>
            </w:r>
            <w:r>
              <w:rPr>
                <w:rStyle w:val="CRDeleted"/>
                <w:noProof/>
              </w:rPr>
              <w:t>preparaten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mengsels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overeenkomstig dit punt</w:t>
            </w:r>
            <w:r>
              <w:rPr>
                <w:rStyle w:val="CRMinorChangeAdded"/>
                <w:noProof/>
              </w:rPr>
              <w:t>,</w:t>
            </w:r>
            <w:r>
              <w:rPr>
                <w:noProof/>
              </w:rPr>
              <w:t xml:space="preserve"> zijn slechts toegestaan tot en met 26 november 2019 of, indien dat eerder is, de datum waarop de herbeoordelingstermijn die is vastgesteld in een autorisatiebesluit verstrijkt of de datum van intrekking van die autorisatie overeenkomstig titel VII van Verordening (EG) nr. 1907/2006.</w:t>
            </w:r>
          </w:p>
          <w:p>
            <w:pPr>
              <w:pStyle w:val="Point0"/>
              <w:rPr>
                <w:noProof/>
              </w:rPr>
            </w:pPr>
            <w:r>
              <w:rPr>
                <w:noProof/>
              </w:rPr>
              <w:tab/>
              <w:t xml:space="preserve">Het in de handel brengen en het gebruik in gebouwen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geëxpandeerd polystyreen met hexabroomcyclododecaan als bestanddeel die overeenkomstig de vrijstelling in dit punt zijn geproduceerd, zijn tot zes maanden na de datum van verstrijken van deze vrijstelling toegelaten. Als dergelijke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 in gebruik waren vóór deze datum, mogen zij verder worden gebruikt.</w:t>
            </w:r>
          </w:p>
          <w:p>
            <w:pPr>
              <w:pStyle w:val="Point0"/>
              <w:rPr>
                <w:noProof/>
              </w:rPr>
            </w:pPr>
            <w:r>
              <w:rPr>
                <w:noProof/>
              </w:rPr>
              <w:tab/>
              <w:t xml:space="preserve">3. Onverminderd de vrijstelling van punt 2 is het in de handel brengen en het gebruik in gebouwen van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geëxpandeerd polystyreen en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geëxtrudeerd polystyreen met hexabroomcyclododecaan als bestanddeel die geproduceerd zijn vóór of op 22 maart 2016, toegestaan tot en met 22 juni 2016. Als deze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overeenstemming met de vrijstelling van punt 2 zijn geproduceerd, is punt 6 van toepassing.</w:t>
            </w:r>
          </w:p>
          <w:p>
            <w:pPr>
              <w:pStyle w:val="Point0"/>
              <w:rPr>
                <w:noProof/>
              </w:rPr>
            </w:pPr>
            <w:r>
              <w:rPr>
                <w:noProof/>
              </w:rPr>
              <w:tab/>
              <w:t xml:space="preserve">4.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hexabroomcyclododecaan als bestanddeel die al in gebruik zijn vóór of op 22 maart 2016, mogen gebruikt worden en verder in de handel worden gebracht zonder dat punt 6 van toepassing is. Op dergelijke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artikel 4, lid 2, derde en vierde alinea, van toepassing.</w:t>
            </w:r>
          </w:p>
          <w:p>
            <w:pPr>
              <w:pStyle w:val="Point0"/>
              <w:rPr>
                <w:noProof/>
              </w:rPr>
            </w:pPr>
            <w:r>
              <w:rPr>
                <w:noProof/>
              </w:rPr>
              <w:tab/>
              <w:t xml:space="preserve">5. Het in de handel brengen en het gebruik in gebouwen van ingevoerde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geëxpandeerd polystyreen en geëxtrudeerd polystyreen met hexabroomcyclododecaan als bestanddeel is toegestaan tot en met de datum van het verstrijken van de vrijstelling in de punten 2 en 6, als waren dergelijke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geproduceerd krachtens de vrijstelling van punt 2. Als dergelijke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 in gebruik waren vóór deze datum, mogen zij verder worden gebruikt.</w:t>
            </w:r>
          </w:p>
          <w:p>
            <w:pPr>
              <w:pStyle w:val="Point0"/>
              <w:rPr>
                <w:noProof/>
              </w:rPr>
            </w:pPr>
            <w:r>
              <w:rPr>
                <w:noProof/>
              </w:rPr>
              <w:tab/>
              <w:t>6. Onverminderd de toepassing van andere EU-bepalingen inzake de indeling, verpakking en etikettering van stoffen en mengsels, moet geëxpandeerd polystyreen waarin hexabroomcyclododecaan is gebruikt op grond van de vrijstelling van punt 2 door middel van etikettering of andere middelen gedurende de gehele levenscyclus identificeerbaar zijn.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Hexachloorbutadieen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87-68-3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201-765-5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 Voorwerpen met hexachloorbutadieen als bestanddeel die vóór of op 10 juli 2012 zijn geproduceerd, mogen tot en met 10 januari 2013 in de handel gebracht en gebruikt worden.</w:t>
            </w:r>
          </w:p>
          <w:p>
            <w:pPr>
              <w:pStyle w:val="NormalLeft"/>
              <w:rPr>
                <w:noProof/>
                <w:highlight w:val="lightGray"/>
              </w:rPr>
            </w:pPr>
            <w:r>
              <w:rPr>
                <w:noProof/>
                <w:highlight w:val="lightGray"/>
              </w:rPr>
              <w:t>2. Voorwerpen met hexachloorbutadieen als bestanddeel die vóór of op 10 juli 2012 al in gebruik waren, mogen in de handel gebracht en gebruikt worden.</w:t>
            </w:r>
          </w:p>
          <w:p>
            <w:pPr>
              <w:pStyle w:val="Point0"/>
              <w:ind w:left="0" w:firstLine="0"/>
              <w:rPr>
                <w:noProof/>
              </w:rPr>
            </w:pPr>
            <w:r>
              <w:rPr>
                <w:noProof/>
                <w:highlight w:val="lightGray"/>
              </w:rPr>
              <w:t>3. Artikel 4, lid 2, derde en vierde alinea, is van toepassing op de in de leden 1 en 2 bedoelde voorwerpen.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Pentachloorfenol en de zouten en esters daarvan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87-86-5 en andere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201-778-6 en andere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Point0"/>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Polychloornaftalenen</w:t>
            </w:r>
            <w:r>
              <w:rPr>
                <w:rStyle w:val="FootnoteReference"/>
                <w:noProof/>
                <w:highlight w:val="lightGray"/>
              </w:rPr>
              <w:footnoteReference w:id="4"/>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70776-03-3 en andere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274-864-4 en andere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 Voorwerpen met polychloornaftalenen als bestanddeel die vóór of op 10 juli 2012 zijn geproduceerd, mogen tot en met 10 januari 2013 in de handel gebracht en gebruikt worden.</w:t>
            </w:r>
          </w:p>
          <w:p>
            <w:pPr>
              <w:pStyle w:val="NormalLeft"/>
              <w:rPr>
                <w:noProof/>
                <w:highlight w:val="lightGray"/>
              </w:rPr>
            </w:pPr>
            <w:r>
              <w:rPr>
                <w:noProof/>
                <w:highlight w:val="lightGray"/>
              </w:rPr>
              <w:t>2. Voorwerpen met polychloornaftalenen als bestanddeel die vóór of op 10 juli 2012 al in gebruik waren, mogen in de handel gebracht en gebruikt worden.</w:t>
            </w:r>
          </w:p>
          <w:p>
            <w:pPr>
              <w:pStyle w:val="Point0"/>
              <w:ind w:left="0" w:firstLine="0"/>
              <w:rPr>
                <w:noProof/>
              </w:rPr>
            </w:pPr>
            <w:r>
              <w:rPr>
                <w:noProof/>
                <w:highlight w:val="lightGray"/>
              </w:rPr>
              <w:t>3. Artikel 4, lid 2, derde en vierde alinea, is van toepassing op de in de leden 1 en 2 voorwerpen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bl>
    <w:p>
      <w:pPr>
        <w:rPr>
          <w:noProof/>
        </w:rPr>
      </w:pPr>
    </w:p>
    <w:p>
      <w:pPr>
        <w:jc w:val="center"/>
        <w:rPr>
          <w:noProof/>
        </w:rPr>
      </w:pPr>
      <w:r>
        <w:rPr>
          <w:b/>
          <w:noProof/>
        </w:rPr>
        <w:t>Deel B — Stoffen die uitsluitend in het protocol zijn opgenomen</w:t>
      </w:r>
    </w:p>
    <w:tbl>
      <w:tblPr>
        <w:tblW w:w="0" w:type="auto"/>
        <w:tblLayout w:type="fixed"/>
        <w:tblLook w:val="0000" w:firstRow="0" w:lastRow="0" w:firstColumn="0" w:lastColumn="0" w:noHBand="0" w:noVBand="0"/>
      </w:tblPr>
      <w:tblGrid>
        <w:gridCol w:w="2600"/>
        <w:gridCol w:w="1393"/>
        <w:gridCol w:w="1300"/>
        <w:gridCol w:w="3993"/>
      </w:tblGrid>
      <w:tr>
        <w:tc>
          <w:tcPr>
            <w:tcW w:w="26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Stof</w:t>
            </w:r>
          </w:p>
        </w:tc>
        <w:tc>
          <w:tcPr>
            <w:tcW w:w="139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CAS-nr.</w:t>
            </w:r>
          </w:p>
        </w:tc>
        <w:tc>
          <w:tcPr>
            <w:tcW w:w="13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EG-nr.</w:t>
            </w:r>
          </w:p>
        </w:tc>
        <w:tc>
          <w:tcPr>
            <w:tcW w:w="399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Specifieke vrijstelling voor gebruik als tussenproduct of andere specificatie</w:t>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Hexachloorbutadieen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87-68-3</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201-765-5</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3993" w:type="dxa"/>
            <w:tcBorders>
              <w:top w:val="single" w:sz="2" w:space="0" w:color="auto"/>
              <w:left w:val="single" w:sz="2" w:space="0" w:color="auto"/>
              <w:bottom w:val="single" w:sz="2" w:space="0" w:color="auto"/>
              <w:right w:val="single" w:sz="2" w:space="0" w:color="auto"/>
            </w:tcBorders>
          </w:tcPr>
          <w:p>
            <w:pPr>
              <w:pStyle w:val="NormalLeft"/>
              <w:rPr>
                <w:rStyle w:val="CRRefonteDeleted"/>
                <w:noProof/>
                <w:highlight w:val="lightGray"/>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1. Artikelen met hexachlorobutadieen als bestanddeel die vóór of op 10 juli 2012 geproduceerd zijn, mogen tot 10 januari 2013 op de markt gebracht en gebruikt worden.</w:t>
            </w:r>
          </w:p>
          <w:p>
            <w:pPr>
              <w:pStyle w:val="NormalLeft"/>
              <w:rPr>
                <w:rStyle w:val="CRRefonteDeleted"/>
                <w:noProof/>
                <w:highlight w:val="lightGray"/>
              </w:rPr>
            </w:pPr>
            <w:r>
              <w:rPr>
                <w:rStyle w:val="CRRefonteDeleted"/>
                <w:noProof/>
                <w:highlight w:val="lightGray"/>
              </w:rPr>
              <w:t>2. Artikelen met hexachlorobutadieen als bestanddeel die vóór of op 10 juli 2012 al in gebruik waren, mogen op de markt gebracht en gebruikt worden.</w:t>
            </w:r>
          </w:p>
          <w:p>
            <w:pPr>
              <w:pStyle w:val="NormalLeft"/>
              <w:rPr>
                <w:noProof/>
              </w:rPr>
            </w:pPr>
            <w:r>
              <w:rPr>
                <w:rStyle w:val="CRRefonteDeleted"/>
                <w:noProof/>
                <w:highlight w:val="lightGray"/>
              </w:rPr>
              <w:t>3. Artikel 4, lid 2, derde en vierde alinea, is van toepassing op de in de leden 1 en 2 bedoelde artikelen.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Polychloornaftaleen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993" w:type="dxa"/>
            <w:tcBorders>
              <w:top w:val="single" w:sz="2" w:space="0" w:color="auto"/>
              <w:left w:val="single" w:sz="2" w:space="0" w:color="auto"/>
              <w:bottom w:val="single" w:sz="2" w:space="0" w:color="auto"/>
              <w:right w:val="single" w:sz="2" w:space="0" w:color="auto"/>
            </w:tcBorders>
          </w:tcPr>
          <w:p>
            <w:pPr>
              <w:pStyle w:val="NormalLeft"/>
              <w:rPr>
                <w:rStyle w:val="CRRefonteDeleted"/>
                <w:noProof/>
                <w:highlight w:val="lightGray"/>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1. Artikelen met polychloornaftaleen als bestanddeel die vóór of op 10 juli 2012 geproduceerd zijn, mogen tot 10 januari 2013 op de markt gebracht en gebruikt worden.</w:t>
            </w:r>
          </w:p>
          <w:p>
            <w:pPr>
              <w:pStyle w:val="NormalLeft"/>
              <w:rPr>
                <w:rStyle w:val="CRRefonteDeleted"/>
                <w:noProof/>
                <w:highlight w:val="lightGray"/>
              </w:rPr>
            </w:pPr>
            <w:r>
              <w:rPr>
                <w:rStyle w:val="CRRefonteDeleted"/>
                <w:noProof/>
                <w:highlight w:val="lightGray"/>
              </w:rPr>
              <w:t>2. Artikelen met polychloornaftaleen als bestanddeel die vóór of op 10 juli 2012 al in gebruik waren, mogen op de markt gebracht en gebruikt worden.</w:t>
            </w:r>
          </w:p>
          <w:p>
            <w:pPr>
              <w:pStyle w:val="NormalLeft"/>
              <w:rPr>
                <w:noProof/>
              </w:rPr>
            </w:pPr>
            <w:r>
              <w:rPr>
                <w:rStyle w:val="CRRefonteDeleted"/>
                <w:noProof/>
                <w:highlight w:val="lightGray"/>
              </w:rPr>
              <w:t>3. Artikel 4, lid 2, derde en vierde alinea, is van toepassing op de in de leden 1 en 2 bedoelde artikelen.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Alkanen, C</w:t>
            </w:r>
            <w:r>
              <w:rPr>
                <w:noProof/>
                <w:vertAlign w:val="subscript"/>
              </w:rPr>
              <w:t>10</w:t>
            </w:r>
            <w:r>
              <w:rPr>
                <w:noProof/>
              </w:rPr>
              <w:t>-C</w:t>
            </w:r>
            <w:r>
              <w:rPr>
                <w:noProof/>
                <w:vertAlign w:val="subscript"/>
              </w:rPr>
              <w:t>13</w:t>
            </w:r>
            <w:r>
              <w:rPr>
                <w:noProof/>
              </w:rPr>
              <w:t>, chloor (gechloreerde paraffinen met een korte keten) (SCCP's)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85535-84-8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287-476-5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3993" w:type="dxa"/>
            <w:tcBorders>
              <w:top w:val="single" w:sz="2" w:space="0" w:color="auto"/>
              <w:left w:val="single" w:sz="2" w:space="0" w:color="auto"/>
              <w:bottom w:val="single" w:sz="2" w:space="0" w:color="auto"/>
              <w:right w:val="single" w:sz="2" w:space="0" w:color="auto"/>
            </w:tcBorders>
          </w:tcPr>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ab/>
              <w:t xml:space="preserve">1. In afwijking hiervan zijn de productie, het </w:t>
            </w:r>
            <w:r>
              <w:rPr>
                <w:rStyle w:val="CRDeleted"/>
                <w:noProof/>
              </w:rPr>
              <w:t>op de markt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 handel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en het gebruik van stoffen of bereidingen met SCCP's als bestanddeel in concentraties van minder dan 1 gewichtspercent of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concentraties van minder dan 0,15 gewichtspercent toegestaan.</w:t>
            </w:r>
          </w:p>
          <w:p>
            <w:pPr>
              <w:pStyle w:val="Point0"/>
              <w:rPr>
                <w:noProof/>
              </w:rPr>
            </w:pPr>
            <w:r>
              <w:rPr>
                <w:noProof/>
              </w:rPr>
              <w:tab/>
              <w:t>2. Het gebruik van:</w:t>
            </w:r>
          </w:p>
          <w:p>
            <w:pPr>
              <w:pStyle w:val="Point1"/>
              <w:rPr>
                <w:noProof/>
              </w:rPr>
            </w:pPr>
            <w:r>
              <w:rPr>
                <w:noProof/>
              </w:rPr>
              <w:tab/>
              <w:t>a) transportbanden in de mijnbouwindustrie en afdichtingsrubbers van waterkeringen met SCCP's als bestanddeel die vóór of op 4 december 2015 al in gebruik waren, en</w:t>
            </w:r>
          </w:p>
          <w:p>
            <w:pPr>
              <w:pStyle w:val="Point1"/>
              <w:rPr>
                <w:noProof/>
              </w:rPr>
            </w:pPr>
            <w:r>
              <w:rPr>
                <w:noProof/>
              </w:rPr>
              <w:tab/>
              <w:t xml:space="preserve">b) andere dan de onder a) bedoelde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SCCP's als bestanddeel die vóór of op 10 juli 2012 al in gebruik waren, wordt toegestaan.</w:t>
            </w:r>
          </w:p>
          <w:p>
            <w:pPr>
              <w:pStyle w:val="Point0"/>
              <w:rPr>
                <w:noProof/>
              </w:rPr>
            </w:pPr>
            <w:r>
              <w:rPr>
                <w:noProof/>
              </w:rPr>
              <w:tab/>
              <w:t xml:space="preserve">3. Artikel 4, lid 2, derde en vierde alinea, is van toepassing op de in de punt 2 bedoelde </w:t>
            </w:r>
            <w:r>
              <w:rPr>
                <w:rStyle w:val="CRDeleted"/>
                <w:noProof/>
              </w:rPr>
              <w:t>artikelen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voorwerpen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adjustRightInd w:val="0"/>
        <w:spacing w:before="0" w:after="0"/>
        <w:jc w:val="left"/>
        <w:rPr>
          <w:noProof/>
        </w:rPr>
        <w:sectPr>
          <w:footerReference w:type="default" r:id="rId16"/>
          <w:footerReference w:type="first" r:id="rId17"/>
          <w:pgSz w:w="11906" w:h="16838"/>
          <w:pgMar w:top="1134" w:right="1418" w:bottom="1134" w:left="1418" w:header="709" w:footer="709" w:gutter="0"/>
          <w:pgNumType w:start="1"/>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Rectificatie, PB L 229 van 29.6.2004, blz. 5</w:t>
      </w:r>
    </w:p>
    <w:p>
      <w:pPr>
        <w:pStyle w:val="Annexetitre"/>
        <w:rPr>
          <w:noProof/>
        </w:rPr>
      </w:pPr>
      <w:r>
        <w:rPr>
          <w:noProof/>
        </w:rPr>
        <w:t>BIJLAGE II</w:t>
      </w:r>
    </w:p>
    <w:p>
      <w:pPr>
        <w:pStyle w:val="NormalCentered"/>
        <w:rPr>
          <w:b/>
          <w:bCs/>
          <w:noProof/>
        </w:rPr>
      </w:pPr>
      <w:r>
        <w:rPr>
          <w:b/>
          <w:bCs/>
          <w:noProof/>
        </w:rPr>
        <w:t>LIJST VAN STOFFEN WAARVOOR BEPERKINGEN GELDEN</w:t>
      </w:r>
    </w:p>
    <w:p>
      <w:pPr>
        <w:pStyle w:val="NormalCentered"/>
        <w:jc w:val="left"/>
        <w:rPr>
          <w:b/>
          <w:noProof/>
        </w:rPr>
      </w:pPr>
      <w:r>
        <w:rPr>
          <w:b/>
          <w:noProof/>
        </w:rPr>
        <w:t>DEEL A Stoffen die in het verdrag en in het protocol zijn opgenomen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tc>
          <w:tcPr>
            <w:tcW w:w="2321" w:type="dxa"/>
          </w:tcPr>
          <w:p>
            <w:pPr>
              <w:pStyle w:val="NormalCentered"/>
              <w:jc w:val="left"/>
              <w:rPr>
                <w:noProof/>
              </w:rPr>
            </w:pPr>
            <w:r>
              <w:rPr>
                <w:noProof/>
              </w:rPr>
              <w:t>Stof</w:t>
            </w:r>
          </w:p>
        </w:tc>
        <w:tc>
          <w:tcPr>
            <w:tcW w:w="1615" w:type="dxa"/>
          </w:tcPr>
          <w:p>
            <w:pPr>
              <w:pStyle w:val="NormalCentered"/>
              <w:jc w:val="left"/>
              <w:rPr>
                <w:noProof/>
              </w:rPr>
            </w:pPr>
            <w:r>
              <w:rPr>
                <w:noProof/>
              </w:rPr>
              <w:t>CAS-nr.</w:t>
            </w:r>
          </w:p>
        </w:tc>
        <w:tc>
          <w:tcPr>
            <w:tcW w:w="1701" w:type="dxa"/>
          </w:tcPr>
          <w:p>
            <w:pPr>
              <w:pStyle w:val="NormalCentered"/>
              <w:jc w:val="left"/>
              <w:rPr>
                <w:noProof/>
              </w:rPr>
            </w:pPr>
            <w:r>
              <w:rPr>
                <w:noProof/>
              </w:rPr>
              <w:t>EG-nr.</w:t>
            </w:r>
          </w:p>
        </w:tc>
        <w:tc>
          <w:tcPr>
            <w:tcW w:w="3649" w:type="dxa"/>
          </w:tcPr>
          <w:p>
            <w:pPr>
              <w:pStyle w:val="NormalCentered"/>
              <w:jc w:val="left"/>
              <w:rPr>
                <w:noProof/>
              </w:rPr>
            </w:pPr>
            <w:r>
              <w:rPr>
                <w:noProof/>
              </w:rPr>
              <w:t>Beperkingsvoorwaarden</w:t>
            </w:r>
          </w:p>
        </w:tc>
      </w:tr>
      <w:tr>
        <w:tc>
          <w:tcPr>
            <w:tcW w:w="2321" w:type="dxa"/>
          </w:tcPr>
          <w:p>
            <w:pPr>
              <w:pStyle w:val="NormalCentered"/>
              <w:jc w:val="left"/>
              <w:rPr>
                <w:noProof/>
              </w:rPr>
            </w:pPr>
          </w:p>
        </w:tc>
        <w:tc>
          <w:tcPr>
            <w:tcW w:w="1615" w:type="dxa"/>
          </w:tcPr>
          <w:p>
            <w:pPr>
              <w:pStyle w:val="NormalCentered"/>
              <w:jc w:val="left"/>
              <w:rPr>
                <w:noProof/>
              </w:rPr>
            </w:pPr>
          </w:p>
        </w:tc>
        <w:tc>
          <w:tcPr>
            <w:tcW w:w="1701" w:type="dxa"/>
          </w:tcPr>
          <w:p>
            <w:pPr>
              <w:pStyle w:val="NormalCentered"/>
              <w:jc w:val="left"/>
              <w:rPr>
                <w:noProof/>
              </w:rPr>
            </w:pPr>
          </w:p>
        </w:tc>
        <w:tc>
          <w:tcPr>
            <w:tcW w:w="3649" w:type="dxa"/>
          </w:tcPr>
          <w:p>
            <w:pPr>
              <w:pStyle w:val="NormalCentered"/>
              <w:jc w:val="left"/>
              <w:rPr>
                <w:noProof/>
              </w:rPr>
            </w:pPr>
          </w:p>
        </w:tc>
      </w:tr>
    </w:tbl>
    <w:p>
      <w:pPr>
        <w:pStyle w:val="NormalCentered"/>
        <w:jc w:val="left"/>
        <w:rPr>
          <w:noProof/>
        </w:rPr>
      </w:pPr>
    </w:p>
    <w:p>
      <w:pPr>
        <w:adjustRightInd w:val="0"/>
        <w:spacing w:before="0" w:after="0"/>
        <w:jc w:val="left"/>
        <w:rPr>
          <w:b/>
          <w:noProof/>
        </w:rPr>
      </w:pPr>
      <w:r>
        <w:rPr>
          <w:b/>
          <w:noProof/>
        </w:rPr>
        <w:t>DEEL B — Stoffen die uitsluitend in het protocol zijn opgenomen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tc>
          <w:tcPr>
            <w:tcW w:w="2321" w:type="dxa"/>
          </w:tcPr>
          <w:p>
            <w:pPr>
              <w:pStyle w:val="NormalCentered"/>
              <w:jc w:val="left"/>
              <w:rPr>
                <w:noProof/>
              </w:rPr>
            </w:pPr>
            <w:r>
              <w:rPr>
                <w:noProof/>
              </w:rPr>
              <w:t>Stof</w:t>
            </w:r>
          </w:p>
        </w:tc>
        <w:tc>
          <w:tcPr>
            <w:tcW w:w="1615" w:type="dxa"/>
          </w:tcPr>
          <w:p>
            <w:pPr>
              <w:pStyle w:val="NormalCentered"/>
              <w:jc w:val="left"/>
              <w:rPr>
                <w:noProof/>
              </w:rPr>
            </w:pPr>
            <w:r>
              <w:rPr>
                <w:noProof/>
              </w:rPr>
              <w:t>CAS-nr.</w:t>
            </w:r>
          </w:p>
        </w:tc>
        <w:tc>
          <w:tcPr>
            <w:tcW w:w="1701" w:type="dxa"/>
          </w:tcPr>
          <w:p>
            <w:pPr>
              <w:pStyle w:val="NormalCentered"/>
              <w:jc w:val="left"/>
              <w:rPr>
                <w:noProof/>
              </w:rPr>
            </w:pPr>
            <w:r>
              <w:rPr>
                <w:noProof/>
              </w:rPr>
              <w:t>EG-nr.</w:t>
            </w:r>
          </w:p>
        </w:tc>
        <w:tc>
          <w:tcPr>
            <w:tcW w:w="3649" w:type="dxa"/>
          </w:tcPr>
          <w:p>
            <w:pPr>
              <w:pStyle w:val="NormalCentered"/>
              <w:jc w:val="left"/>
              <w:rPr>
                <w:noProof/>
              </w:rPr>
            </w:pPr>
            <w:r>
              <w:rPr>
                <w:noProof/>
              </w:rPr>
              <w:t>Beperkingsvoorwaarden</w:t>
            </w:r>
          </w:p>
        </w:tc>
      </w:tr>
      <w:tr>
        <w:tc>
          <w:tcPr>
            <w:tcW w:w="2321" w:type="dxa"/>
          </w:tcPr>
          <w:p>
            <w:pPr>
              <w:pStyle w:val="NormalCentered"/>
              <w:jc w:val="left"/>
              <w:rPr>
                <w:noProof/>
              </w:rPr>
            </w:pPr>
          </w:p>
        </w:tc>
        <w:tc>
          <w:tcPr>
            <w:tcW w:w="1615" w:type="dxa"/>
          </w:tcPr>
          <w:p>
            <w:pPr>
              <w:pStyle w:val="NormalCentered"/>
              <w:jc w:val="left"/>
              <w:rPr>
                <w:noProof/>
              </w:rPr>
            </w:pPr>
          </w:p>
        </w:tc>
        <w:tc>
          <w:tcPr>
            <w:tcW w:w="1701" w:type="dxa"/>
          </w:tcPr>
          <w:p>
            <w:pPr>
              <w:pStyle w:val="NormalCentered"/>
              <w:jc w:val="left"/>
              <w:rPr>
                <w:noProof/>
              </w:rPr>
            </w:pPr>
          </w:p>
        </w:tc>
        <w:tc>
          <w:tcPr>
            <w:tcW w:w="3649" w:type="dxa"/>
          </w:tcPr>
          <w:p>
            <w:pPr>
              <w:pStyle w:val="NormalCentered"/>
              <w:jc w:val="left"/>
              <w:rPr>
                <w:noProof/>
              </w:rPr>
            </w:pPr>
          </w:p>
        </w:tc>
      </w:tr>
    </w:tbl>
    <w:p>
      <w:pPr>
        <w:adjustRightInd w:val="0"/>
        <w:spacing w:before="0" w:after="0"/>
        <w:jc w:val="left"/>
        <w:rPr>
          <w:noProof/>
        </w:rPr>
        <w:sectPr>
          <w:pgSz w:w="11906" w:h="16838"/>
          <w:pgMar w:top="1134" w:right="1418" w:bottom="1134" w:left="1418" w:header="709" w:footer="709" w:gutter="0"/>
          <w:pgNumType w:start="0"/>
          <w:cols w:space="709"/>
          <w:docGrid w:linePitch="326"/>
        </w:sectPr>
      </w:pPr>
    </w:p>
    <w:p>
      <w:pPr>
        <w:pStyle w:val="Annexetitre"/>
        <w:rPr>
          <w:noProof/>
        </w:rPr>
      </w:pPr>
      <w:r>
        <w:rPr>
          <w:noProof/>
        </w:rPr>
        <w:t>BIJLAGE III</w:t>
      </w:r>
    </w:p>
    <w:p>
      <w:pPr>
        <w:pStyle w:val="NormalCentered"/>
        <w:rPr>
          <w:b/>
          <w:bCs/>
          <w:noProof/>
        </w:rPr>
      </w:pPr>
      <w:r>
        <w:rPr>
          <w:b/>
          <w:bCs/>
          <w:noProof/>
        </w:rPr>
        <w:t>LIJST VAN STOFFEN WAARVOOR BEPALINGEN INZAKE BEPERKING VAN DE VRIJKOMING GELDEN</w:t>
      </w:r>
    </w:p>
    <w:p>
      <w:pPr>
        <w:pStyle w:val="ManualHeading1"/>
        <w:ind w:left="851" w:hanging="851"/>
        <w:rPr>
          <w:noProof/>
        </w:rPr>
      </w:pPr>
      <w:r>
        <w:rPr>
          <w:noProof/>
        </w:rPr>
        <w:t>Stof (CAS-nr.)</w:t>
      </w:r>
    </w:p>
    <w:p>
      <w:pPr>
        <w:rPr>
          <w:noProof/>
        </w:rPr>
      </w:pPr>
      <w:r>
        <w:rPr>
          <w:noProof/>
        </w:rPr>
        <w:t>Polychloordibenzo-</w:t>
      </w:r>
      <w:r>
        <w:rPr>
          <w:i/>
          <w:noProof/>
        </w:rPr>
        <w:t>p</w:t>
      </w:r>
      <w:r>
        <w:rPr>
          <w:noProof/>
        </w:rPr>
        <w:t>-dioxinen en –dibenzofuranen (PCDD's/PCDF's)</w:t>
      </w:r>
    </w:p>
    <w:p>
      <w:pPr>
        <w:rPr>
          <w:noProof/>
        </w:rPr>
      </w:pPr>
      <w:r>
        <w:rPr>
          <w:noProof/>
        </w:rPr>
        <w:t>Hexachloorbenzeen (HCB) (CAS-nr.: 118-74-1)</w:t>
      </w:r>
    </w:p>
    <w:p>
      <w:pPr>
        <w:rPr>
          <w:noProof/>
        </w:rPr>
      </w:pPr>
      <w:r>
        <w:rPr>
          <w:noProof/>
        </w:rPr>
        <w:t>Polychloorbifenylen (pcb's)</w:t>
      </w:r>
    </w:p>
    <w:p>
      <w:pPr>
        <w:rPr>
          <w:noProof/>
        </w:rPr>
      </w:pPr>
      <w:r>
        <w:rPr>
          <w:noProof/>
        </w:rPr>
        <w:t>Polycyclische aromatische koolwaterstoffen (PAK's)</w:t>
      </w:r>
      <w:r>
        <w:rPr>
          <w:rStyle w:val="FootnoteReference"/>
          <w:noProof/>
        </w:rPr>
        <w:footnoteReference w:id="5"/>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757/2010 art. 1 en bijlage, punt 2</w:t>
      </w:r>
    </w:p>
    <w:p>
      <w:pPr>
        <w:rPr>
          <w:noProof/>
        </w:rPr>
      </w:pPr>
      <w:r>
        <w:rPr>
          <w:noProof/>
        </w:rPr>
        <w:t>Pentachloorbenzeen (CAS-nr. 608-93-5)</w:t>
      </w:r>
    </w:p>
    <w:p>
      <w:pPr>
        <w:adjustRightInd w:val="0"/>
        <w:spacing w:before="0" w:after="0"/>
        <w:jc w:val="left"/>
        <w:rPr>
          <w:noProof/>
        </w:rPr>
        <w:sectPr>
          <w:pgSz w:w="11906" w:h="16838"/>
          <w:pgMar w:top="1134" w:right="1418" w:bottom="1134" w:left="1418" w:header="709" w:footer="709" w:gutter="0"/>
          <w:pgNumType w:start="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1342/2014 Art. 1, onder 1), en bijlage I (aangepast)</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460/2016 art. 1 en bijlage </w:t>
      </w:r>
    </w:p>
    <w:p>
      <w:pPr>
        <w:pStyle w:val="Annexetitre"/>
        <w:rPr>
          <w:noProof/>
        </w:rPr>
      </w:pPr>
      <w:r>
        <w:rPr>
          <w:noProof/>
        </w:rPr>
        <w:t>BIJLAGE IV</w:t>
      </w:r>
    </w:p>
    <w:p>
      <w:pPr>
        <w:pStyle w:val="NormalCentered"/>
        <w:rPr>
          <w:b/>
          <w:bCs/>
          <w:noProof/>
        </w:rPr>
      </w:pPr>
      <w:r>
        <w:rPr>
          <w:b/>
          <w:bCs/>
          <w:noProof/>
        </w:rPr>
        <w:t>Lijst van stoffen waarvoor de in artikel 7 vermelde bepalingen inzake afvalbeheer gelden</w:t>
      </w:r>
    </w:p>
    <w:tbl>
      <w:tblPr>
        <w:tblW w:w="0" w:type="auto"/>
        <w:tblLayout w:type="fixed"/>
        <w:tblLook w:val="0000" w:firstRow="0" w:lastRow="0" w:firstColumn="0" w:lastColumn="0" w:noHBand="0" w:noVBand="0"/>
      </w:tblPr>
      <w:tblGrid>
        <w:gridCol w:w="2322"/>
        <w:gridCol w:w="2321"/>
        <w:gridCol w:w="2322"/>
        <w:gridCol w:w="2321"/>
      </w:tblGrid>
      <w:tr>
        <w:tc>
          <w:tcPr>
            <w:tcW w:w="232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Stof</w:t>
            </w:r>
          </w:p>
        </w:tc>
        <w:tc>
          <w:tcPr>
            <w:tcW w:w="232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CAS-nr.</w:t>
            </w:r>
          </w:p>
        </w:tc>
        <w:tc>
          <w:tcPr>
            <w:tcW w:w="232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EG-nr.</w:t>
            </w:r>
          </w:p>
        </w:tc>
        <w:tc>
          <w:tcPr>
            <w:tcW w:w="232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 artikel 7, lid 4, onder a), bedoelde concentratiegrenswaarde</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Endosulfan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115-29-7</w:t>
            </w:r>
          </w:p>
          <w:p>
            <w:pPr>
              <w:pStyle w:val="NormalLeft"/>
              <w:rPr>
                <w:noProof/>
              </w:rPr>
            </w:pPr>
            <w:r>
              <w:rPr>
                <w:noProof/>
              </w:rPr>
              <w:t>959-98-8</w:t>
            </w:r>
          </w:p>
          <w:p>
            <w:pPr>
              <w:pStyle w:val="NormalLeft"/>
              <w:rPr>
                <w:noProof/>
              </w:rPr>
            </w:pPr>
            <w:r>
              <w:rPr>
                <w:noProof/>
              </w:rPr>
              <w:t>33213-65-9</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204-079-4</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Hexachloorbutadieen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87-68-3</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201-765-5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Polychloornaftalenen</w:t>
            </w:r>
            <w:r>
              <w:rPr>
                <w:rStyle w:val="FootnoteReference"/>
                <w:noProof/>
              </w:rPr>
              <w:footnoteReference w:id="6"/>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Alkanen, C</w:t>
            </w:r>
            <w:r>
              <w:rPr>
                <w:noProof/>
                <w:vertAlign w:val="subscript"/>
              </w:rPr>
              <w:t>10</w:t>
            </w:r>
            <w:r>
              <w:rPr>
                <w:noProof/>
              </w:rPr>
              <w:t>-C</w:t>
            </w:r>
            <w:r>
              <w:rPr>
                <w:noProof/>
                <w:vertAlign w:val="subscript"/>
              </w:rPr>
              <w:t>13</w:t>
            </w:r>
            <w:r>
              <w:rPr>
                <w:noProof/>
              </w:rPr>
              <w:t>, chloor (gechloreerde paraffinen met een korte keten) (SCCP's)</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85535-84-8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287-476-5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Tetrabroomdifenylether</w:t>
            </w:r>
          </w:p>
          <w:p>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40088-47-9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254-787-2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Som van de concentraties van tetrabroomdifenylether, pentabroomdifenylether, hexabroomdifenylether en heptabroomdifenylether: 1 000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Pentabroomdifenylether</w:t>
            </w:r>
          </w:p>
          <w:p>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32534-81-9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251-084-2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Hexabroomdifenylether</w:t>
            </w:r>
          </w:p>
          <w:p>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36483-60-0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253-058-6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Heptabroomdifenylether</w:t>
            </w:r>
          </w:p>
          <w:p>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68928-80-3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273-031-2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Perfluoroctaansulfonzuur en derivaten daarvan (PFOS)</w:t>
            </w:r>
          </w:p>
          <w:p>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pPr>
              <w:pStyle w:val="NormalLeft"/>
              <w:rPr>
                <w:noProof/>
              </w:rPr>
            </w:pPr>
            <w:r>
              <w:rPr>
                <w:noProof/>
              </w:rPr>
              <w:t>(X = OH, metaalzout (O-M</w:t>
            </w:r>
            <w:r>
              <w:rPr>
                <w:noProof/>
                <w:vertAlign w:val="superscript"/>
              </w:rPr>
              <w:t>+</w:t>
            </w:r>
            <w:r>
              <w:rPr>
                <w:noProof/>
              </w:rPr>
              <w:t>), halogenide, amide en andere derivaten inclusief polymeren)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1763-23-1 </w:t>
            </w:r>
          </w:p>
          <w:p>
            <w:pPr>
              <w:pStyle w:val="NormalLeft"/>
              <w:rPr>
                <w:noProof/>
              </w:rPr>
            </w:pPr>
            <w:r>
              <w:rPr>
                <w:noProof/>
              </w:rPr>
              <w:t xml:space="preserve">2795-39-3 </w:t>
            </w:r>
          </w:p>
          <w:p>
            <w:pPr>
              <w:pStyle w:val="NormalLeft"/>
              <w:rPr>
                <w:noProof/>
              </w:rPr>
            </w:pPr>
            <w:r>
              <w:rPr>
                <w:noProof/>
              </w:rPr>
              <w:t xml:space="preserve">29457-72-5 </w:t>
            </w:r>
          </w:p>
          <w:p>
            <w:pPr>
              <w:pStyle w:val="NormalLeft"/>
              <w:rPr>
                <w:noProof/>
              </w:rPr>
            </w:pPr>
            <w:r>
              <w:rPr>
                <w:noProof/>
              </w:rPr>
              <w:t xml:space="preserve">29081-56-9 </w:t>
            </w:r>
          </w:p>
          <w:p>
            <w:pPr>
              <w:pStyle w:val="NormalLeft"/>
              <w:rPr>
                <w:noProof/>
              </w:rPr>
            </w:pPr>
            <w:r>
              <w:rPr>
                <w:noProof/>
              </w:rPr>
              <w:t xml:space="preserve">70225-14-8 </w:t>
            </w:r>
          </w:p>
          <w:p>
            <w:pPr>
              <w:pStyle w:val="NormalLeft"/>
              <w:rPr>
                <w:noProof/>
              </w:rPr>
            </w:pPr>
            <w:r>
              <w:rPr>
                <w:noProof/>
              </w:rPr>
              <w:t xml:space="preserve">56773-42-3 </w:t>
            </w:r>
          </w:p>
          <w:p>
            <w:pPr>
              <w:pStyle w:val="NormalLeft"/>
              <w:rPr>
                <w:noProof/>
              </w:rPr>
            </w:pPr>
            <w:r>
              <w:rPr>
                <w:noProof/>
              </w:rPr>
              <w:t xml:space="preserve">251099-16-8 </w:t>
            </w:r>
          </w:p>
          <w:p>
            <w:pPr>
              <w:pStyle w:val="NormalLeft"/>
              <w:rPr>
                <w:noProof/>
              </w:rPr>
            </w:pPr>
            <w:r>
              <w:rPr>
                <w:noProof/>
              </w:rPr>
              <w:t xml:space="preserve">4151-50-2 </w:t>
            </w:r>
          </w:p>
          <w:p>
            <w:pPr>
              <w:pStyle w:val="NormalLeft"/>
              <w:rPr>
                <w:noProof/>
              </w:rPr>
            </w:pPr>
            <w:r>
              <w:rPr>
                <w:noProof/>
              </w:rPr>
              <w:t xml:space="preserve">31506-32-8 </w:t>
            </w:r>
          </w:p>
          <w:p>
            <w:pPr>
              <w:pStyle w:val="NormalLeft"/>
              <w:rPr>
                <w:noProof/>
              </w:rPr>
            </w:pPr>
            <w:r>
              <w:rPr>
                <w:noProof/>
              </w:rPr>
              <w:t xml:space="preserve">1691-99-2 </w:t>
            </w:r>
          </w:p>
          <w:p>
            <w:pPr>
              <w:pStyle w:val="NormalLeft"/>
              <w:rPr>
                <w:noProof/>
              </w:rPr>
            </w:pPr>
            <w:r>
              <w:rPr>
                <w:noProof/>
              </w:rPr>
              <w:t xml:space="preserve">24448-09-7 </w:t>
            </w:r>
          </w:p>
          <w:p>
            <w:pPr>
              <w:pStyle w:val="NormalLeft"/>
              <w:rPr>
                <w:noProof/>
              </w:rPr>
            </w:pPr>
            <w:r>
              <w:rPr>
                <w:noProof/>
              </w:rPr>
              <w:t>307-35-7 en andere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217-179-8</w:t>
            </w:r>
          </w:p>
          <w:p>
            <w:pPr>
              <w:pStyle w:val="NormalLeft"/>
              <w:rPr>
                <w:noProof/>
              </w:rPr>
            </w:pPr>
            <w:r>
              <w:rPr>
                <w:noProof/>
              </w:rPr>
              <w:t>220-527-1</w:t>
            </w:r>
          </w:p>
          <w:p>
            <w:pPr>
              <w:pStyle w:val="NormalLeft"/>
              <w:rPr>
                <w:noProof/>
              </w:rPr>
            </w:pPr>
            <w:r>
              <w:rPr>
                <w:noProof/>
              </w:rPr>
              <w:t>249-644-6</w:t>
            </w:r>
          </w:p>
          <w:p>
            <w:pPr>
              <w:pStyle w:val="NormalLeft"/>
              <w:rPr>
                <w:noProof/>
              </w:rPr>
            </w:pPr>
            <w:r>
              <w:rPr>
                <w:noProof/>
              </w:rPr>
              <w:t>249-415-0</w:t>
            </w:r>
          </w:p>
          <w:p>
            <w:pPr>
              <w:pStyle w:val="NormalLeft"/>
              <w:rPr>
                <w:noProof/>
              </w:rPr>
            </w:pPr>
            <w:r>
              <w:rPr>
                <w:noProof/>
              </w:rPr>
              <w:t>274-460-8</w:t>
            </w:r>
          </w:p>
          <w:p>
            <w:pPr>
              <w:pStyle w:val="NormalLeft"/>
              <w:rPr>
                <w:noProof/>
              </w:rPr>
            </w:pPr>
            <w:r>
              <w:rPr>
                <w:noProof/>
              </w:rPr>
              <w:t>260-375-3</w:t>
            </w:r>
          </w:p>
          <w:p>
            <w:pPr>
              <w:pStyle w:val="NormalLeft"/>
              <w:rPr>
                <w:noProof/>
              </w:rPr>
            </w:pPr>
          </w:p>
          <w:p>
            <w:pPr>
              <w:pStyle w:val="NormalLeft"/>
              <w:rPr>
                <w:rStyle w:val="orderablesearchcontainer"/>
                <w:noProof/>
              </w:rPr>
            </w:pPr>
            <w:r>
              <w:rPr>
                <w:rStyle w:val="orderablesearchcontainer"/>
                <w:noProof/>
              </w:rPr>
              <w:t>223-980-3</w:t>
            </w:r>
          </w:p>
          <w:p>
            <w:pPr>
              <w:pStyle w:val="NormalLeft"/>
              <w:rPr>
                <w:rStyle w:val="orderablesearchcontainer"/>
                <w:noProof/>
              </w:rPr>
            </w:pPr>
            <w:r>
              <w:rPr>
                <w:rStyle w:val="orderablesearchcontainer"/>
                <w:noProof/>
              </w:rPr>
              <w:t>250-665-8</w:t>
            </w:r>
          </w:p>
          <w:p>
            <w:pPr>
              <w:pStyle w:val="NormalLeft"/>
              <w:rPr>
                <w:rStyle w:val="orderablesearchcontainer"/>
                <w:noProof/>
              </w:rPr>
            </w:pPr>
            <w:r>
              <w:rPr>
                <w:rStyle w:val="orderablesearchcontainer"/>
                <w:noProof/>
              </w:rPr>
              <w:t>216-887-4</w:t>
            </w:r>
          </w:p>
          <w:p>
            <w:pPr>
              <w:pStyle w:val="NormalLeft"/>
              <w:rPr>
                <w:rStyle w:val="orderablesearchcontainer"/>
                <w:noProof/>
              </w:rPr>
            </w:pPr>
            <w:r>
              <w:rPr>
                <w:rStyle w:val="orderablesearchcontainer"/>
                <w:noProof/>
              </w:rPr>
              <w:t>246-262-1</w:t>
            </w:r>
          </w:p>
          <w:p>
            <w:pPr>
              <w:pStyle w:val="NormalLeft"/>
              <w:rPr>
                <w:noProof/>
              </w:rPr>
            </w:pPr>
            <w:r>
              <w:rPr>
                <w:rStyle w:val="orderablesearchcontainer"/>
                <w:noProof/>
              </w:rPr>
              <w:t>206-200-6 en andere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Polychloordibenzo-</w:t>
            </w:r>
            <w:r>
              <w:rPr>
                <w:i/>
                <w:noProof/>
              </w:rPr>
              <w:t>p</w:t>
            </w:r>
            <w:r>
              <w:rPr>
                <w:noProof/>
              </w:rPr>
              <w:t>-dioxinen en –dibenzofuranen (PCDD's/PCDF's)</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 μg/kg</w:t>
            </w:r>
            <w:r>
              <w:rPr>
                <w:rStyle w:val="FootnoteReference"/>
                <w:noProof/>
              </w:rPr>
              <w:footnoteReference w:id="7"/>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DDT (1,1,1-trichloor-2,2-bis(4-chloorfenyl)ethaan)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50-29-3</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200-024-3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Chloordaan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57-74-9</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200-349-0</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Hexachloorcyclohexanen, inclusief lindaan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58-89-9</w:t>
            </w:r>
          </w:p>
          <w:p>
            <w:pPr>
              <w:pStyle w:val="NormalLeft"/>
              <w:rPr>
                <w:noProof/>
              </w:rPr>
            </w:pPr>
            <w:r>
              <w:rPr>
                <w:noProof/>
              </w:rPr>
              <w:t>319-84-6</w:t>
            </w:r>
          </w:p>
          <w:p>
            <w:pPr>
              <w:pStyle w:val="NormalLeft"/>
              <w:rPr>
                <w:noProof/>
              </w:rPr>
            </w:pPr>
            <w:r>
              <w:rPr>
                <w:noProof/>
              </w:rPr>
              <w:t>319-85-7</w:t>
            </w:r>
          </w:p>
          <w:p>
            <w:pPr>
              <w:pStyle w:val="NormalLeft"/>
              <w:rPr>
                <w:noProof/>
              </w:rPr>
            </w:pPr>
            <w:r>
              <w:rPr>
                <w:noProof/>
              </w:rPr>
              <w:t>608-73-1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210-168-9</w:t>
            </w:r>
          </w:p>
          <w:p>
            <w:pPr>
              <w:pStyle w:val="NormalLeft"/>
              <w:rPr>
                <w:noProof/>
              </w:rPr>
            </w:pPr>
            <w:r>
              <w:rPr>
                <w:noProof/>
              </w:rPr>
              <w:t>200-401-2</w:t>
            </w:r>
          </w:p>
          <w:p>
            <w:pPr>
              <w:pStyle w:val="NormalLeft"/>
              <w:rPr>
                <w:noProof/>
              </w:rPr>
            </w:pPr>
            <w:r>
              <w:rPr>
                <w:noProof/>
              </w:rPr>
              <w:t>206-270-8</w:t>
            </w:r>
          </w:p>
          <w:p>
            <w:pPr>
              <w:pStyle w:val="NormalLeft"/>
              <w:rPr>
                <w:noProof/>
              </w:rPr>
            </w:pPr>
            <w:r>
              <w:rPr>
                <w:noProof/>
              </w:rPr>
              <w:t>206-271-3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Dieldrin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60-57-1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200-484-5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Endrin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72-20-8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200-775-7</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Heptachloor</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76-44-8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200-962-3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Hexachloorbenzeen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118-74-1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200-273-9</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Chloordecon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143-50-0</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205-601-3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Aldrin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309-00-2</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206-215-8</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Pentachloorbenzeen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608-93-5</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210-172-5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Polychloorbifenylen (pcb's)</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1336-36-3 en andere</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215-648-1</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r>
              <w:rPr>
                <w:rStyle w:val="FootnoteReference"/>
                <w:noProof/>
              </w:rPr>
              <w:footnoteReference w:id="8"/>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Mirex</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2385-85-5</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219-196-6</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Toxafeen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8001-35-2</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232-283-3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Hexabroombifenyl</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36355-01-8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252-994-2</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Hexabroomcyclododecaan</w:t>
            </w:r>
            <w:r>
              <w:rPr>
                <w:rStyle w:val="FootnoteReference"/>
                <w:noProof/>
              </w:rPr>
              <w:footnoteReference w:id="9"/>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25637-99-4,</w:t>
            </w:r>
          </w:p>
          <w:p>
            <w:pPr>
              <w:pStyle w:val="NormalLeft"/>
              <w:rPr>
                <w:noProof/>
              </w:rPr>
            </w:pPr>
            <w:r>
              <w:rPr>
                <w:noProof/>
              </w:rPr>
              <w:t>3194-55-6,</w:t>
            </w:r>
          </w:p>
          <w:p>
            <w:pPr>
              <w:pStyle w:val="NormalLeft"/>
              <w:rPr>
                <w:noProof/>
              </w:rPr>
            </w:pPr>
            <w:r>
              <w:rPr>
                <w:noProof/>
              </w:rPr>
              <w:t>134237-50-6,</w:t>
            </w:r>
          </w:p>
          <w:p>
            <w:pPr>
              <w:pStyle w:val="NormalLeft"/>
              <w:rPr>
                <w:noProof/>
              </w:rPr>
            </w:pPr>
            <w:r>
              <w:rPr>
                <w:noProof/>
              </w:rPr>
              <w:t>134237-51-7,</w:t>
            </w:r>
          </w:p>
          <w:p>
            <w:pPr>
              <w:pStyle w:val="NormalLeft"/>
              <w:rPr>
                <w:noProof/>
              </w:rPr>
            </w:pPr>
            <w:r>
              <w:rPr>
                <w:noProof/>
              </w:rPr>
              <w:t>134237-52-8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247-148-4</w:t>
            </w:r>
          </w:p>
          <w:p>
            <w:pPr>
              <w:pStyle w:val="NormalLeft"/>
              <w:rPr>
                <w:noProof/>
              </w:rPr>
            </w:pPr>
            <w:r>
              <w:rPr>
                <w:noProof/>
              </w:rPr>
              <w:t>221-695-9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1 000 mg/kg, onder voorbehoud van een herziening door de Commissie vóór 20.4.2019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rPr>
          <w:noProof/>
        </w:rPr>
      </w:pPr>
    </w:p>
    <w:p>
      <w:pPr>
        <w:adjustRightInd w:val="0"/>
        <w:spacing w:before="0" w:after="0"/>
        <w:jc w:val="left"/>
        <w:rPr>
          <w:noProof/>
        </w:rPr>
        <w:sectPr>
          <w:pgSz w:w="11906" w:h="16838"/>
          <w:pgMar w:top="1134" w:right="1418" w:bottom="1134" w:left="1418" w:header="709" w:footer="709" w:gutter="0"/>
          <w:pgNumType w:start="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Rectificatie, PB L 229 van 29.6.2004, blz. 5 (aangepast)</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304/2009 art. 1 en bijlage, punt 2, onder a)</w:t>
      </w:r>
    </w:p>
    <w:p>
      <w:pPr>
        <w:pStyle w:val="Annexetitre"/>
        <w:rPr>
          <w:noProof/>
        </w:rPr>
      </w:pPr>
      <w:r>
        <w:rPr>
          <w:noProof/>
        </w:rPr>
        <w:t>BIJLAGE V</w:t>
      </w:r>
    </w:p>
    <w:p>
      <w:pPr>
        <w:pStyle w:val="NormalCentered"/>
        <w:rPr>
          <w:b/>
          <w:bCs/>
          <w:noProof/>
        </w:rPr>
      </w:pPr>
      <w:r>
        <w:rPr>
          <w:b/>
          <w:bCs/>
          <w:noProof/>
        </w:rPr>
        <w:t>BEHEER AFVALSTOFFEN</w:t>
      </w:r>
    </w:p>
    <w:p>
      <w:pPr>
        <w:pStyle w:val="ManualHeading1"/>
        <w:ind w:left="851" w:hanging="851"/>
        <w:rPr>
          <w:noProof/>
        </w:rPr>
      </w:pPr>
      <w:r>
        <w:rPr>
          <w:noProof/>
        </w:rPr>
        <w:t>DEEL 1 Verwijdering en nuttige toepassing overeenkomstig artikel 7, lid 2</w:t>
      </w:r>
    </w:p>
    <w:p>
      <w:pPr>
        <w:rPr>
          <w:noProof/>
        </w:rPr>
      </w:pPr>
      <w:r>
        <w:rPr>
          <w:noProof/>
        </w:rPr>
        <w:t xml:space="preserve">De volgende verwijderings- en nuttige toepassingsmethoden overeenkomstig de bijlagen </w:t>
      </w:r>
      <w:r>
        <w:rPr>
          <w:rStyle w:val="CRMinorChangeDeleted"/>
          <w:noProof/>
        </w:rPr>
        <w:t>II A</w:t>
      </w:r>
      <w:r>
        <w:rPr>
          <w:noProof/>
        </w:rPr>
        <w:t xml:space="preserve"> </w:t>
      </w:r>
      <w:r>
        <w:rPr>
          <w:rStyle w:val="CRMinorChangeAdded"/>
          <w:noProof/>
        </w:rPr>
        <w:t xml:space="preserve">I </w:t>
      </w:r>
      <w:r>
        <w:rPr>
          <w:noProof/>
        </w:rPr>
        <w:t xml:space="preserve">en II </w:t>
      </w:r>
      <w:r>
        <w:rPr>
          <w:rStyle w:val="CRMinorChangeDeleted"/>
          <w:noProof/>
        </w:rPr>
        <w:t>B</w:t>
      </w:r>
      <w:r>
        <w:rPr>
          <w:noProof/>
        </w:rPr>
        <w:t xml:space="preserve"> bij Richtlijn </w:t>
      </w:r>
      <w:r>
        <w:rPr>
          <w:rStyle w:val="CRMinorChangeDeleted"/>
          <w:noProof/>
        </w:rPr>
        <w:t>75/442/EEG</w:t>
      </w:r>
      <w:r>
        <w:rPr>
          <w:rStyle w:val="CRMinorChangeAdded"/>
          <w:noProof/>
        </w:rPr>
        <w:t>2008/98/EG</w:t>
      </w:r>
      <w:r>
        <w:rPr>
          <w:noProof/>
        </w:rPr>
        <w:t>, zijn toegestaan voor de doeleinden van artikel 7, lid 2, wanneer deze op een zodanige wijze worden toegepast dat wordt verzekerd dat de inhoud aan persistente organische verontreinigende stoffen wordt vernietigd of onomkeerbaar wordt omgezet:</w:t>
      </w:r>
    </w:p>
    <w:tbl>
      <w:tblPr>
        <w:tblW w:w="0" w:type="auto"/>
        <w:tblLayout w:type="fixed"/>
        <w:tblLook w:val="0000" w:firstRow="0" w:lastRow="0" w:firstColumn="0" w:lastColumn="0" w:noHBand="0" w:noVBand="0"/>
      </w:tblPr>
      <w:tblGrid>
        <w:gridCol w:w="743"/>
        <w:gridCol w:w="464"/>
        <w:gridCol w:w="8079"/>
      </w:tblGrid>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D9</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chemische/fysische behandeling,</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D10</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verbranding op land, en</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R1</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hoofdgebruik als brandstof of andere middelen voor het opwekken van energie, met uitzondering van afvalstoffen die pcb's bevatten.</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R4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R4 recycling/terugwinning van metalen en metaalverbindingen onder de volgende voorwaarden: De behandelingen worden beperkt tot residuen van ijzer- en staalproductieprocedés zoals stof of slib van gasreiniging of walshuid of zinkhoudend filterstof van staalfabrieken, stof van gasreinigingsinrichtingen van kopersmelterijen en vergelijkbare afvalstoffen en loodhoudende loogresiduen uit de productie van non-ferrometalen. Afvalstoffen die pcb’s bevatten, zijn uitgesloten. De behandelingen worden beperkt tot procedés voor de terugwinning van ijzer en ijzerlegeringen (hoogoven, schachtoven en haardoven) en non-ferrometalen (Waelz-draaiovenprocedé, smeltbadprocedés met gebruik van verticale of horizontale ovens), mits de installaties ten minste voldoen aan de </w:t>
            </w:r>
            <w:r>
              <w:rPr>
                <w:rStyle w:val="CRDeleted"/>
                <w:noProof/>
              </w:rPr>
              <w:t>in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overeenkomstig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Richtlijn </w:t>
            </w:r>
            <w:r>
              <w:rPr>
                <w:rStyle w:val="CRMinorChangeDeleted"/>
                <w:noProof/>
              </w:rPr>
              <w:t>2000/76/EG van het Europees Parlement en de Raad van 4 december 2000 betreffende de verbranding van afval</w:t>
            </w:r>
            <w:r>
              <w:rPr>
                <w:rStyle w:val="CRMinorChangeAdded"/>
                <w:noProof/>
              </w:rPr>
              <w:t>2010/75/EU van het Europees Parlement en de Raad inzake industriële emissies (geïntegreerde preventie en bestrijding van verontreiniging)</w:t>
            </w:r>
            <w:r>
              <w:rPr>
                <w:rStyle w:val="FootnoteReference"/>
                <w:noProof/>
              </w:rPr>
              <w:footnoteReference w:id="10"/>
            </w:r>
            <w:r>
              <w:rPr>
                <w:noProof/>
              </w:rPr>
              <w:t xml:space="preserve"> vastgestelde emissiegrenswaarden voor PCDD’s en PCDF’s, ongeacht of deze procedés al dan niet onder die richtlijn vallen en onverminderd de andere toepasselijke bepalingen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Richtlijn</w:t>
            </w:r>
            <w:r>
              <w:rPr>
                <w:noProof/>
                <w:highlight w:val="lightGray"/>
              </w:rPr>
              <w:t> </w:t>
            </w:r>
            <w:r>
              <w:rPr>
                <w:rStyle w:val="CRRefonteDeleted"/>
                <w:noProof/>
                <w:highlight w:val="lightGray"/>
              </w:rPr>
              <w:t>2000/76/EG en de bepalingen van Richtlijn 96/61/EG</w:t>
            </w:r>
            <w:r>
              <w:rPr>
                <w:noProof/>
              </w:rPr>
              <w:t>.</w:t>
            </w:r>
          </w:p>
          <w:p>
            <w:pPr>
              <w:pStyle w:val="NormalLeft"/>
              <w:rPr>
                <w:noProof/>
              </w:rPr>
            </w:pP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rPr>
          <w:noProof/>
        </w:rPr>
      </w:pPr>
    </w:p>
    <w:p>
      <w:pPr>
        <w:rPr>
          <w:noProof/>
        </w:rPr>
      </w:pPr>
      <w:r>
        <w:rPr>
          <w:noProof/>
        </w:rPr>
        <w:t>Voorbehandeling voorafgaand aan vernietiging of onomkeerbare omzetting overeenkomstig dit gedeelte van deze bijlage is toegestaan, mits een in bijlage IV vermelde stof die bij de voorbehandeling van het afval is geïsoleerd, vervolgens overeenkomstig dit gedeelte van deze bijlage wordt verwijderd.</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Wanneer slechts een deel van een product of afvalstof, zoals afgedankte apparatuur, persistente organische verontreinigende stoffen bevat of daarmee is verontreinigd, wordt dit deel van de overige delen gescheiden en vervolgens overeenkomstig de eisen van deze verordening verwijderd.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Bovendien is het opnieuw verpakken en het tijdelijk opslaan voorafgaand aan een dergelijke voorbehandeling of voorafgaand aan vernietiging of onomkeerbare omzetting overeenkomstig dit gedeelte van deze bijlage toegestaan.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172/2007 art. 1 en bijlage </w:t>
      </w:r>
    </w:p>
    <w:p>
      <w:pPr>
        <w:pStyle w:val="ManualHeading1"/>
        <w:ind w:left="851" w:hanging="851"/>
        <w:rPr>
          <w:noProof/>
        </w:rPr>
      </w:pPr>
      <w:r>
        <w:rPr>
          <w:noProof/>
        </w:rPr>
        <w:t>DEEL 2 Afvalstoffen en behandelingen waarop artikel 7, lid 4, onder b), van toepassing is</w:t>
      </w:r>
    </w:p>
    <w:p>
      <w:pPr>
        <w:rPr>
          <w:noProof/>
        </w:rPr>
      </w:pPr>
      <w:r>
        <w:rPr>
          <w:noProof/>
        </w:rPr>
        <w:t>De navolgende handelingen zijn toegestaan voor de doeleinden van artikel 7, lid 4, onder b), met betrekking tot de vermelde afvalstoffen, die worden aangegeven met de zescijferige code overeenkomstig Beschikking 2000/532/EG van de Commissie</w:t>
      </w:r>
      <w:r>
        <w:rPr>
          <w:rStyle w:val="FootnoteReference"/>
          <w:noProof/>
        </w:rPr>
        <w:footnoteReference w:id="11"/>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323/2007 art. 1 en bijlage </w:t>
      </w:r>
    </w:p>
    <w:p>
      <w:pPr>
        <w:rPr>
          <w:noProof/>
        </w:rPr>
      </w:pPr>
      <w:r>
        <w:rPr>
          <w:noProof/>
        </w:rPr>
        <w:t>Voorbehandeling voorafgaand aan permanente opslag overeenkomstig dit gedeelte van deze bijlage is toegestaan, mits een in bijlage IV vermelde stof die bij de voorbehandeling van het afval is geïsoleerd, vervolgens overeenkomstig deel 1 van deze bijlage wordt verwijderd. Bovendien is het opnieuw verpakken en het tijdelijk opslaan voorafgaand aan een dergelijke voorbehandeling of voorafgaand aan permanente opslag overeenkomstig dit gedeelte van deze bijlage toegestaan.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460/2016 art. 1 en bijlage </w:t>
      </w:r>
    </w:p>
    <w:tbl>
      <w:tblPr>
        <w:tblW w:w="0" w:type="auto"/>
        <w:tblLayout w:type="fixed"/>
        <w:tblLook w:val="0000" w:firstRow="0" w:lastRow="0" w:firstColumn="0" w:lastColumn="0" w:noHBand="0" w:noVBand="0"/>
      </w:tblPr>
      <w:tblGrid>
        <w:gridCol w:w="650"/>
        <w:gridCol w:w="1486"/>
        <w:gridCol w:w="4271"/>
        <w:gridCol w:w="2879"/>
      </w:tblGrid>
      <w:tr>
        <w:tc>
          <w:tcPr>
            <w:tcW w:w="213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Afvalstoffen overeenkomstig Beschikking 2000/532/EG van de Commissie</w:t>
            </w:r>
          </w:p>
        </w:tc>
        <w:tc>
          <w:tcPr>
            <w:tcW w:w="427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Maximale concentratiegrenswaarde voor in bijlage IV vermelde stoffen</w:t>
            </w:r>
            <w:r>
              <w:rPr>
                <w:rStyle w:val="FootnoteReference"/>
                <w:noProof/>
              </w:rPr>
              <w:footnoteReference w:id="12"/>
            </w:r>
          </w:p>
        </w:tc>
        <w:tc>
          <w:tcPr>
            <w:tcW w:w="287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Handeling</w:t>
            </w: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THERMISCHE PROCESSEN</w:t>
            </w:r>
          </w:p>
        </w:tc>
        <w:tc>
          <w:tcPr>
            <w:tcW w:w="4271"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Alkanen, C</w:t>
            </w:r>
            <w:r>
              <w:rPr>
                <w:noProof/>
                <w:vertAlign w:val="subscript"/>
              </w:rPr>
              <w:t>10</w:t>
            </w:r>
            <w:r>
              <w:rPr>
                <w:noProof/>
              </w:rPr>
              <w:t>-C</w:t>
            </w:r>
            <w:r>
              <w:rPr>
                <w:noProof/>
                <w:vertAlign w:val="subscript"/>
              </w:rPr>
              <w:t>13</w:t>
            </w:r>
            <w:r>
              <w:rPr>
                <w:noProof/>
              </w:rPr>
              <w:t>, chloor- (gechloreerde paraffinen met een korte keten) (SCCP's): 10 000 mg/kg;</w:t>
            </w:r>
          </w:p>
          <w:p>
            <w:pPr>
              <w:pStyle w:val="NormalLeft"/>
              <w:rPr>
                <w:noProof/>
              </w:rPr>
            </w:pPr>
            <w:r>
              <w:rPr>
                <w:noProof/>
              </w:rPr>
              <w:t>Aldrin: 5 000 mg/kg;</w:t>
            </w:r>
          </w:p>
          <w:p>
            <w:pPr>
              <w:pStyle w:val="NormalLeft"/>
              <w:rPr>
                <w:noProof/>
              </w:rPr>
            </w:pPr>
            <w:r>
              <w:rPr>
                <w:noProof/>
              </w:rPr>
              <w:t>Chloordaan: 5 000 mg/kg;</w:t>
            </w:r>
          </w:p>
          <w:p>
            <w:pPr>
              <w:pStyle w:val="NormalLeft"/>
              <w:rPr>
                <w:noProof/>
              </w:rPr>
            </w:pPr>
            <w:r>
              <w:rPr>
                <w:noProof/>
              </w:rPr>
              <w:t>Chloordecon: 5 000 mg/kg;</w:t>
            </w:r>
          </w:p>
          <w:p>
            <w:pPr>
              <w:pStyle w:val="NormalLeft"/>
              <w:rPr>
                <w:noProof/>
              </w:rPr>
            </w:pPr>
            <w:r>
              <w:rPr>
                <w:noProof/>
              </w:rPr>
              <w:t>DDT (1,1,1-trichloor-2,2-bis(4-chloorfenyl)ethaan): 5 000 mg/kg;</w:t>
            </w:r>
          </w:p>
          <w:p>
            <w:pPr>
              <w:pStyle w:val="NormalLeft"/>
              <w:rPr>
                <w:noProof/>
              </w:rPr>
            </w:pPr>
            <w:r>
              <w:rPr>
                <w:noProof/>
              </w:rPr>
              <w:t>Dieldrin: 5 000 mg/kg;</w:t>
            </w:r>
          </w:p>
          <w:p>
            <w:pPr>
              <w:pStyle w:val="NormalLeft"/>
              <w:rPr>
                <w:noProof/>
              </w:rPr>
            </w:pPr>
            <w:r>
              <w:rPr>
                <w:noProof/>
              </w:rPr>
              <w:t>Endosulfan: 5 000 mg/kg;</w:t>
            </w:r>
          </w:p>
          <w:p>
            <w:pPr>
              <w:pStyle w:val="NormalLeft"/>
              <w:rPr>
                <w:noProof/>
              </w:rPr>
            </w:pPr>
            <w:r>
              <w:rPr>
                <w:noProof/>
              </w:rPr>
              <w:t>Endrin: 5 000 mg/kg;</w:t>
            </w:r>
          </w:p>
          <w:p>
            <w:pPr>
              <w:pStyle w:val="NormalLeft"/>
              <w:rPr>
                <w:noProof/>
              </w:rPr>
            </w:pPr>
            <w:r>
              <w:rPr>
                <w:noProof/>
              </w:rPr>
              <w:t>Heptachloor: 5 000 mg/kg;</w:t>
            </w:r>
          </w:p>
          <w:p>
            <w:pPr>
              <w:pStyle w:val="NormalLeft"/>
              <w:rPr>
                <w:noProof/>
              </w:rPr>
            </w:pPr>
            <w:r>
              <w:rPr>
                <w:noProof/>
              </w:rPr>
              <w:t>Hexabroombifenyl: 5 000 mg/kg;</w:t>
            </w:r>
          </w:p>
          <w:p>
            <w:pPr>
              <w:pStyle w:val="NormalLeft"/>
              <w:rPr>
                <w:noProof/>
              </w:rPr>
            </w:pPr>
            <w:r>
              <w:rPr>
                <w:noProof/>
              </w:rPr>
              <w:t>Hexabroomcyclododecaan</w:t>
            </w:r>
            <w:r>
              <w:rPr>
                <w:rStyle w:val="FootnoteReference"/>
                <w:noProof/>
              </w:rPr>
              <w:footnoteReference w:id="13"/>
            </w:r>
            <w:r>
              <w:rPr>
                <w:noProof/>
              </w:rPr>
              <w:t>: 1 000 mg/kg;</w:t>
            </w:r>
          </w:p>
          <w:p>
            <w:pPr>
              <w:pStyle w:val="NormalLeft"/>
              <w:rPr>
                <w:noProof/>
              </w:rPr>
            </w:pPr>
            <w:r>
              <w:rPr>
                <w:noProof/>
              </w:rPr>
              <w:t>Hexachloorbenzeen: 5 000 mg/kg;</w:t>
            </w:r>
          </w:p>
          <w:p>
            <w:pPr>
              <w:pStyle w:val="NormalLeft"/>
              <w:rPr>
                <w:noProof/>
              </w:rPr>
            </w:pPr>
            <w:r>
              <w:rPr>
                <w:noProof/>
              </w:rPr>
              <w:t>Hexachloorbutadieen: 1 000 mg/kg;</w:t>
            </w:r>
          </w:p>
          <w:p>
            <w:pPr>
              <w:pStyle w:val="NormalLeft"/>
              <w:rPr>
                <w:noProof/>
              </w:rPr>
            </w:pPr>
            <w:r>
              <w:rPr>
                <w:noProof/>
              </w:rPr>
              <w:t>Hexachloorcyclohexanen, inclusief lindaan: 5 000 mg/kg;</w:t>
            </w:r>
          </w:p>
          <w:p>
            <w:pPr>
              <w:pStyle w:val="NormalLeft"/>
              <w:rPr>
                <w:noProof/>
              </w:rPr>
            </w:pPr>
            <w:r>
              <w:rPr>
                <w:noProof/>
              </w:rPr>
              <w:t>Mirex: 5 000 mg/kg;</w:t>
            </w:r>
          </w:p>
          <w:p>
            <w:pPr>
              <w:pStyle w:val="NormalLeft"/>
              <w:rPr>
                <w:noProof/>
              </w:rPr>
            </w:pPr>
            <w:r>
              <w:rPr>
                <w:noProof/>
              </w:rPr>
              <w:t>Pentachloorbenzeen: 5 000 mg/kg;</w:t>
            </w:r>
          </w:p>
          <w:p>
            <w:pPr>
              <w:pStyle w:val="NormalLeft"/>
              <w:rPr>
                <w:noProof/>
              </w:rPr>
            </w:pPr>
            <w:r>
              <w:rPr>
                <w:noProof/>
              </w:rPr>
              <w:t>Perfluoroctaansulfonzuur en derivaten daarvan (PFOS) (C</w:t>
            </w:r>
            <w:r>
              <w:rPr>
                <w:noProof/>
                <w:vertAlign w:val="subscript"/>
              </w:rPr>
              <w:t>8</w:t>
            </w:r>
            <w:r>
              <w:rPr>
                <w:noProof/>
              </w:rPr>
              <w:t>F</w:t>
            </w:r>
            <w:r>
              <w:rPr>
                <w:noProof/>
                <w:vertAlign w:val="subscript"/>
              </w:rPr>
              <w:t>17</w:t>
            </w:r>
            <w:r>
              <w:rPr>
                <w:noProof/>
              </w:rPr>
              <w:t>SO</w:t>
            </w:r>
            <w:r>
              <w:rPr>
                <w:noProof/>
                <w:vertAlign w:val="subscript"/>
              </w:rPr>
              <w:t>2</w:t>
            </w:r>
            <w:r>
              <w:rPr>
                <w:noProof/>
              </w:rPr>
              <w:t>X) (X = OH, metaalzout (O-M</w:t>
            </w:r>
            <w:r>
              <w:rPr>
                <w:noProof/>
                <w:vertAlign w:val="superscript"/>
              </w:rPr>
              <w:t>+</w:t>
            </w:r>
            <w:r>
              <w:rPr>
                <w:noProof/>
              </w:rPr>
              <w:t>), halogenide, amide en andere derivaten inclusief polymeren): 50 mg/kg;</w:t>
            </w:r>
          </w:p>
          <w:p>
            <w:pPr>
              <w:pStyle w:val="NormalLeft"/>
              <w:rPr>
                <w:noProof/>
              </w:rPr>
            </w:pPr>
            <w:r>
              <w:rPr>
                <w:noProof/>
              </w:rPr>
              <w:t>Polychloorbifenylen (pcb's)</w:t>
            </w:r>
            <w:r>
              <w:rPr>
                <w:rStyle w:val="FootnoteReference"/>
                <w:noProof/>
              </w:rPr>
              <w:footnoteReference w:id="14"/>
            </w:r>
            <w:r>
              <w:rPr>
                <w:noProof/>
              </w:rPr>
              <w:t>: 50 mg/kg;</w:t>
            </w:r>
          </w:p>
          <w:p>
            <w:pPr>
              <w:pStyle w:val="NormalLeft"/>
              <w:rPr>
                <w:noProof/>
              </w:rPr>
            </w:pPr>
            <w:r>
              <w:rPr>
                <w:noProof/>
              </w:rPr>
              <w:t>Polychloordibenzo-</w:t>
            </w:r>
            <w:r>
              <w:rPr>
                <w:i/>
                <w:noProof/>
              </w:rPr>
              <w:t>p</w:t>
            </w:r>
            <w:r>
              <w:rPr>
                <w:noProof/>
              </w:rPr>
              <w:t>-dioxinen en polychloordibenzo-furanen: 5 mg/kg;</w:t>
            </w:r>
          </w:p>
          <w:p>
            <w:pPr>
              <w:pStyle w:val="NormalLeft"/>
              <w:rPr>
                <w:noProof/>
              </w:rPr>
            </w:pPr>
            <w:r>
              <w:rPr>
                <w:noProof/>
              </w:rPr>
              <w:t>Polychloornaftalenen (*): 1 000 mg/kg;</w:t>
            </w:r>
          </w:p>
          <w:p>
            <w:pPr>
              <w:pStyle w:val="NormalLeft"/>
              <w:rPr>
                <w:noProof/>
              </w:rPr>
            </w:pPr>
            <w:r>
              <w:rPr>
                <w:noProof/>
              </w:rPr>
              <w:t>Som van de concentraties van tetrabroomdifenylether (C</w:t>
            </w:r>
            <w:r>
              <w:rPr>
                <w:noProof/>
                <w:vertAlign w:val="subscript"/>
              </w:rPr>
              <w:t>12</w:t>
            </w:r>
            <w:r>
              <w:rPr>
                <w:noProof/>
              </w:rPr>
              <w:t>H</w:t>
            </w:r>
            <w:r>
              <w:rPr>
                <w:noProof/>
                <w:vertAlign w:val="subscript"/>
              </w:rPr>
              <w:t>6</w:t>
            </w:r>
            <w:r>
              <w:rPr>
                <w:noProof/>
              </w:rPr>
              <w:t>Br</w:t>
            </w:r>
            <w:r>
              <w:rPr>
                <w:noProof/>
                <w:vertAlign w:val="subscript"/>
              </w:rPr>
              <w:t>6</w:t>
            </w:r>
            <w:r>
              <w:rPr>
                <w:noProof/>
              </w:rPr>
              <w:t>O), pentabroomdifenylether (C</w:t>
            </w:r>
            <w:r>
              <w:rPr>
                <w:noProof/>
                <w:vertAlign w:val="subscript"/>
              </w:rPr>
              <w:t>12</w:t>
            </w:r>
            <w:r>
              <w:rPr>
                <w:noProof/>
              </w:rPr>
              <w:t>H</w:t>
            </w:r>
            <w:r>
              <w:rPr>
                <w:noProof/>
                <w:vertAlign w:val="subscript"/>
              </w:rPr>
              <w:t>5</w:t>
            </w:r>
            <w:r>
              <w:rPr>
                <w:noProof/>
              </w:rPr>
              <w:t>Br</w:t>
            </w:r>
            <w:r>
              <w:rPr>
                <w:noProof/>
                <w:vertAlign w:val="subscript"/>
              </w:rPr>
              <w:t>5</w:t>
            </w:r>
            <w:r>
              <w:rPr>
                <w:noProof/>
              </w:rPr>
              <w:t>O), hexabroomdifenylether (C</w:t>
            </w:r>
            <w:r>
              <w:rPr>
                <w:noProof/>
                <w:vertAlign w:val="subscript"/>
              </w:rPr>
              <w:t>12</w:t>
            </w:r>
            <w:r>
              <w:rPr>
                <w:noProof/>
              </w:rPr>
              <w:t>H</w:t>
            </w:r>
            <w:r>
              <w:rPr>
                <w:noProof/>
                <w:vertAlign w:val="subscript"/>
              </w:rPr>
              <w:t>4</w:t>
            </w:r>
            <w:r>
              <w:rPr>
                <w:noProof/>
              </w:rPr>
              <w:t>Br</w:t>
            </w:r>
            <w:r>
              <w:rPr>
                <w:noProof/>
                <w:vertAlign w:val="subscript"/>
              </w:rPr>
              <w:t>6</w:t>
            </w:r>
            <w:r>
              <w:rPr>
                <w:noProof/>
              </w:rPr>
              <w:t>O) en heptabroomdifenylether (C</w:t>
            </w:r>
            <w:r>
              <w:rPr>
                <w:noProof/>
                <w:vertAlign w:val="subscript"/>
              </w:rPr>
              <w:t>12</w:t>
            </w:r>
            <w:r>
              <w:rPr>
                <w:noProof/>
              </w:rPr>
              <w:t>H</w:t>
            </w:r>
            <w:r>
              <w:rPr>
                <w:noProof/>
                <w:vertAlign w:val="subscript"/>
              </w:rPr>
              <w:t>3</w:t>
            </w:r>
            <w:r>
              <w:rPr>
                <w:noProof/>
              </w:rPr>
              <w:t>Br</w:t>
            </w:r>
            <w:r>
              <w:rPr>
                <w:noProof/>
                <w:vertAlign w:val="subscript"/>
              </w:rPr>
              <w:t>7</w:t>
            </w:r>
            <w:r>
              <w:rPr>
                <w:noProof/>
              </w:rPr>
              <w:t>O): 10 000 mg/kg;</w:t>
            </w:r>
          </w:p>
          <w:p>
            <w:pPr>
              <w:pStyle w:val="NormalLeft"/>
              <w:rPr>
                <w:noProof/>
              </w:rPr>
            </w:pPr>
            <w:r>
              <w:rPr>
                <w:noProof/>
              </w:rPr>
              <w:t>Toxafeen: 5 000 mg/kg.</w:t>
            </w:r>
          </w:p>
        </w:tc>
        <w:tc>
          <w:tcPr>
            <w:tcW w:w="2879"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Permanente opslag wordt uitsluitend toegestaan wanneer aan alle volgende voorwaarden wordt voldaan:</w:t>
            </w:r>
          </w:p>
          <w:p>
            <w:pPr>
              <w:pStyle w:val="Point0"/>
              <w:rPr>
                <w:noProof/>
              </w:rPr>
            </w:pPr>
            <w:r>
              <w:rPr>
                <w:noProof/>
              </w:rPr>
              <w:tab/>
              <w:t>1) de opslag gebeurt in een van de volgende locaties:</w:t>
            </w:r>
          </w:p>
          <w:p>
            <w:pPr>
              <w:pStyle w:val="Tiret1"/>
              <w:numPr>
                <w:ilvl w:val="0"/>
                <w:numId w:val="9"/>
              </w:numPr>
              <w:autoSpaceDE w:val="0"/>
              <w:autoSpaceDN w:val="0"/>
              <w:ind w:left="1418" w:hanging="567"/>
              <w:rPr>
                <w:noProof/>
              </w:rPr>
            </w:pPr>
            <w:r>
              <w:rPr>
                <w:noProof/>
              </w:rPr>
              <w:t>veilige, diepe, ondergrondse, harde rotsformaties;</w:t>
            </w:r>
          </w:p>
          <w:p>
            <w:pPr>
              <w:pStyle w:val="Tiret1"/>
              <w:numPr>
                <w:ilvl w:val="0"/>
                <w:numId w:val="9"/>
              </w:numPr>
              <w:autoSpaceDE w:val="0"/>
              <w:autoSpaceDN w:val="0"/>
              <w:ind w:left="1418" w:hanging="567"/>
              <w:rPr>
                <w:noProof/>
              </w:rPr>
            </w:pPr>
            <w:r>
              <w:rPr>
                <w:noProof/>
              </w:rPr>
              <w:t>zoutkoepels;</w:t>
            </w:r>
          </w:p>
          <w:p>
            <w:pPr>
              <w:pStyle w:val="Tiret1"/>
              <w:numPr>
                <w:ilvl w:val="0"/>
                <w:numId w:val="9"/>
              </w:numPr>
              <w:autoSpaceDE w:val="0"/>
              <w:autoSpaceDN w:val="0"/>
              <w:ind w:left="1418" w:hanging="567"/>
              <w:rPr>
                <w:noProof/>
              </w:rPr>
            </w:pPr>
            <w:r>
              <w:rPr>
                <w:noProof/>
              </w:rPr>
              <w:t>een stortplaats voor gevaarlijke afvalstoffen, mits de afvalstoffen voor zover technisch mogelijk zijn verhard of gedeeltelijk gestabiliseerd, zoals vereist voor de indeling van de afvalstoffen in subhoofdstuk 19 03 van Beschikking 2000/532/EG;</w:t>
            </w:r>
          </w:p>
          <w:p>
            <w:pPr>
              <w:pStyle w:val="Point0"/>
              <w:rPr>
                <w:noProof/>
              </w:rPr>
            </w:pPr>
            <w:r>
              <w:rPr>
                <w:noProof/>
              </w:rPr>
              <w:tab/>
              <w:t>2) de bepalingen van Richtlijn 1999/31/EG van de Raad</w:t>
            </w:r>
            <w:r>
              <w:rPr>
                <w:rStyle w:val="FootnoteReference"/>
                <w:noProof/>
              </w:rPr>
              <w:footnoteReference w:id="15"/>
            </w:r>
            <w:r>
              <w:rPr>
                <w:noProof/>
              </w:rPr>
              <w:t xml:space="preserve"> en Beschikking 2003/33/EG van de Raad</w:t>
            </w:r>
            <w:r>
              <w:rPr>
                <w:rStyle w:val="FootnoteReference"/>
                <w:noProof/>
              </w:rPr>
              <w:footnoteReference w:id="16"/>
            </w:r>
            <w:r>
              <w:rPr>
                <w:noProof/>
              </w:rPr>
              <w:t xml:space="preserve"> zijn in acht genomen;</w:t>
            </w:r>
          </w:p>
          <w:p>
            <w:pPr>
              <w:pStyle w:val="Point0"/>
              <w:rPr>
                <w:noProof/>
              </w:rPr>
            </w:pPr>
            <w:r>
              <w:rPr>
                <w:noProof/>
              </w:rPr>
              <w:tab/>
              <w:t>3) er is aangetoond dat de gekozen handeling uit milieuoogpunt de voorkeur verdient.</w:t>
            </w: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elektriciteitscentrales en andere verbrandingsinstallaties (exclusief 19)</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 14 *</w:t>
            </w:r>
            <w:r>
              <w:rPr>
                <w:rStyle w:val="FootnoteReference"/>
                <w:noProof/>
              </w:rPr>
              <w:footnoteReference w:id="17"/>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Bij bijstoken vrijkomende bodemas, slakken en ketelstof die gevaarlijke stoffen bevatten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 16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Bij bijstoken vrijkomende vliegas die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10 02</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de ijzer- en staalindustrie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02 07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Vast afval van gaszuivering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thermische processen in de aluminiummetallurgie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04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Slakken van primaire productie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08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Zoutslakken van secundaire productie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Black drosses van secundaire productie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19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Rookgasstof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21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Overige deeltjes en stof (inclusief kogelmolenstof) die gevaarlijke stoffen bevatten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29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de behandeling van zoutslakken en black drosses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thermische processen in de loodmetallurgie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Slakken van primaire en secundaire productie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Dross en skimmings van primaire en secundaire productie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04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Rookgasstof</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Overige deeltjes en stof</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Vast afval van gasreiniging</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thermische processen in de zinkmetallurgie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Rookgasstof</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 05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Vast afval van gasreiniging</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thermische processen in de kopermetallurgie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Rookgasstof</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Vast afval van gasreiniging</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thermische processen in de overige non-ferrometallurgie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 08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Zoutslakken van primaire en secundaire productie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 15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Rookgasstof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ijzergieten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09 09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Rookgasstof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NIET ELDERS IN DE LIJST GENOEMD AFVAL</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Ovenpuin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 01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Koolstofhoudend ovenpuin van metallurgische processen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Overig ovenpuin van metallurgische processen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BOUW- EN SLOOPAFVAL (INCLUSIEF AFGEGRAVEN GROND VAN VERONTREINIGDE LOCATIES)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Beton, stenen, tegels en keramische producten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01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Mengsels van beton, stenen, tegels of keramische producten, of afzonderlijke fracties daarvan, die gevaarlijke stoffen bevatten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17 05</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Grond (inclusief afgegraven grond van verontreinigde locaties), stenen en baggerspecie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05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Grond en stenen die gevaarlijke stoffen bevatten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Overig bouw- en sloopafval</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Bouw- en sloopafval dat pcb's bevat met uitzondering van pcb-houdend materieel</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Overig bouw- en sloopafval (met inbegrip van gemengd afval) dat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INSTALLATIES VOOR AFVALBEHEER, OFFSITE WATERZUIVERINGSINSTALLATIES EN DE BEREIDING VAN VOOR MENSELIJKE CONSUMPTIE BESTEMD WATER EN WATER VOOR INDUSTRIEEL GEBRUIK</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Afval van de verbranding of pyrolyse van afval</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07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Vast afval van gasreiniging</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Bodemas en slakken die gevaarlijke stoffen bevatten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Vliegas die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Ketelas die gevaarlijke stoffen bevat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Verglaasd afval en afval van verglazen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Vliegas en ander rookgasreinigingsafval</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Niet-verglaasde vaste fase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bl>
    <w:p>
      <w:pPr>
        <w:rPr>
          <w:noProof/>
        </w:rPr>
      </w:pPr>
    </w:p>
    <w:p>
      <w:pPr>
        <w:rPr>
          <w:noProof/>
        </w:rPr>
      </w:pPr>
      <w:r>
        <w:rPr>
          <w:noProof/>
        </w:rPr>
        <w:t>De maximale concentratiegrenswaarde van polychloordibenzo-</w:t>
      </w:r>
      <w:r>
        <w:rPr>
          <w:i/>
          <w:noProof/>
        </w:rPr>
        <w:t>p</w:t>
      </w:r>
      <w:r>
        <w:rPr>
          <w:noProof/>
        </w:rPr>
        <w:t>-dioxinen en polychloordibenzofuranen (PCDD's en PCDF's) wordt berekend met gebruikmaking van de volgende toxische-equivalentiefactoren (TEF's):</w:t>
      </w:r>
    </w:p>
    <w:tbl>
      <w:tblPr>
        <w:tblW w:w="0" w:type="auto"/>
        <w:tblInd w:w="3064" w:type="dxa"/>
        <w:tblLayout w:type="fixed"/>
        <w:tblLook w:val="0000" w:firstRow="0" w:lastRow="0" w:firstColumn="0" w:lastColumn="0" w:noHBand="0" w:noVBand="0"/>
      </w:tblPr>
      <w:tblGrid>
        <w:gridCol w:w="2178"/>
        <w:gridCol w:w="979"/>
      </w:tblGrid>
      <w:tr>
        <w:tc>
          <w:tcPr>
            <w:tcW w:w="2178"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PCDD</w:t>
            </w:r>
          </w:p>
        </w:tc>
        <w:tc>
          <w:tcPr>
            <w:tcW w:w="97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TEF</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2,3,7,8-TeCDD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1,2,3,7,8-PeCDD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1,2,3,6,7,8-HxCDD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1,2,3,7,8,9-HxCDD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1,2,3,4,6,7,8-HpCDD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0,0003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TEF</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2,3,7,8-TeCDF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1,2,3,7,8-PeCDF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2,3,4,7,8-PeCDF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1,2,3,6,7,8-HxCDF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1,2,3,7,8,9-HxCDF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2,3,4,6,7,8-HxCDF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1,2,3,4,6,7,8-HpCDF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1,2,3,4,7,8,9-HpCDF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0,0003</w:t>
            </w:r>
          </w:p>
        </w:tc>
      </w:tr>
    </w:tbl>
    <w:p>
      <w:pPr>
        <w:jc w:val="center"/>
        <w:rPr>
          <w:noProof/>
        </w:rPr>
        <w:sectPr>
          <w:pgSz w:w="11907" w:h="16839"/>
          <w:pgMar w:top="1134" w:right="1418" w:bottom="1134" w:left="1418" w:header="709" w:footer="709" w:gutter="0"/>
          <w:cols w:space="708"/>
          <w:docGrid w:linePitch="360"/>
        </w:sectPr>
      </w:pPr>
    </w:p>
    <w:p>
      <w:pPr>
        <w:pStyle w:val="CRSeparator"/>
        <w:rPr>
          <w:rFonts w:eastAsia="Times New Roman"/>
          <w:noProof/>
        </w:rPr>
      </w:pPr>
    </w:p>
    <w:p>
      <w:pPr>
        <w:pStyle w:val="CRReference"/>
        <w:rPr>
          <w:noProof/>
        </w:rPr>
      </w:pPr>
      <w:r>
        <w:rPr>
          <w:noProof/>
        </w:rPr>
        <w:fldChar w:fldCharType="begin"/>
      </w:r>
      <w:r>
        <w:rPr>
          <w:noProof/>
        </w:rPr>
        <w:instrText xml:space="preserve"> QUOTE "</w:instrText>
      </w:r>
      <w:r>
        <w:rPr>
          <w:rStyle w:val="CRMarker"/>
          <w:noProof/>
        </w:rPr>
        <w:instrText>é</w:instrText>
      </w:r>
      <w:r>
        <w:rPr>
          <w:noProof/>
        </w:rPr>
        <w:instrText xml:space="preserve">" </w:instrText>
      </w:r>
      <w:r>
        <w:rPr>
          <w:noProof/>
        </w:rPr>
        <w:fldChar w:fldCharType="separate"/>
      </w:r>
      <w:r>
        <w:rPr>
          <w:rStyle w:val="CRMarker"/>
          <w:noProof/>
        </w:rPr>
        <w:t>é</w:t>
      </w:r>
      <w:r>
        <w:rPr>
          <w:noProof/>
        </w:rPr>
        <w:fldChar w:fldCharType="end"/>
      </w:r>
    </w:p>
    <w:p>
      <w:pPr>
        <w:pStyle w:val="Annexetitre"/>
        <w:rPr>
          <w:noProof/>
        </w:rPr>
      </w:pPr>
      <w:r>
        <w:rPr>
          <w:noProof/>
        </w:rPr>
        <w:t>BIJLAGE VI</w:t>
      </w:r>
    </w:p>
    <w:p>
      <w:pPr>
        <w:jc w:val="center"/>
        <w:rPr>
          <w:b/>
          <w:noProof/>
          <w:szCs w:val="24"/>
        </w:rPr>
      </w:pPr>
      <w:bookmarkStart w:id="1" w:name="_CopyToNewDocument_"/>
      <w:bookmarkEnd w:id="1"/>
      <w:r>
        <w:rPr>
          <w:b/>
          <w:noProof/>
          <w:szCs w:val="24"/>
        </w:rPr>
        <w:t>Ingetrokken verordening en lijst van de opeenvolgende wijzigingen ervan</w:t>
      </w:r>
    </w:p>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3428"/>
      </w:tblGrid>
      <w:tr>
        <w:trPr>
          <w:cantSplit/>
        </w:trPr>
        <w:tc>
          <w:tcPr>
            <w:tcW w:w="5572" w:type="dxa"/>
          </w:tcPr>
          <w:p>
            <w:pPr>
              <w:jc w:val="left"/>
              <w:rPr>
                <w:rStyle w:val="Strong"/>
                <w:noProof/>
                <w:color w:val="444444"/>
                <w:szCs w:val="24"/>
              </w:rPr>
            </w:pPr>
            <w:r>
              <w:rPr>
                <w:rStyle w:val="Strong"/>
                <w:noProof/>
                <w:color w:val="444444"/>
                <w:szCs w:val="24"/>
              </w:rPr>
              <w:t>Verordening (EG) nr. 850/2004 van het Europees Parlement en de Raad</w:t>
            </w:r>
            <w:r>
              <w:rPr>
                <w:noProof/>
              </w:rPr>
              <w:br/>
              <w:t>(</w:t>
            </w:r>
            <w:r>
              <w:rPr>
                <w:iCs/>
                <w:noProof/>
                <w:color w:val="444444"/>
                <w:szCs w:val="24"/>
              </w:rPr>
              <w:t>PB L 158 van 30.4.2004, blz. 7</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(EG) nr. 1195/2006 van de Raad</w:t>
            </w:r>
            <w:r>
              <w:rPr>
                <w:noProof/>
              </w:rPr>
              <w:br/>
              <w:t>(</w:t>
            </w:r>
            <w:r>
              <w:rPr>
                <w:iCs/>
                <w:noProof/>
                <w:color w:val="444444"/>
                <w:szCs w:val="24"/>
              </w:rPr>
              <w:t>PB L 217 van 8.8.2006, blz. 1</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(EG) nr. 172/2007 van de Raad</w:t>
            </w:r>
            <w:r>
              <w:rPr>
                <w:noProof/>
              </w:rPr>
              <w:br/>
              <w:t>(</w:t>
            </w:r>
            <w:r>
              <w:rPr>
                <w:iCs/>
                <w:noProof/>
                <w:color w:val="444444"/>
                <w:szCs w:val="24"/>
              </w:rPr>
              <w:t>PB L 55 van 23.2.2007, blz. 1</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(EG) nr. 323/2007 van de Commissie</w:t>
            </w:r>
            <w:r>
              <w:rPr>
                <w:noProof/>
              </w:rPr>
              <w:br/>
              <w:t>(</w:t>
            </w:r>
            <w:r>
              <w:rPr>
                <w:iCs/>
                <w:noProof/>
                <w:color w:val="444444"/>
                <w:szCs w:val="24"/>
              </w:rPr>
              <w:t>PB L 85 van 27.3.2007, blz. 3</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(EG) nr. 219/2009 van het Europees Parlement en de Raad</w:t>
            </w:r>
            <w:r>
              <w:rPr>
                <w:noProof/>
              </w:rPr>
              <w:br/>
              <w:t>(</w:t>
            </w:r>
            <w:r>
              <w:rPr>
                <w:iCs/>
                <w:noProof/>
                <w:color w:val="444444"/>
                <w:szCs w:val="24"/>
              </w:rPr>
              <w:t>PB L 87 van 31.3.2009, blz. 109</w:t>
            </w:r>
            <w:r>
              <w:rPr>
                <w:noProof/>
              </w:rPr>
              <w:t>)</w:t>
            </w:r>
          </w:p>
        </w:tc>
        <w:tc>
          <w:tcPr>
            <w:tcW w:w="3428" w:type="dxa"/>
          </w:tcPr>
          <w:p>
            <w:pPr>
              <w:jc w:val="left"/>
              <w:rPr>
                <w:noProof/>
                <w:szCs w:val="24"/>
              </w:rPr>
            </w:pPr>
            <w:r>
              <w:rPr>
                <w:noProof/>
              </w:rPr>
              <w:t>Alleen punt 3.7 van de bijlage</w:t>
            </w:r>
          </w:p>
        </w:tc>
      </w:tr>
      <w:tr>
        <w:trPr>
          <w:cantSplit/>
        </w:trPr>
        <w:tc>
          <w:tcPr>
            <w:tcW w:w="5572" w:type="dxa"/>
          </w:tcPr>
          <w:p>
            <w:pPr>
              <w:jc w:val="left"/>
              <w:rPr>
                <w:rFonts w:eastAsia="Times New Roman"/>
                <w:bCs/>
                <w:noProof/>
                <w:szCs w:val="24"/>
              </w:rPr>
            </w:pPr>
            <w:r>
              <w:rPr>
                <w:rStyle w:val="Strong"/>
                <w:noProof/>
                <w:color w:val="444444"/>
                <w:szCs w:val="24"/>
              </w:rPr>
              <w:t>Verordening (EG) nr. 304/2009 van de Commissie</w:t>
            </w:r>
            <w:r>
              <w:rPr>
                <w:noProof/>
              </w:rPr>
              <w:br/>
              <w:t>(</w:t>
            </w:r>
            <w:r>
              <w:rPr>
                <w:iCs/>
                <w:noProof/>
                <w:color w:val="444444"/>
                <w:szCs w:val="24"/>
              </w:rPr>
              <w:t>PB L 96 van 15.4.2009, blz. 33</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Verordening (EU) nr. 756/2010 van de Commissie</w:t>
            </w:r>
            <w:r>
              <w:rPr>
                <w:noProof/>
              </w:rPr>
              <w:br/>
              <w:t>(</w:t>
            </w:r>
            <w:r>
              <w:rPr>
                <w:iCs/>
                <w:noProof/>
                <w:color w:val="444444"/>
                <w:szCs w:val="24"/>
              </w:rPr>
              <w:t>PB L 223 van 25.8.2010, blz. 20</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Verordening (EU) nr. 757/2010 van de Commissie</w:t>
            </w:r>
            <w:r>
              <w:rPr>
                <w:noProof/>
              </w:rPr>
              <w:br/>
              <w:t>(</w:t>
            </w:r>
            <w:r>
              <w:rPr>
                <w:iCs/>
                <w:noProof/>
                <w:color w:val="444444"/>
                <w:szCs w:val="24"/>
              </w:rPr>
              <w:t>PB L 223 van 25.8.2010, blz. 29</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Verordening (EU) nr. 519/2012 van de Commissie</w:t>
            </w:r>
            <w:r>
              <w:rPr>
                <w:noProof/>
              </w:rPr>
              <w:br/>
              <w:t>(</w:t>
            </w:r>
            <w:r>
              <w:rPr>
                <w:iCs/>
                <w:noProof/>
                <w:color w:val="444444"/>
                <w:szCs w:val="24"/>
              </w:rPr>
              <w:t>PB L 159 van 20.6.2012, blz. 1</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Verordening (EU) nr. 1342/2014 van de Commissie</w:t>
            </w:r>
            <w:r>
              <w:rPr>
                <w:noProof/>
              </w:rPr>
              <w:br/>
              <w:t>(</w:t>
            </w:r>
            <w:r>
              <w:rPr>
                <w:iCs/>
                <w:noProof/>
                <w:color w:val="444444"/>
                <w:szCs w:val="24"/>
              </w:rPr>
              <w:t>PB L 363 van 18.12.2014, blz. 67</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(EU) 2015/2030 van de Commissie</w:t>
            </w:r>
            <w:r>
              <w:rPr>
                <w:noProof/>
              </w:rPr>
              <w:br/>
              <w:t>(</w:t>
            </w:r>
            <w:r>
              <w:rPr>
                <w:iCs/>
                <w:noProof/>
                <w:color w:val="444444"/>
                <w:szCs w:val="24"/>
              </w:rPr>
              <w:t>PB L 298 van 14.11.2015, blz. 1</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(EU) 2016/293 van de Commissie</w:t>
            </w:r>
            <w:r>
              <w:rPr>
                <w:noProof/>
              </w:rPr>
              <w:br/>
              <w:t>(</w:t>
            </w:r>
            <w:r>
              <w:rPr>
                <w:iCs/>
                <w:noProof/>
                <w:color w:val="444444"/>
                <w:szCs w:val="24"/>
              </w:rPr>
              <w:t>PB L 55 van 2.3.2016, blz. 4</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Verordening (EU) 2016/460 van de Commissie</w:t>
            </w:r>
            <w:r>
              <w:rPr>
                <w:noProof/>
              </w:rPr>
              <w:br/>
              <w:t>(</w:t>
            </w:r>
            <w:r>
              <w:rPr>
                <w:iCs/>
                <w:noProof/>
                <w:color w:val="444444"/>
                <w:szCs w:val="24"/>
              </w:rPr>
              <w:t>PB L 80 van 31.3.2016, blz. 17</w:t>
            </w:r>
            <w:r>
              <w:rPr>
                <w:noProof/>
              </w:rPr>
              <w:t>)</w:t>
            </w:r>
          </w:p>
        </w:tc>
        <w:tc>
          <w:tcPr>
            <w:tcW w:w="3428" w:type="dxa"/>
          </w:tcPr>
          <w:p>
            <w:pPr>
              <w:jc w:val="left"/>
              <w:rPr>
                <w:noProof/>
                <w:szCs w:val="24"/>
                <w:lang w:eastAsia="en-GB"/>
              </w:rPr>
            </w:pPr>
          </w:p>
        </w:tc>
      </w:tr>
    </w:tbl>
    <w:p>
      <w:pPr>
        <w:jc w:val="center"/>
        <w:rPr>
          <w:noProof/>
          <w:szCs w:val="24"/>
        </w:rPr>
      </w:pPr>
      <w:r>
        <w:rPr>
          <w:noProof/>
        </w:rPr>
        <w:t>_____________</w:t>
      </w:r>
    </w:p>
    <w:p>
      <w:pPr>
        <w:rPr>
          <w:noProof/>
          <w:szCs w:val="24"/>
          <w:lang w:eastAsia="en-GB"/>
        </w:rPr>
        <w:sectPr>
          <w:pgSz w:w="11907" w:h="16839"/>
          <w:pgMar w:top="1134" w:right="1418" w:bottom="1134" w:left="1418" w:header="709" w:footer="709" w:gutter="0"/>
          <w:cols w:space="708"/>
          <w:docGrid w:linePitch="360"/>
        </w:sectPr>
      </w:pPr>
    </w:p>
    <w:p>
      <w:pPr>
        <w:pStyle w:val="Annexetitre"/>
        <w:rPr>
          <w:noProof/>
        </w:rPr>
      </w:pPr>
      <w:r>
        <w:rPr>
          <w:noProof/>
        </w:rPr>
        <w:t>BIJLAGE VII</w:t>
      </w:r>
    </w:p>
    <w:p>
      <w:pPr>
        <w:keepNext/>
        <w:spacing w:before="360"/>
        <w:jc w:val="center"/>
        <w:outlineLvl w:val="0"/>
        <w:rPr>
          <w:b/>
          <w:smallCaps/>
          <w:noProof/>
          <w:szCs w:val="24"/>
        </w:rPr>
      </w:pPr>
      <w:r>
        <w:rPr>
          <w:b/>
          <w:smallCaps/>
          <w:noProof/>
          <w:szCs w:val="24"/>
        </w:rPr>
        <w:t>Concordantietabel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Pr>
          <w:p>
            <w:pPr>
              <w:jc w:val="center"/>
              <w:rPr>
                <w:b/>
                <w:noProof/>
                <w:szCs w:val="24"/>
              </w:rPr>
            </w:pPr>
            <w:r>
              <w:rPr>
                <w:b/>
                <w:noProof/>
                <w:szCs w:val="24"/>
              </w:rPr>
              <w:t>Verordening (EG) nr. 850/2004</w:t>
            </w:r>
          </w:p>
        </w:tc>
        <w:tc>
          <w:tcPr>
            <w:tcW w:w="4674" w:type="dxa"/>
          </w:tcPr>
          <w:p>
            <w:pPr>
              <w:jc w:val="center"/>
              <w:rPr>
                <w:b/>
                <w:noProof/>
                <w:szCs w:val="24"/>
              </w:rPr>
            </w:pPr>
            <w:r>
              <w:rPr>
                <w:b/>
                <w:noProof/>
                <w:szCs w:val="24"/>
              </w:rPr>
              <w:t>Deze verordening</w:t>
            </w:r>
          </w:p>
        </w:tc>
      </w:tr>
      <w:tr>
        <w:tc>
          <w:tcPr>
            <w:tcW w:w="4674" w:type="dxa"/>
          </w:tcPr>
          <w:p>
            <w:pPr>
              <w:jc w:val="left"/>
              <w:rPr>
                <w:noProof/>
                <w:szCs w:val="24"/>
              </w:rPr>
            </w:pPr>
            <w:r>
              <w:rPr>
                <w:noProof/>
              </w:rPr>
              <w:t>Artikel 1, lid 1</w:t>
            </w:r>
          </w:p>
        </w:tc>
        <w:tc>
          <w:tcPr>
            <w:tcW w:w="4674" w:type="dxa"/>
          </w:tcPr>
          <w:p>
            <w:pPr>
              <w:jc w:val="left"/>
              <w:rPr>
                <w:noProof/>
                <w:szCs w:val="24"/>
              </w:rPr>
            </w:pPr>
            <w:r>
              <w:rPr>
                <w:noProof/>
              </w:rPr>
              <w:t>Artikel 1</w:t>
            </w:r>
          </w:p>
        </w:tc>
      </w:tr>
      <w:tr>
        <w:tc>
          <w:tcPr>
            <w:tcW w:w="4674" w:type="dxa"/>
          </w:tcPr>
          <w:p>
            <w:pPr>
              <w:jc w:val="left"/>
              <w:rPr>
                <w:noProof/>
                <w:szCs w:val="24"/>
              </w:rPr>
            </w:pPr>
            <w:r>
              <w:rPr>
                <w:noProof/>
              </w:rPr>
              <w:t>Artikel 2, inleidende paragraaf</w:t>
            </w:r>
          </w:p>
        </w:tc>
        <w:tc>
          <w:tcPr>
            <w:tcW w:w="4674" w:type="dxa"/>
          </w:tcPr>
          <w:p>
            <w:pPr>
              <w:jc w:val="left"/>
              <w:rPr>
                <w:noProof/>
                <w:szCs w:val="24"/>
              </w:rPr>
            </w:pPr>
            <w:r>
              <w:rPr>
                <w:noProof/>
              </w:rPr>
              <w:t>Artikel 2, inleidende paragraaf</w:t>
            </w:r>
          </w:p>
        </w:tc>
      </w:tr>
      <w:tr>
        <w:tc>
          <w:tcPr>
            <w:tcW w:w="4674" w:type="dxa"/>
          </w:tcPr>
          <w:p>
            <w:pPr>
              <w:jc w:val="left"/>
              <w:rPr>
                <w:noProof/>
                <w:szCs w:val="24"/>
              </w:rPr>
            </w:pPr>
            <w:r>
              <w:rPr>
                <w:noProof/>
              </w:rPr>
              <w:t>Artikel 2, onder a) tot en met d)</w:t>
            </w:r>
          </w:p>
        </w:tc>
        <w:tc>
          <w:tcPr>
            <w:tcW w:w="4674" w:type="dxa"/>
          </w:tcPr>
          <w:p>
            <w:pPr>
              <w:jc w:val="left"/>
              <w:rPr>
                <w:noProof/>
                <w:szCs w:val="24"/>
              </w:rPr>
            </w:pPr>
            <w:r>
              <w:rPr>
                <w:noProof/>
              </w:rPr>
              <w:t>Artikel 2, onder a) tot en met d)</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2, onder e) en f)</w:t>
            </w:r>
          </w:p>
        </w:tc>
      </w:tr>
      <w:tr>
        <w:tc>
          <w:tcPr>
            <w:tcW w:w="4674" w:type="dxa"/>
          </w:tcPr>
          <w:p>
            <w:pPr>
              <w:jc w:val="left"/>
              <w:rPr>
                <w:noProof/>
                <w:szCs w:val="24"/>
              </w:rPr>
            </w:pPr>
            <w:r>
              <w:rPr>
                <w:noProof/>
              </w:rPr>
              <w:t>Artikel 2, onder e)</w:t>
            </w:r>
          </w:p>
        </w:tc>
        <w:tc>
          <w:tcPr>
            <w:tcW w:w="4674" w:type="dxa"/>
          </w:tcPr>
          <w:p>
            <w:pPr>
              <w:jc w:val="left"/>
              <w:rPr>
                <w:noProof/>
                <w:szCs w:val="24"/>
              </w:rPr>
            </w:pPr>
            <w:r>
              <w:rPr>
                <w:noProof/>
              </w:rPr>
              <w:t>Artikel 2, onder g)</w:t>
            </w:r>
          </w:p>
        </w:tc>
      </w:tr>
      <w:tr>
        <w:tc>
          <w:tcPr>
            <w:tcW w:w="4674" w:type="dxa"/>
          </w:tcPr>
          <w:p>
            <w:pPr>
              <w:jc w:val="left"/>
              <w:rPr>
                <w:noProof/>
                <w:szCs w:val="24"/>
              </w:rPr>
            </w:pPr>
            <w:r>
              <w:rPr>
                <w:noProof/>
              </w:rPr>
              <w:t>Artikel 2, onder f)</w:t>
            </w:r>
          </w:p>
        </w:tc>
        <w:tc>
          <w:tcPr>
            <w:tcW w:w="4674" w:type="dxa"/>
          </w:tcPr>
          <w:p>
            <w:pPr>
              <w:jc w:val="left"/>
              <w:rPr>
                <w:noProof/>
                <w:szCs w:val="24"/>
              </w:rPr>
            </w:pPr>
            <w:r>
              <w:rPr>
                <w:noProof/>
              </w:rPr>
              <w:t>Artikel 2, onder h)</w:t>
            </w:r>
          </w:p>
        </w:tc>
      </w:tr>
      <w:tr>
        <w:tc>
          <w:tcPr>
            <w:tcW w:w="4674" w:type="dxa"/>
          </w:tcPr>
          <w:p>
            <w:pPr>
              <w:jc w:val="left"/>
              <w:rPr>
                <w:noProof/>
                <w:szCs w:val="24"/>
              </w:rPr>
            </w:pPr>
            <w:r>
              <w:rPr>
                <w:noProof/>
              </w:rPr>
              <w:t>Artikel 2, onder g)</w:t>
            </w:r>
          </w:p>
        </w:tc>
        <w:tc>
          <w:tcPr>
            <w:tcW w:w="4674" w:type="dxa"/>
          </w:tcPr>
          <w:p>
            <w:pPr>
              <w:jc w:val="left"/>
              <w:rPr>
                <w:noProof/>
                <w:szCs w:val="24"/>
              </w:rPr>
            </w:pPr>
            <w:r>
              <w:rPr>
                <w:noProof/>
              </w:rPr>
              <w:t>Artikel 2, onder i)</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2, onder j)</w:t>
            </w:r>
          </w:p>
        </w:tc>
      </w:tr>
      <w:tr>
        <w:tc>
          <w:tcPr>
            <w:tcW w:w="4674" w:type="dxa"/>
          </w:tcPr>
          <w:p>
            <w:pPr>
              <w:jc w:val="left"/>
              <w:rPr>
                <w:noProof/>
                <w:szCs w:val="24"/>
              </w:rPr>
            </w:pPr>
            <w:r>
              <w:rPr>
                <w:noProof/>
              </w:rPr>
              <w:t>Artikel 3</w:t>
            </w:r>
          </w:p>
        </w:tc>
        <w:tc>
          <w:tcPr>
            <w:tcW w:w="4674" w:type="dxa"/>
          </w:tcPr>
          <w:p>
            <w:pPr>
              <w:jc w:val="left"/>
              <w:rPr>
                <w:noProof/>
                <w:szCs w:val="24"/>
              </w:rPr>
            </w:pPr>
            <w:r>
              <w:rPr>
                <w:noProof/>
              </w:rPr>
              <w:t>Artikel 3</w:t>
            </w:r>
          </w:p>
        </w:tc>
      </w:tr>
      <w:tr>
        <w:tc>
          <w:tcPr>
            <w:tcW w:w="4674" w:type="dxa"/>
          </w:tcPr>
          <w:p>
            <w:pPr>
              <w:jc w:val="left"/>
              <w:rPr>
                <w:noProof/>
                <w:szCs w:val="24"/>
              </w:rPr>
            </w:pPr>
            <w:r>
              <w:rPr>
                <w:noProof/>
              </w:rPr>
              <w:t>Artikel 4, lid 1, onder a)</w:t>
            </w:r>
          </w:p>
        </w:tc>
        <w:tc>
          <w:tcPr>
            <w:tcW w:w="4674" w:type="dxa"/>
          </w:tcPr>
          <w:p>
            <w:pPr>
              <w:jc w:val="left"/>
              <w:rPr>
                <w:noProof/>
                <w:szCs w:val="24"/>
              </w:rPr>
            </w:pPr>
            <w:r>
              <w:rPr>
                <w:noProof/>
              </w:rPr>
              <w:t>Artikel 4, lid 1, onder a)</w:t>
            </w:r>
          </w:p>
        </w:tc>
      </w:tr>
      <w:tr>
        <w:tc>
          <w:tcPr>
            <w:tcW w:w="4674" w:type="dxa"/>
          </w:tcPr>
          <w:p>
            <w:pPr>
              <w:jc w:val="left"/>
              <w:rPr>
                <w:noProof/>
                <w:szCs w:val="24"/>
              </w:rPr>
            </w:pPr>
            <w:r>
              <w:rPr>
                <w:noProof/>
              </w:rPr>
              <w:t>Artikel 4, lid 1, onder b)</w:t>
            </w:r>
          </w:p>
        </w:tc>
        <w:tc>
          <w:tcPr>
            <w:tcW w:w="4674" w:type="dxa"/>
          </w:tcPr>
          <w:p>
            <w:pPr>
              <w:jc w:val="left"/>
              <w:rPr>
                <w:noProof/>
                <w:szCs w:val="24"/>
              </w:rPr>
            </w:pPr>
            <w:r>
              <w:rPr>
                <w:noProof/>
              </w:rPr>
              <w:t>Artikel 4, lid 1, onder b)</w:t>
            </w:r>
          </w:p>
        </w:tc>
      </w:tr>
      <w:tr>
        <w:tc>
          <w:tcPr>
            <w:tcW w:w="4674" w:type="dxa"/>
          </w:tcPr>
          <w:p>
            <w:pPr>
              <w:jc w:val="left"/>
              <w:rPr>
                <w:noProof/>
                <w:szCs w:val="24"/>
              </w:rPr>
            </w:pPr>
            <w:r>
              <w:rPr>
                <w:noProof/>
              </w:rPr>
              <w:t>Artikel 1, lid 2</w:t>
            </w:r>
          </w:p>
        </w:tc>
        <w:tc>
          <w:tcPr>
            <w:tcW w:w="4674" w:type="dxa"/>
          </w:tcPr>
          <w:p>
            <w:pPr>
              <w:jc w:val="left"/>
              <w:rPr>
                <w:noProof/>
                <w:szCs w:val="24"/>
              </w:rPr>
            </w:pPr>
            <w:r>
              <w:rPr>
                <w:noProof/>
              </w:rPr>
              <w:t>Artikel 4, lid 1, onder c)</w:t>
            </w:r>
          </w:p>
        </w:tc>
      </w:tr>
      <w:tr>
        <w:tc>
          <w:tcPr>
            <w:tcW w:w="4674" w:type="dxa"/>
          </w:tcPr>
          <w:p>
            <w:pPr>
              <w:jc w:val="left"/>
              <w:rPr>
                <w:noProof/>
                <w:szCs w:val="24"/>
              </w:rPr>
            </w:pPr>
            <w:r>
              <w:rPr>
                <w:noProof/>
              </w:rPr>
              <w:t>Artikel 4, lid 2</w:t>
            </w:r>
          </w:p>
        </w:tc>
        <w:tc>
          <w:tcPr>
            <w:tcW w:w="4674" w:type="dxa"/>
          </w:tcPr>
          <w:p>
            <w:pPr>
              <w:jc w:val="left"/>
              <w:rPr>
                <w:noProof/>
                <w:szCs w:val="24"/>
              </w:rPr>
            </w:pPr>
            <w:r>
              <w:rPr>
                <w:noProof/>
              </w:rPr>
              <w:t>Artikel 4, lid 2</w:t>
            </w:r>
          </w:p>
        </w:tc>
      </w:tr>
      <w:tr>
        <w:tc>
          <w:tcPr>
            <w:tcW w:w="4674" w:type="dxa"/>
          </w:tcPr>
          <w:p>
            <w:pPr>
              <w:jc w:val="left"/>
              <w:rPr>
                <w:noProof/>
                <w:szCs w:val="24"/>
              </w:rPr>
            </w:pPr>
            <w:r>
              <w:rPr>
                <w:noProof/>
              </w:rPr>
              <w:t>Artikel 4, lid 3, onder a)</w:t>
            </w:r>
          </w:p>
        </w:tc>
        <w:tc>
          <w:tcPr>
            <w:tcW w:w="4674" w:type="dxa"/>
          </w:tcPr>
          <w:p>
            <w:pPr>
              <w:jc w:val="left"/>
              <w:rPr>
                <w:noProof/>
                <w:szCs w:val="24"/>
              </w:rPr>
            </w:pPr>
            <w:r>
              <w:rPr>
                <w:noProof/>
              </w:rPr>
              <w:t>Artikel 4, lid 3, onder a)</w:t>
            </w:r>
          </w:p>
        </w:tc>
      </w:tr>
      <w:tr>
        <w:tc>
          <w:tcPr>
            <w:tcW w:w="4674" w:type="dxa"/>
          </w:tcPr>
          <w:p>
            <w:pPr>
              <w:jc w:val="left"/>
              <w:rPr>
                <w:noProof/>
                <w:szCs w:val="24"/>
              </w:rPr>
            </w:pPr>
            <w:r>
              <w:rPr>
                <w:noProof/>
              </w:rPr>
              <w:t>Artikel 4, lid 3, onder b)</w:t>
            </w:r>
          </w:p>
        </w:tc>
        <w:tc>
          <w:tcPr>
            <w:tcW w:w="4674" w:type="dxa"/>
          </w:tcPr>
          <w:p>
            <w:pPr>
              <w:jc w:val="left"/>
              <w:rPr>
                <w:noProof/>
                <w:szCs w:val="24"/>
              </w:rPr>
            </w:pPr>
            <w:r>
              <w:rPr>
                <w:noProof/>
              </w:rPr>
              <w:t>Artikel 4, lid 3, onder b)</w:t>
            </w:r>
          </w:p>
        </w:tc>
      </w:tr>
      <w:tr>
        <w:tc>
          <w:tcPr>
            <w:tcW w:w="4674" w:type="dxa"/>
          </w:tcPr>
          <w:p>
            <w:pPr>
              <w:jc w:val="left"/>
              <w:rPr>
                <w:noProof/>
                <w:szCs w:val="24"/>
              </w:rPr>
            </w:pPr>
            <w:r>
              <w:rPr>
                <w:noProof/>
              </w:rPr>
              <w:t>_</w:t>
            </w:r>
          </w:p>
        </w:tc>
        <w:tc>
          <w:tcPr>
            <w:tcW w:w="4674" w:type="dxa"/>
          </w:tcPr>
          <w:p>
            <w:pPr>
              <w:jc w:val="left"/>
              <w:rPr>
                <w:noProof/>
                <w:szCs w:val="24"/>
              </w:rPr>
            </w:pPr>
            <w:r>
              <w:rPr>
                <w:noProof/>
              </w:rPr>
              <w:t xml:space="preserve">Artikel 4, lid 3, onder c) </w:t>
            </w:r>
          </w:p>
        </w:tc>
      </w:tr>
      <w:tr>
        <w:tc>
          <w:tcPr>
            <w:tcW w:w="4674" w:type="dxa"/>
          </w:tcPr>
          <w:p>
            <w:pPr>
              <w:jc w:val="left"/>
              <w:rPr>
                <w:noProof/>
                <w:szCs w:val="24"/>
              </w:rPr>
            </w:pPr>
            <w:r>
              <w:rPr>
                <w:noProof/>
              </w:rPr>
              <w:t>Artikel 1, lid 2</w:t>
            </w:r>
          </w:p>
        </w:tc>
        <w:tc>
          <w:tcPr>
            <w:tcW w:w="4674" w:type="dxa"/>
          </w:tcPr>
          <w:p>
            <w:pPr>
              <w:jc w:val="left"/>
              <w:rPr>
                <w:noProof/>
                <w:szCs w:val="24"/>
              </w:rPr>
            </w:pPr>
            <w:r>
              <w:rPr>
                <w:noProof/>
              </w:rPr>
              <w:t>Artikel 4, lid 4</w:t>
            </w:r>
          </w:p>
        </w:tc>
      </w:tr>
      <w:tr>
        <w:tc>
          <w:tcPr>
            <w:tcW w:w="4674" w:type="dxa"/>
          </w:tcPr>
          <w:p>
            <w:pPr>
              <w:jc w:val="left"/>
              <w:rPr>
                <w:noProof/>
                <w:szCs w:val="24"/>
              </w:rPr>
            </w:pPr>
            <w:r>
              <w:rPr>
                <w:noProof/>
              </w:rPr>
              <w:t>Artikel 5</w:t>
            </w:r>
          </w:p>
        </w:tc>
        <w:tc>
          <w:tcPr>
            <w:tcW w:w="4674" w:type="dxa"/>
          </w:tcPr>
          <w:p>
            <w:pPr>
              <w:jc w:val="left"/>
              <w:rPr>
                <w:noProof/>
                <w:szCs w:val="24"/>
              </w:rPr>
            </w:pPr>
            <w:r>
              <w:rPr>
                <w:noProof/>
              </w:rPr>
              <w:t>Artikel 5</w:t>
            </w:r>
          </w:p>
        </w:tc>
      </w:tr>
      <w:tr>
        <w:tc>
          <w:tcPr>
            <w:tcW w:w="4674" w:type="dxa"/>
          </w:tcPr>
          <w:p>
            <w:pPr>
              <w:jc w:val="left"/>
              <w:rPr>
                <w:noProof/>
                <w:szCs w:val="24"/>
              </w:rPr>
            </w:pPr>
            <w:r>
              <w:rPr>
                <w:noProof/>
              </w:rPr>
              <w:t>Artikel 6</w:t>
            </w:r>
          </w:p>
        </w:tc>
        <w:tc>
          <w:tcPr>
            <w:tcW w:w="4674" w:type="dxa"/>
          </w:tcPr>
          <w:p>
            <w:pPr>
              <w:jc w:val="left"/>
              <w:rPr>
                <w:noProof/>
                <w:szCs w:val="24"/>
              </w:rPr>
            </w:pPr>
            <w:r>
              <w:rPr>
                <w:noProof/>
              </w:rPr>
              <w:t>Artikel 6</w:t>
            </w:r>
          </w:p>
        </w:tc>
      </w:tr>
      <w:tr>
        <w:tc>
          <w:tcPr>
            <w:tcW w:w="4674" w:type="dxa"/>
          </w:tcPr>
          <w:p>
            <w:pPr>
              <w:jc w:val="left"/>
              <w:rPr>
                <w:noProof/>
                <w:szCs w:val="24"/>
              </w:rPr>
            </w:pPr>
            <w:r>
              <w:rPr>
                <w:noProof/>
              </w:rPr>
              <w:t>Artikel 7, lid 1</w:t>
            </w:r>
          </w:p>
        </w:tc>
        <w:tc>
          <w:tcPr>
            <w:tcW w:w="4674" w:type="dxa"/>
          </w:tcPr>
          <w:p>
            <w:pPr>
              <w:jc w:val="left"/>
              <w:rPr>
                <w:noProof/>
                <w:szCs w:val="24"/>
              </w:rPr>
            </w:pPr>
            <w:r>
              <w:rPr>
                <w:noProof/>
              </w:rPr>
              <w:t>Artikel 7, lid 1</w:t>
            </w:r>
          </w:p>
        </w:tc>
      </w:tr>
      <w:tr>
        <w:tc>
          <w:tcPr>
            <w:tcW w:w="4674" w:type="dxa"/>
          </w:tcPr>
          <w:p>
            <w:pPr>
              <w:jc w:val="left"/>
              <w:rPr>
                <w:noProof/>
                <w:szCs w:val="24"/>
              </w:rPr>
            </w:pPr>
            <w:r>
              <w:rPr>
                <w:noProof/>
              </w:rPr>
              <w:t>Artikel 7, lid 2</w:t>
            </w:r>
          </w:p>
        </w:tc>
        <w:tc>
          <w:tcPr>
            <w:tcW w:w="4674" w:type="dxa"/>
          </w:tcPr>
          <w:p>
            <w:pPr>
              <w:jc w:val="left"/>
              <w:rPr>
                <w:noProof/>
                <w:szCs w:val="24"/>
              </w:rPr>
            </w:pPr>
            <w:r>
              <w:rPr>
                <w:noProof/>
              </w:rPr>
              <w:t>Artikel 7, lid 2</w:t>
            </w:r>
          </w:p>
        </w:tc>
      </w:tr>
      <w:tr>
        <w:tc>
          <w:tcPr>
            <w:tcW w:w="4674" w:type="dxa"/>
          </w:tcPr>
          <w:p>
            <w:pPr>
              <w:jc w:val="left"/>
              <w:rPr>
                <w:noProof/>
                <w:szCs w:val="24"/>
              </w:rPr>
            </w:pPr>
            <w:r>
              <w:rPr>
                <w:noProof/>
              </w:rPr>
              <w:t>Artikel 7, lid 3</w:t>
            </w:r>
          </w:p>
        </w:tc>
        <w:tc>
          <w:tcPr>
            <w:tcW w:w="4674" w:type="dxa"/>
          </w:tcPr>
          <w:p>
            <w:pPr>
              <w:jc w:val="left"/>
              <w:rPr>
                <w:noProof/>
                <w:szCs w:val="24"/>
              </w:rPr>
            </w:pPr>
            <w:r>
              <w:rPr>
                <w:noProof/>
              </w:rPr>
              <w:t>Artikel 7, lid 3</w:t>
            </w:r>
          </w:p>
        </w:tc>
      </w:tr>
      <w:tr>
        <w:tc>
          <w:tcPr>
            <w:tcW w:w="4674" w:type="dxa"/>
          </w:tcPr>
          <w:p>
            <w:pPr>
              <w:jc w:val="left"/>
              <w:rPr>
                <w:noProof/>
                <w:szCs w:val="24"/>
              </w:rPr>
            </w:pPr>
            <w:r>
              <w:rPr>
                <w:noProof/>
              </w:rPr>
              <w:t>Artikel 7, lid 4</w:t>
            </w:r>
          </w:p>
        </w:tc>
        <w:tc>
          <w:tcPr>
            <w:tcW w:w="4674" w:type="dxa"/>
          </w:tcPr>
          <w:p>
            <w:pPr>
              <w:jc w:val="left"/>
              <w:rPr>
                <w:noProof/>
                <w:szCs w:val="24"/>
              </w:rPr>
            </w:pPr>
            <w:r>
              <w:rPr>
                <w:noProof/>
              </w:rPr>
              <w:t>Artikel 7, lid 4</w:t>
            </w:r>
          </w:p>
        </w:tc>
      </w:tr>
      <w:tr>
        <w:tc>
          <w:tcPr>
            <w:tcW w:w="4674" w:type="dxa"/>
          </w:tcPr>
          <w:p>
            <w:pPr>
              <w:jc w:val="left"/>
              <w:rPr>
                <w:noProof/>
                <w:szCs w:val="24"/>
              </w:rPr>
            </w:pPr>
            <w:r>
              <w:rPr>
                <w:noProof/>
              </w:rPr>
              <w:t>Artikel 7, lid 5</w:t>
            </w:r>
          </w:p>
        </w:tc>
        <w:tc>
          <w:tcPr>
            <w:tcW w:w="4674" w:type="dxa"/>
          </w:tcPr>
          <w:p>
            <w:pPr>
              <w:jc w:val="left"/>
              <w:rPr>
                <w:noProof/>
                <w:szCs w:val="24"/>
              </w:rPr>
            </w:pPr>
            <w:r>
              <w:rPr>
                <w:noProof/>
              </w:rPr>
              <w:t>Artikel 7, lid 5</w:t>
            </w:r>
          </w:p>
        </w:tc>
      </w:tr>
      <w:tr>
        <w:tc>
          <w:tcPr>
            <w:tcW w:w="4674" w:type="dxa"/>
          </w:tcPr>
          <w:p>
            <w:pPr>
              <w:jc w:val="left"/>
              <w:rPr>
                <w:noProof/>
                <w:szCs w:val="24"/>
              </w:rPr>
            </w:pPr>
            <w:r>
              <w:rPr>
                <w:noProof/>
              </w:rPr>
              <w:t>Artikel 7, lid 6</w:t>
            </w:r>
          </w:p>
        </w:tc>
        <w:tc>
          <w:tcPr>
            <w:tcW w:w="4674" w:type="dxa"/>
          </w:tcPr>
          <w:p>
            <w:pPr>
              <w:jc w:val="left"/>
              <w:rPr>
                <w:noProof/>
                <w:szCs w:val="24"/>
              </w:rPr>
            </w:pPr>
            <w:r>
              <w:rPr>
                <w:noProof/>
              </w:rPr>
              <w:t>Artikel 7, lid 6</w:t>
            </w:r>
          </w:p>
        </w:tc>
      </w:tr>
      <w:tr>
        <w:tc>
          <w:tcPr>
            <w:tcW w:w="4674" w:type="dxa"/>
          </w:tcPr>
          <w:p>
            <w:pPr>
              <w:jc w:val="left"/>
              <w:rPr>
                <w:noProof/>
                <w:szCs w:val="24"/>
              </w:rPr>
            </w:pPr>
            <w:r>
              <w:rPr>
                <w:noProof/>
              </w:rPr>
              <w:t>Artikel 7, lid 7</w:t>
            </w:r>
          </w:p>
        </w:tc>
        <w:tc>
          <w:tcPr>
            <w:tcW w:w="4674" w:type="dxa"/>
          </w:tcPr>
          <w:p>
            <w:pPr>
              <w:jc w:val="left"/>
              <w:rPr>
                <w:noProof/>
                <w:szCs w:val="24"/>
              </w:rPr>
            </w:pPr>
            <w:r>
              <w:rPr>
                <w:noProof/>
              </w:rPr>
              <w:t>_</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8</w:t>
            </w:r>
          </w:p>
        </w:tc>
      </w:tr>
      <w:tr>
        <w:tc>
          <w:tcPr>
            <w:tcW w:w="4674" w:type="dxa"/>
          </w:tcPr>
          <w:p>
            <w:pPr>
              <w:jc w:val="left"/>
              <w:rPr>
                <w:noProof/>
                <w:szCs w:val="24"/>
              </w:rPr>
            </w:pPr>
            <w:r>
              <w:rPr>
                <w:noProof/>
              </w:rPr>
              <w:t>Artikel 8</w:t>
            </w:r>
          </w:p>
        </w:tc>
        <w:tc>
          <w:tcPr>
            <w:tcW w:w="4674" w:type="dxa"/>
          </w:tcPr>
          <w:p>
            <w:pPr>
              <w:jc w:val="left"/>
              <w:rPr>
                <w:noProof/>
                <w:szCs w:val="24"/>
              </w:rPr>
            </w:pPr>
            <w:r>
              <w:rPr>
                <w:noProof/>
              </w:rPr>
              <w:t>Artikel 9</w:t>
            </w:r>
          </w:p>
        </w:tc>
      </w:tr>
      <w:tr>
        <w:tc>
          <w:tcPr>
            <w:tcW w:w="4674" w:type="dxa"/>
          </w:tcPr>
          <w:p>
            <w:pPr>
              <w:jc w:val="left"/>
              <w:rPr>
                <w:noProof/>
                <w:szCs w:val="24"/>
              </w:rPr>
            </w:pPr>
            <w:r>
              <w:rPr>
                <w:noProof/>
              </w:rPr>
              <w:t>Artikel 9</w:t>
            </w:r>
          </w:p>
        </w:tc>
        <w:tc>
          <w:tcPr>
            <w:tcW w:w="4674" w:type="dxa"/>
          </w:tcPr>
          <w:p>
            <w:pPr>
              <w:jc w:val="left"/>
              <w:rPr>
                <w:noProof/>
                <w:szCs w:val="24"/>
              </w:rPr>
            </w:pPr>
            <w:r>
              <w:rPr>
                <w:noProof/>
              </w:rPr>
              <w:t>Artikel 10</w:t>
            </w:r>
          </w:p>
        </w:tc>
      </w:tr>
      <w:tr>
        <w:tc>
          <w:tcPr>
            <w:tcW w:w="4674" w:type="dxa"/>
          </w:tcPr>
          <w:p>
            <w:pPr>
              <w:jc w:val="left"/>
              <w:rPr>
                <w:noProof/>
                <w:szCs w:val="24"/>
              </w:rPr>
            </w:pPr>
            <w:r>
              <w:rPr>
                <w:noProof/>
              </w:rPr>
              <w:t>Artikel 10</w:t>
            </w:r>
          </w:p>
        </w:tc>
        <w:tc>
          <w:tcPr>
            <w:tcW w:w="4674" w:type="dxa"/>
          </w:tcPr>
          <w:p>
            <w:pPr>
              <w:jc w:val="left"/>
              <w:rPr>
                <w:noProof/>
                <w:szCs w:val="24"/>
              </w:rPr>
            </w:pPr>
            <w:r>
              <w:rPr>
                <w:noProof/>
              </w:rPr>
              <w:t>Artikel 11</w:t>
            </w:r>
          </w:p>
        </w:tc>
      </w:tr>
      <w:tr>
        <w:tc>
          <w:tcPr>
            <w:tcW w:w="4674" w:type="dxa"/>
          </w:tcPr>
          <w:p>
            <w:pPr>
              <w:jc w:val="left"/>
              <w:rPr>
                <w:noProof/>
                <w:szCs w:val="24"/>
              </w:rPr>
            </w:pPr>
            <w:r>
              <w:rPr>
                <w:noProof/>
              </w:rPr>
              <w:t>Artikel 11</w:t>
            </w:r>
          </w:p>
        </w:tc>
        <w:tc>
          <w:tcPr>
            <w:tcW w:w="4674" w:type="dxa"/>
          </w:tcPr>
          <w:p>
            <w:pPr>
              <w:jc w:val="left"/>
              <w:rPr>
                <w:noProof/>
                <w:szCs w:val="24"/>
              </w:rPr>
            </w:pPr>
            <w:r>
              <w:rPr>
                <w:noProof/>
              </w:rPr>
              <w:t>Artikel 12</w:t>
            </w:r>
          </w:p>
        </w:tc>
      </w:tr>
      <w:tr>
        <w:tc>
          <w:tcPr>
            <w:tcW w:w="4674" w:type="dxa"/>
          </w:tcPr>
          <w:p>
            <w:pPr>
              <w:jc w:val="left"/>
              <w:rPr>
                <w:noProof/>
                <w:szCs w:val="24"/>
              </w:rPr>
            </w:pPr>
            <w:r>
              <w:rPr>
                <w:noProof/>
              </w:rPr>
              <w:t>Artikel 12, lid 1</w:t>
            </w:r>
          </w:p>
        </w:tc>
        <w:tc>
          <w:tcPr>
            <w:tcW w:w="4674" w:type="dxa"/>
          </w:tcPr>
          <w:p>
            <w:pPr>
              <w:jc w:val="left"/>
              <w:rPr>
                <w:noProof/>
                <w:szCs w:val="24"/>
              </w:rPr>
            </w:pPr>
            <w:r>
              <w:rPr>
                <w:noProof/>
              </w:rPr>
              <w:t>Artikel 13, lid 1, onder a)</w:t>
            </w:r>
          </w:p>
        </w:tc>
      </w:tr>
      <w:tr>
        <w:tc>
          <w:tcPr>
            <w:tcW w:w="4674" w:type="dxa"/>
          </w:tcPr>
          <w:p>
            <w:pPr>
              <w:jc w:val="left"/>
              <w:rPr>
                <w:noProof/>
                <w:szCs w:val="24"/>
              </w:rPr>
            </w:pPr>
            <w:r>
              <w:rPr>
                <w:noProof/>
              </w:rPr>
              <w:t>Artikel 12, lid 3, onder a)</w:t>
            </w:r>
          </w:p>
        </w:tc>
        <w:tc>
          <w:tcPr>
            <w:tcW w:w="4674" w:type="dxa"/>
          </w:tcPr>
          <w:p>
            <w:pPr>
              <w:jc w:val="left"/>
              <w:rPr>
                <w:noProof/>
                <w:szCs w:val="24"/>
              </w:rPr>
            </w:pPr>
            <w:r>
              <w:rPr>
                <w:noProof/>
              </w:rPr>
              <w:t>Artikel 13, lid 1, onder b)</w:t>
            </w:r>
          </w:p>
        </w:tc>
      </w:tr>
      <w:tr>
        <w:tc>
          <w:tcPr>
            <w:tcW w:w="4674" w:type="dxa"/>
          </w:tcPr>
          <w:p>
            <w:pPr>
              <w:jc w:val="left"/>
              <w:rPr>
                <w:noProof/>
                <w:szCs w:val="24"/>
              </w:rPr>
            </w:pPr>
            <w:r>
              <w:rPr>
                <w:noProof/>
              </w:rPr>
              <w:t>Artikel 12, lid 3, onder b)</w:t>
            </w:r>
          </w:p>
        </w:tc>
        <w:tc>
          <w:tcPr>
            <w:tcW w:w="4674" w:type="dxa"/>
          </w:tcPr>
          <w:p>
            <w:pPr>
              <w:jc w:val="left"/>
              <w:rPr>
                <w:noProof/>
                <w:szCs w:val="24"/>
              </w:rPr>
            </w:pPr>
            <w:r>
              <w:rPr>
                <w:noProof/>
              </w:rPr>
              <w:t>Artikel 13, lid 1, onder c)</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13, lid 1, onder d)</w:t>
            </w:r>
          </w:p>
        </w:tc>
      </w:tr>
      <w:tr>
        <w:tc>
          <w:tcPr>
            <w:tcW w:w="4674" w:type="dxa"/>
          </w:tcPr>
          <w:p>
            <w:pPr>
              <w:jc w:val="left"/>
              <w:rPr>
                <w:noProof/>
                <w:szCs w:val="24"/>
              </w:rPr>
            </w:pPr>
            <w:r>
              <w:rPr>
                <w:noProof/>
              </w:rPr>
              <w:t>Artikel 12, lid 3, onder c)</w:t>
            </w:r>
          </w:p>
        </w:tc>
        <w:tc>
          <w:tcPr>
            <w:tcW w:w="4674" w:type="dxa"/>
          </w:tcPr>
          <w:p>
            <w:pPr>
              <w:jc w:val="left"/>
              <w:rPr>
                <w:noProof/>
                <w:szCs w:val="24"/>
              </w:rPr>
            </w:pPr>
            <w:r>
              <w:rPr>
                <w:noProof/>
              </w:rPr>
              <w:t>Artikel 13, lid 1, onder e)</w:t>
            </w:r>
          </w:p>
        </w:tc>
      </w:tr>
      <w:tr>
        <w:tc>
          <w:tcPr>
            <w:tcW w:w="4674" w:type="dxa"/>
          </w:tcPr>
          <w:p>
            <w:pPr>
              <w:jc w:val="left"/>
              <w:rPr>
                <w:noProof/>
                <w:szCs w:val="24"/>
              </w:rPr>
            </w:pPr>
            <w:r>
              <w:rPr>
                <w:noProof/>
              </w:rPr>
              <w:t>Artikel 12, lid 2</w:t>
            </w:r>
          </w:p>
        </w:tc>
        <w:tc>
          <w:tcPr>
            <w:tcW w:w="4674" w:type="dxa"/>
          </w:tcPr>
          <w:p>
            <w:pPr>
              <w:jc w:val="left"/>
              <w:rPr>
                <w:noProof/>
                <w:szCs w:val="24"/>
              </w:rPr>
            </w:pPr>
            <w:r>
              <w:rPr>
                <w:noProof/>
              </w:rPr>
              <w:t>Artikel 13, lid 1, onder f)</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13, lid 2</w:t>
            </w:r>
          </w:p>
        </w:tc>
      </w:tr>
      <w:tr>
        <w:tc>
          <w:tcPr>
            <w:tcW w:w="4674" w:type="dxa"/>
          </w:tcPr>
          <w:p>
            <w:pPr>
              <w:jc w:val="left"/>
              <w:rPr>
                <w:noProof/>
                <w:szCs w:val="24"/>
              </w:rPr>
            </w:pPr>
            <w:r>
              <w:rPr>
                <w:noProof/>
              </w:rPr>
              <w:t>Artikel 12, lid 4</w:t>
            </w:r>
          </w:p>
        </w:tc>
        <w:tc>
          <w:tcPr>
            <w:tcW w:w="4674" w:type="dxa"/>
          </w:tcPr>
          <w:p>
            <w:pPr>
              <w:jc w:val="left"/>
              <w:rPr>
                <w:noProof/>
                <w:szCs w:val="24"/>
              </w:rPr>
            </w:pPr>
            <w:r>
              <w:rPr>
                <w:noProof/>
              </w:rPr>
              <w:t>_</w:t>
            </w:r>
          </w:p>
        </w:tc>
      </w:tr>
      <w:tr>
        <w:tc>
          <w:tcPr>
            <w:tcW w:w="4674" w:type="dxa"/>
          </w:tcPr>
          <w:p>
            <w:pPr>
              <w:jc w:val="left"/>
              <w:rPr>
                <w:noProof/>
                <w:szCs w:val="24"/>
              </w:rPr>
            </w:pPr>
            <w:r>
              <w:rPr>
                <w:noProof/>
              </w:rPr>
              <w:t>Artikel 12, lid 5</w:t>
            </w:r>
          </w:p>
        </w:tc>
        <w:tc>
          <w:tcPr>
            <w:tcW w:w="4674" w:type="dxa"/>
          </w:tcPr>
          <w:p>
            <w:pPr>
              <w:jc w:val="left"/>
              <w:rPr>
                <w:noProof/>
                <w:szCs w:val="24"/>
              </w:rPr>
            </w:pPr>
            <w:r>
              <w:rPr>
                <w:noProof/>
              </w:rPr>
              <w:t>Artikel 13, lid 3</w:t>
            </w:r>
          </w:p>
        </w:tc>
      </w:tr>
      <w:tr>
        <w:tc>
          <w:tcPr>
            <w:tcW w:w="4674" w:type="dxa"/>
          </w:tcPr>
          <w:p>
            <w:pPr>
              <w:jc w:val="left"/>
              <w:rPr>
                <w:noProof/>
                <w:szCs w:val="24"/>
              </w:rPr>
            </w:pPr>
            <w:r>
              <w:rPr>
                <w:noProof/>
              </w:rPr>
              <w:t>Artikel 12, lid 6</w:t>
            </w:r>
          </w:p>
        </w:tc>
        <w:tc>
          <w:tcPr>
            <w:tcW w:w="4674" w:type="dxa"/>
          </w:tcPr>
          <w:p>
            <w:pPr>
              <w:jc w:val="left"/>
              <w:rPr>
                <w:noProof/>
                <w:szCs w:val="24"/>
              </w:rPr>
            </w:pPr>
            <w:r>
              <w:rPr>
                <w:noProof/>
              </w:rPr>
              <w:t>_</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13, lid 4</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13, lid 5</w:t>
            </w:r>
          </w:p>
        </w:tc>
      </w:tr>
      <w:tr>
        <w:tc>
          <w:tcPr>
            <w:tcW w:w="4674" w:type="dxa"/>
          </w:tcPr>
          <w:p>
            <w:pPr>
              <w:jc w:val="left"/>
              <w:rPr>
                <w:noProof/>
                <w:szCs w:val="24"/>
              </w:rPr>
            </w:pPr>
            <w:r>
              <w:rPr>
                <w:noProof/>
              </w:rPr>
              <w:t>Artikel 13</w:t>
            </w:r>
          </w:p>
        </w:tc>
        <w:tc>
          <w:tcPr>
            <w:tcW w:w="4674" w:type="dxa"/>
          </w:tcPr>
          <w:p>
            <w:pPr>
              <w:jc w:val="left"/>
              <w:rPr>
                <w:noProof/>
                <w:szCs w:val="24"/>
              </w:rPr>
            </w:pPr>
            <w:r>
              <w:rPr>
                <w:noProof/>
              </w:rPr>
              <w:t>Artikel 14</w:t>
            </w:r>
          </w:p>
        </w:tc>
      </w:tr>
      <w:tr>
        <w:tc>
          <w:tcPr>
            <w:tcW w:w="4674" w:type="dxa"/>
          </w:tcPr>
          <w:p>
            <w:pPr>
              <w:jc w:val="left"/>
              <w:rPr>
                <w:noProof/>
                <w:szCs w:val="24"/>
              </w:rPr>
            </w:pPr>
            <w:r>
              <w:rPr>
                <w:noProof/>
              </w:rPr>
              <w:t>Artikel 14</w:t>
            </w:r>
          </w:p>
        </w:tc>
        <w:tc>
          <w:tcPr>
            <w:tcW w:w="4674" w:type="dxa"/>
          </w:tcPr>
          <w:p>
            <w:pPr>
              <w:jc w:val="left"/>
              <w:rPr>
                <w:noProof/>
                <w:szCs w:val="24"/>
              </w:rPr>
            </w:pPr>
            <w:r>
              <w:rPr>
                <w:noProof/>
              </w:rPr>
              <w:t>Artikel 15</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16</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17</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18</w:t>
            </w:r>
          </w:p>
        </w:tc>
      </w:tr>
      <w:tr>
        <w:tc>
          <w:tcPr>
            <w:tcW w:w="4674" w:type="dxa"/>
          </w:tcPr>
          <w:p>
            <w:pPr>
              <w:jc w:val="left"/>
              <w:rPr>
                <w:noProof/>
                <w:szCs w:val="24"/>
              </w:rPr>
            </w:pPr>
            <w:r>
              <w:rPr>
                <w:noProof/>
              </w:rPr>
              <w:t>Artikel 15</w:t>
            </w:r>
          </w:p>
        </w:tc>
        <w:tc>
          <w:tcPr>
            <w:tcW w:w="4674" w:type="dxa"/>
          </w:tcPr>
          <w:p>
            <w:pPr>
              <w:jc w:val="left"/>
              <w:rPr>
                <w:noProof/>
                <w:szCs w:val="24"/>
              </w:rPr>
            </w:pPr>
            <w:r>
              <w:rPr>
                <w:noProof/>
              </w:rPr>
              <w:t>Artikel 19</w:t>
            </w:r>
          </w:p>
        </w:tc>
      </w:tr>
      <w:tr>
        <w:tc>
          <w:tcPr>
            <w:tcW w:w="4674" w:type="dxa"/>
          </w:tcPr>
          <w:p>
            <w:pPr>
              <w:jc w:val="left"/>
              <w:rPr>
                <w:noProof/>
                <w:szCs w:val="24"/>
              </w:rPr>
            </w:pPr>
            <w:r>
              <w:rPr>
                <w:noProof/>
              </w:rPr>
              <w:t>Artikel 16</w:t>
            </w:r>
          </w:p>
        </w:tc>
        <w:tc>
          <w:tcPr>
            <w:tcW w:w="4674" w:type="dxa"/>
          </w:tcPr>
          <w:p>
            <w:pPr>
              <w:jc w:val="left"/>
              <w:rPr>
                <w:noProof/>
                <w:szCs w:val="24"/>
              </w:rPr>
            </w:pPr>
            <w:r>
              <w:rPr>
                <w:noProof/>
              </w:rPr>
              <w:t>Artikel 20</w:t>
            </w:r>
          </w:p>
        </w:tc>
      </w:tr>
      <w:tr>
        <w:tc>
          <w:tcPr>
            <w:tcW w:w="4674" w:type="dxa"/>
          </w:tcPr>
          <w:p>
            <w:pPr>
              <w:jc w:val="left"/>
              <w:rPr>
                <w:noProof/>
                <w:szCs w:val="24"/>
              </w:rPr>
            </w:pPr>
            <w:r>
              <w:rPr>
                <w:noProof/>
              </w:rPr>
              <w:t>Artikel 17</w:t>
            </w:r>
          </w:p>
        </w:tc>
        <w:tc>
          <w:tcPr>
            <w:tcW w:w="4674" w:type="dxa"/>
          </w:tcPr>
          <w:p>
            <w:pPr>
              <w:jc w:val="left"/>
              <w:rPr>
                <w:noProof/>
                <w:szCs w:val="24"/>
              </w:rPr>
            </w:pPr>
            <w:r>
              <w:rPr>
                <w:noProof/>
              </w:rPr>
              <w:t>_</w:t>
            </w:r>
          </w:p>
        </w:tc>
      </w:tr>
      <w:tr>
        <w:tc>
          <w:tcPr>
            <w:tcW w:w="4674" w:type="dxa"/>
          </w:tcPr>
          <w:p>
            <w:pPr>
              <w:jc w:val="left"/>
              <w:rPr>
                <w:noProof/>
                <w:szCs w:val="24"/>
              </w:rPr>
            </w:pPr>
            <w:r>
              <w:rPr>
                <w:noProof/>
              </w:rPr>
              <w:t>Artikel 18</w:t>
            </w:r>
          </w:p>
        </w:tc>
        <w:tc>
          <w:tcPr>
            <w:tcW w:w="4674" w:type="dxa"/>
          </w:tcPr>
          <w:p>
            <w:pPr>
              <w:jc w:val="left"/>
              <w:rPr>
                <w:noProof/>
                <w:szCs w:val="24"/>
              </w:rPr>
            </w:pPr>
            <w:r>
              <w:rPr>
                <w:noProof/>
              </w:rPr>
              <w:t>_</w:t>
            </w:r>
          </w:p>
        </w:tc>
      </w:tr>
      <w:tr>
        <w:tc>
          <w:tcPr>
            <w:tcW w:w="4674" w:type="dxa"/>
          </w:tcPr>
          <w:p>
            <w:pPr>
              <w:jc w:val="left"/>
              <w:rPr>
                <w:noProof/>
                <w:szCs w:val="24"/>
              </w:rPr>
            </w:pPr>
            <w:r>
              <w:rPr>
                <w:noProof/>
              </w:rPr>
              <w:t>_</w:t>
            </w:r>
          </w:p>
        </w:tc>
        <w:tc>
          <w:tcPr>
            <w:tcW w:w="4674" w:type="dxa"/>
          </w:tcPr>
          <w:p>
            <w:pPr>
              <w:jc w:val="left"/>
              <w:rPr>
                <w:noProof/>
                <w:szCs w:val="24"/>
              </w:rPr>
            </w:pPr>
            <w:r>
              <w:rPr>
                <w:noProof/>
              </w:rPr>
              <w:t>Artikel 21</w:t>
            </w:r>
          </w:p>
        </w:tc>
      </w:tr>
      <w:tr>
        <w:tc>
          <w:tcPr>
            <w:tcW w:w="4674" w:type="dxa"/>
          </w:tcPr>
          <w:p>
            <w:pPr>
              <w:jc w:val="left"/>
              <w:rPr>
                <w:noProof/>
                <w:szCs w:val="24"/>
              </w:rPr>
            </w:pPr>
            <w:r>
              <w:rPr>
                <w:noProof/>
              </w:rPr>
              <w:t>Artikel 19</w:t>
            </w:r>
          </w:p>
        </w:tc>
        <w:tc>
          <w:tcPr>
            <w:tcW w:w="4674" w:type="dxa"/>
          </w:tcPr>
          <w:p>
            <w:pPr>
              <w:jc w:val="left"/>
              <w:rPr>
                <w:noProof/>
                <w:szCs w:val="24"/>
              </w:rPr>
            </w:pPr>
            <w:r>
              <w:rPr>
                <w:noProof/>
              </w:rPr>
              <w:t>Artikel 22</w:t>
            </w:r>
          </w:p>
        </w:tc>
      </w:tr>
      <w:tr>
        <w:tc>
          <w:tcPr>
            <w:tcW w:w="4674" w:type="dxa"/>
          </w:tcPr>
          <w:p>
            <w:pPr>
              <w:jc w:val="left"/>
              <w:rPr>
                <w:noProof/>
                <w:szCs w:val="24"/>
              </w:rPr>
            </w:pPr>
            <w:r>
              <w:rPr>
                <w:noProof/>
              </w:rPr>
              <w:t>Bijlagen I tot en met V</w:t>
            </w:r>
          </w:p>
        </w:tc>
        <w:tc>
          <w:tcPr>
            <w:tcW w:w="4674" w:type="dxa"/>
          </w:tcPr>
          <w:p>
            <w:pPr>
              <w:jc w:val="left"/>
              <w:rPr>
                <w:noProof/>
                <w:szCs w:val="24"/>
              </w:rPr>
            </w:pPr>
            <w:r>
              <w:rPr>
                <w:noProof/>
              </w:rPr>
              <w:t>Bijlagen I tot en met V</w:t>
            </w:r>
          </w:p>
        </w:tc>
      </w:tr>
      <w:tr>
        <w:tc>
          <w:tcPr>
            <w:tcW w:w="4674" w:type="dxa"/>
          </w:tcPr>
          <w:p>
            <w:pPr>
              <w:jc w:val="left"/>
              <w:rPr>
                <w:noProof/>
                <w:szCs w:val="24"/>
              </w:rPr>
            </w:pPr>
            <w:r>
              <w:rPr>
                <w:noProof/>
              </w:rPr>
              <w:t>–</w:t>
            </w:r>
          </w:p>
        </w:tc>
        <w:tc>
          <w:tcPr>
            <w:tcW w:w="4674" w:type="dxa"/>
          </w:tcPr>
          <w:p>
            <w:pPr>
              <w:jc w:val="left"/>
              <w:rPr>
                <w:noProof/>
                <w:szCs w:val="24"/>
              </w:rPr>
            </w:pPr>
            <w:r>
              <w:rPr>
                <w:noProof/>
              </w:rPr>
              <w:t>Bijlage VI</w:t>
            </w:r>
          </w:p>
        </w:tc>
      </w:tr>
      <w:tr>
        <w:tc>
          <w:tcPr>
            <w:tcW w:w="4674" w:type="dxa"/>
          </w:tcPr>
          <w:p>
            <w:pPr>
              <w:jc w:val="left"/>
              <w:rPr>
                <w:noProof/>
                <w:szCs w:val="24"/>
              </w:rPr>
            </w:pPr>
            <w:r>
              <w:rPr>
                <w:noProof/>
              </w:rPr>
              <w:t>–</w:t>
            </w:r>
          </w:p>
        </w:tc>
        <w:tc>
          <w:tcPr>
            <w:tcW w:w="4674" w:type="dxa"/>
          </w:tcPr>
          <w:p>
            <w:pPr>
              <w:jc w:val="left"/>
              <w:rPr>
                <w:noProof/>
                <w:szCs w:val="24"/>
              </w:rPr>
            </w:pPr>
            <w:r>
              <w:rPr>
                <w:noProof/>
              </w:rPr>
              <w:t>Bijlage VII</w:t>
            </w:r>
          </w:p>
        </w:tc>
      </w:tr>
    </w:tbl>
    <w:p>
      <w:pPr>
        <w:jc w:val="center"/>
        <w:rPr>
          <w:noProof/>
          <w:szCs w:val="24"/>
        </w:rPr>
      </w:pPr>
      <w:r>
        <w:rPr>
          <w:noProof/>
        </w:rPr>
        <w:t>_____________</w:t>
      </w:r>
    </w:p>
    <w:sectPr>
      <w:pgSz w:w="11906" w:h="16838"/>
      <w:pgMar w:top="1134" w:right="1418" w:bottom="1134" w:left="1418" w:header="709" w:footer="709" w:gutter="0"/>
      <w:pgNumType w:start="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lang w:val="en-US"/>
        </w:rPr>
        <w:footnoteRef/>
      </w:r>
      <w:r>
        <w:tab/>
        <w:t>PB L 37 van 13.2.2003, blz. 19.</w:t>
      </w:r>
    </w:p>
  </w:footnote>
  <w:footnote w:id="2">
    <w:p>
      <w:pPr>
        <w:pStyle w:val="FootnoteText"/>
      </w:pPr>
      <w:r>
        <w:rPr>
          <w:rStyle w:val="FootnoteReference"/>
          <w:lang w:val="en-US"/>
        </w:rPr>
        <w:footnoteRef/>
      </w:r>
      <w:r>
        <w:tab/>
        <w:t>PB L 24 van 29.1.2008, blz. 8.</w:t>
      </w:r>
    </w:p>
  </w:footnote>
  <w:footnote w:id="3">
    <w:p>
      <w:pPr>
        <w:pStyle w:val="FootnoteText"/>
      </w:pPr>
      <w:r>
        <w:rPr>
          <w:rStyle w:val="FootnoteReference"/>
          <w:lang w:val="en-US"/>
        </w:rPr>
        <w:footnoteRef/>
      </w:r>
      <w: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(PB L 396 van 30.12.2006, blz. 1).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4">
    <w:p>
      <w:pPr>
        <w:pStyle w:val="FootnoteText"/>
        <w:rPr>
          <w:highlight w:val="lightGray"/>
        </w:rPr>
      </w:pPr>
      <w:r>
        <w:rPr>
          <w:rStyle w:val="FootnoteReference"/>
          <w:highlight w:val="lightGray"/>
          <w:lang w:val="en-US"/>
        </w:rPr>
        <w:footnoteRef/>
      </w:r>
      <w:r>
        <w:rPr>
          <w:highlight w:val="lightGray"/>
        </w:rPr>
        <w:tab/>
      </w:r>
      <w:r>
        <w:rPr>
          <w:highlight w:val="lightGray"/>
        </w:rPr>
        <w:fldChar w:fldCharType="begin"/>
      </w:r>
      <w:r>
        <w:rPr>
          <w:highlight w:val="lightGray"/>
        </w:rPr>
        <w:instrText xml:space="preserve"> QUOTE "</w:instrText>
      </w:r>
      <w:r>
        <w:rPr>
          <w:rStyle w:val="CRMarker"/>
          <w:highlight w:val="lightGray"/>
        </w:rPr>
        <w:instrText>è</w:instrText>
      </w:r>
      <w:r>
        <w:rPr>
          <w:highlight w:val="lightGray"/>
        </w:rPr>
        <w:instrText xml:space="preserve">" </w:instrText>
      </w:r>
      <w:r>
        <w:rPr>
          <w:highlight w:val="lightGray"/>
        </w:rPr>
        <w:fldChar w:fldCharType="separate"/>
      </w:r>
      <w:r>
        <w:rPr>
          <w:rStyle w:val="CRMarker"/>
          <w:highlight w:val="lightGray"/>
        </w:rPr>
        <w:t>è</w:t>
      </w:r>
      <w:r>
        <w:rPr>
          <w:highlight w:val="lightGray"/>
        </w:rPr>
        <w:fldChar w:fldCharType="end"/>
      </w:r>
      <w:r>
        <w:rPr>
          <w:rStyle w:val="CRRefNum"/>
          <w:highlight w:val="lightGray"/>
        </w:rPr>
        <w:t>4</w:t>
      </w:r>
      <w:r>
        <w:rPr>
          <w:highlight w:val="lightGray"/>
        </w:rPr>
        <w:t> Polychloornaftalenen zijn op het naftaleenringsysteem gebaseerde chemische verbindingen, waarbij een of meer waterstofatomen zijn vervangen door chlooratomen. </w:t>
      </w:r>
      <w:r>
        <w:rPr>
          <w:highlight w:val="lightGray"/>
        </w:rPr>
        <w:fldChar w:fldCharType="begin"/>
      </w:r>
      <w:r>
        <w:rPr>
          <w:highlight w:val="lightGray"/>
        </w:rPr>
        <w:instrText xml:space="preserve"> QUOTE "</w:instrText>
      </w:r>
      <w:r>
        <w:rPr>
          <w:rStyle w:val="CRMarker"/>
          <w:highlight w:val="lightGray"/>
        </w:rPr>
        <w:instrText>ç</w:instrText>
      </w:r>
      <w:r>
        <w:rPr>
          <w:highlight w:val="lightGray"/>
        </w:rPr>
        <w:instrText xml:space="preserve">" </w:instrText>
      </w:r>
      <w:r>
        <w:rPr>
          <w:highlight w:val="lightGray"/>
        </w:rPr>
        <w:fldChar w:fldCharType="separate"/>
      </w:r>
      <w:r>
        <w:rPr>
          <w:rStyle w:val="CRMarker"/>
          <w:highlight w:val="lightGray"/>
        </w:rPr>
        <w:t>ç</w:t>
      </w:r>
      <w:r>
        <w:rPr>
          <w:highlight w:val="lightGray"/>
        </w:rPr>
        <w:fldChar w:fldCharType="end"/>
      </w:r>
    </w:p>
  </w:footnote>
  <w:footnote w:id="5">
    <w:p>
      <w:pPr>
        <w:pStyle w:val="FootnoteText"/>
      </w:pPr>
      <w:r>
        <w:rPr>
          <w:rStyle w:val="FootnoteReference"/>
          <w:lang w:val="en-US"/>
        </w:rPr>
        <w:footnoteRef/>
      </w:r>
      <w:r>
        <w:tab/>
        <w:t>Ten behoeve van de emissie-inventarissen worden de volgende vier compound-indicators gebruikt:</w:t>
      </w:r>
      <w:r>
        <w:rPr>
          <w:highlight w:val="yellow"/>
        </w:rPr>
        <w:t xml:space="preserve"> </w:t>
      </w:r>
      <w:r>
        <w:t>benzo[</w:t>
      </w:r>
      <w:r>
        <w:rPr>
          <w:i/>
        </w:rPr>
        <w:t>a</w:t>
      </w:r>
      <w:r>
        <w:t>]pyreen, benzo[</w:t>
      </w:r>
      <w:r>
        <w:rPr>
          <w:i/>
        </w:rPr>
        <w:t>b</w:t>
      </w:r>
      <w:r>
        <w:t>]fluorantheen, benzo[</w:t>
      </w:r>
      <w:r>
        <w:rPr>
          <w:i/>
        </w:rPr>
        <w:t>k</w:t>
      </w:r>
      <w:r>
        <w:t>]fluorantheen en indeno[1,2,3-</w:t>
      </w:r>
      <w:r>
        <w:rPr>
          <w:i/>
        </w:rPr>
        <w:t>cd</w:t>
      </w:r>
      <w:r>
        <w:t>]pyreen.</w:t>
      </w:r>
    </w:p>
  </w:footnote>
  <w:footnote w:id="6">
    <w:p>
      <w:pPr>
        <w:pStyle w:val="FootnoteText"/>
      </w:pPr>
      <w:r>
        <w:rPr>
          <w:rStyle w:val="FootnoteReference"/>
          <w:lang w:val="en-US"/>
        </w:rPr>
        <w:footnoteRef/>
      </w:r>
      <w:r>
        <w:tab/>
        <w:t>Polychloornaftalenen zijn op het naftaleenringsysteem gebaseerde chemische verbindingen, waarbij een of meer waterstofatomen zijn vervangen door chlooratomen.</w:t>
      </w:r>
    </w:p>
  </w:footnote>
  <w:footnote w:id="7">
    <w:p>
      <w:pPr>
        <w:pStyle w:val="FootnoteText"/>
      </w:pPr>
      <w:r>
        <w:rPr>
          <w:rStyle w:val="FootnoteReference"/>
          <w:lang w:val="en-US"/>
        </w:rPr>
        <w:footnoteRef/>
      </w:r>
      <w:r>
        <w:tab/>
        <w:t>De grenswaarde wordt berekend als PCDD's en PCDF's met gebruikmaking van de volgende toxische-equivalentiefactoren (TEF's):</w:t>
      </w:r>
    </w:p>
    <w:tbl>
      <w:tblPr>
        <w:tblW w:w="0" w:type="auto"/>
        <w:tblLayout w:type="fixed"/>
        <w:tblLook w:val="0000" w:firstRow="0" w:lastRow="0" w:firstColumn="0" w:lastColumn="0" w:noHBand="0" w:noVBand="0"/>
      </w:tblPr>
      <w:tblGrid>
        <w:gridCol w:w="6407"/>
        <w:gridCol w:w="2879"/>
      </w:tblGrid>
      <w:tr>
        <w:tc>
          <w:tcPr>
            <w:tcW w:w="6407" w:type="dxa"/>
            <w:tcBorders>
              <w:top w:val="single" w:sz="2" w:space="0" w:color="auto"/>
              <w:left w:val="single" w:sz="2" w:space="0" w:color="auto"/>
              <w:bottom w:val="single" w:sz="2" w:space="0" w:color="auto"/>
              <w:right w:val="single" w:sz="2" w:space="0" w:color="auto"/>
            </w:tcBorders>
          </w:tcPr>
          <w:p>
            <w:pPr>
              <w:pStyle w:val="FootnoteText"/>
            </w:pPr>
            <w:r>
              <w:t>PCDD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PCDF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PCDD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2,3,7,8-TeCDD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1,2,3,7,8-PeCDD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1,2,3,4,7,8-HxCDD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1,2,3,6,7,8-HxCDD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1,2,3,7,8,9-HxCDD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1,2,3,4,6,7,8-HpCDD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OCDD</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0,0003</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2,3,7,8-TeCDF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1,2,3,7,8-PeCDF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0,03</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2,3,4,7,8-PeCDF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0,3</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1,2,3,4,7,8-HxCDF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1,2,3,6,7,8-HxCDF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1,2,3,7,8,9-HxCDF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2,3,4,6,7,8-HxCDF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1,2,3,4,6,7,8-HpCDF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1,2,3,4,7,8,9-HpCDF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FootnoteText"/>
            </w:pPr>
            <w:r>
              <w:t>OCDF</w:t>
            </w:r>
          </w:p>
        </w:tc>
        <w:tc>
          <w:tcPr>
            <w:tcW w:w="2879" w:type="dxa"/>
            <w:tcBorders>
              <w:top w:val="single" w:sz="2" w:space="0" w:color="auto"/>
              <w:left w:val="single" w:sz="2" w:space="0" w:color="auto"/>
              <w:bottom w:val="single" w:sz="2" w:space="0" w:color="auto"/>
              <w:right w:val="single" w:sz="2" w:space="0" w:color="auto"/>
            </w:tcBorders>
          </w:tcPr>
          <w:p>
            <w:pPr>
              <w:pStyle w:val="FootnoteText"/>
            </w:pPr>
            <w:r>
              <w:t>0,0003</w:t>
            </w:r>
          </w:p>
        </w:tc>
      </w:tr>
    </w:tbl>
    <w:p>
      <w:pPr>
        <w:spacing w:before="0" w:after="200" w:line="276" w:lineRule="auto"/>
        <w:jc w:val="left"/>
      </w:pPr>
    </w:p>
  </w:footnote>
  <w:footnote w:id="8">
    <w:p>
      <w:pPr>
        <w:pStyle w:val="FootnoteText"/>
      </w:pPr>
      <w:r>
        <w:rPr>
          <w:rStyle w:val="FootnoteReference"/>
          <w:lang w:val="en-US"/>
        </w:rPr>
        <w:footnoteRef/>
      </w:r>
      <w:r>
        <w:tab/>
        <w:t>Waar van toepassing wordt de berekeningsmethode van de Europese normen EN 12766-1 en EN 12766-2 gebruikt.</w:t>
      </w:r>
    </w:p>
  </w:footnote>
  <w:footnote w:id="9">
    <w:p>
      <w:pPr>
        <w:pStyle w:val="FootnoteText"/>
      </w:pPr>
      <w:r>
        <w:rPr>
          <w:rStyle w:val="FootnoteReference"/>
          <w:lang w:val="en-US"/>
        </w:rPr>
        <w:footnoteRef/>
      </w:r>
      <w: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"Hexabroomcyclododecaan" omvat hexabroomcyclododecaan, 1,2,5,6,9,10-hexabroomcyclododecaan en zijn voornaamste diastereo-isomeren: α-hexabroomcyclododecaan, β-hexabroomcyclododecaan en γ-hexabroomcyclododecaan.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10">
    <w:p>
      <w:pPr>
        <w:pStyle w:val="FootnoteText"/>
      </w:pPr>
      <w:r>
        <w:rPr>
          <w:rStyle w:val="FootnoteReference"/>
          <w:lang w:val="en-US"/>
        </w:rPr>
        <w:footnoteRef/>
      </w:r>
      <w:r>
        <w:tab/>
      </w:r>
      <w:r>
        <w:rPr>
          <w:rStyle w:val="CRMinorChangeDeleted"/>
        </w:rPr>
        <w:t>PB L 332 van 28.12.2000, blz. 91</w:t>
      </w:r>
      <w:r>
        <w:t xml:space="preserve"> </w:t>
      </w:r>
      <w:r>
        <w:rPr>
          <w:rStyle w:val="CRMinorChangeAdded"/>
        </w:rPr>
        <w:t>Richtlijn 2010/75/EU van het Europees Parlement en de Raad van 24 november 2010 inzake industriële emissies (geïntegreerde preventie en bestrijding van verontreiniging) (PB L 334 van 17.12.2010, blz. 17)</w:t>
      </w:r>
      <w:r>
        <w:t>.</w:t>
      </w:r>
    </w:p>
  </w:footnote>
  <w:footnote w:id="11">
    <w:p>
      <w:pPr>
        <w:pStyle w:val="FootnoteText"/>
      </w:pPr>
      <w:r>
        <w:rPr>
          <w:rStyle w:val="FootnoteReference"/>
          <w:lang w:val="en-US"/>
        </w:rPr>
        <w:footnoteRef/>
      </w:r>
      <w:r>
        <w:tab/>
        <w:t xml:space="preserve">Beschikking 2000/532/EG van de Commissie van 3 mei 2000 ter vervanging van Beschikking 94/3/EG houdende vaststelling van een lijst van afvalstoffen overeenkomstig artikel 1, onder a), van Richtlijn 75/442/EEG van de Raad betreffende afvalstoffen en Beschikking 94/904/EG van de Raad tot vaststelling van een lijst van gevaarlijke afvalstoffen overeenkomstig artikel 1, lid 4, van Richtlijn 91/689/EEG van de Raad betreffende gevaarlijke afvalstoffen (PB L 226 van 6.9.2000, blz. 3). Beschikking laatstelijk gewijzigd bij </w:t>
      </w:r>
      <w:r>
        <w:rPr>
          <w:rStyle w:val="CRMinorChangeDeleted"/>
        </w:rPr>
        <w:t>Beschikking 2001/573/EG van de Raad</w:t>
      </w:r>
      <w:r>
        <w:t xml:space="preserve"> </w:t>
      </w:r>
      <w:r>
        <w:rPr>
          <w:rStyle w:val="CRMinorChangeAdded"/>
        </w:rPr>
        <w:t>Besluit 2014/955/EU van 18 december 2014</w:t>
      </w:r>
      <w:r>
        <w:t xml:space="preserve"> (PB L </w:t>
      </w:r>
      <w:r>
        <w:rPr>
          <w:rStyle w:val="CRMinorChangeDeleted"/>
        </w:rPr>
        <w:t>203</w:t>
      </w:r>
      <w:r>
        <w:rPr>
          <w:rStyle w:val="CRMinorChangeAdded"/>
        </w:rPr>
        <w:t>370</w:t>
      </w:r>
      <w:r>
        <w:t xml:space="preserve"> van </w:t>
      </w:r>
      <w:r>
        <w:rPr>
          <w:rStyle w:val="CRMinorChangeDeleted"/>
        </w:rPr>
        <w:t>28.7.2001</w:t>
      </w:r>
      <w:r>
        <w:rPr>
          <w:rStyle w:val="CRMinorChangeAdded"/>
        </w:rPr>
        <w:t>30.12.2014</w:t>
      </w:r>
      <w:r>
        <w:t>, blz. </w:t>
      </w:r>
      <w:r>
        <w:rPr>
          <w:rStyle w:val="CRMinorChangeDeleted"/>
        </w:rPr>
        <w:t>18</w:t>
      </w:r>
      <w:r>
        <w:rPr>
          <w:rStyle w:val="CRMinorChangeAdded"/>
        </w:rPr>
        <w:t>44</w:t>
      </w:r>
      <w:r>
        <w:t>).</w:t>
      </w:r>
    </w:p>
  </w:footnote>
  <w:footnote w:id="12">
    <w:p>
      <w:pPr>
        <w:pStyle w:val="FootnoteText"/>
      </w:pPr>
      <w:r>
        <w:rPr>
          <w:rStyle w:val="FootnoteReference"/>
          <w:lang w:val="en-US"/>
        </w:rPr>
        <w:footnoteRef/>
      </w:r>
      <w:r>
        <w:tab/>
        <w:t>Deze grenswaarden gelden alleen voor stortplaatsen voor gevaarlijk afval en zijn niet van toepassing op permanente ondergrondse opslagvoorzieningen voor gevaarlijk afval, waaronder zoutkoepels.</w:t>
      </w:r>
    </w:p>
  </w:footnote>
  <w:footnote w:id="13">
    <w:p>
      <w:pPr>
        <w:pStyle w:val="FootnoteText"/>
      </w:pPr>
      <w:r>
        <w:rPr>
          <w:rStyle w:val="FootnoteReference"/>
          <w:lang w:val="en-US"/>
        </w:rPr>
        <w:footnoteRef/>
      </w:r>
      <w:r>
        <w:tab/>
        <w:t>"Hexabroomcyclododecaan" omvat hexabroomcyclododecaan, 1,2,5,6,9,10-hexabroomcyclododecaan en zijn voornaamste diastereo-isomeren: α-hexabroomcyclododecaan, β-hexabroomcyclododecaan en γ-hexabroomcyclododecaan.</w:t>
      </w:r>
    </w:p>
  </w:footnote>
  <w:footnote w:id="14">
    <w:p>
      <w:pPr>
        <w:pStyle w:val="FootnoteText"/>
      </w:pPr>
      <w:r>
        <w:rPr>
          <w:rStyle w:val="FootnoteReference"/>
          <w:lang w:val="en-US"/>
        </w:rPr>
        <w:footnoteRef/>
      </w:r>
      <w:r>
        <w:tab/>
        <w:t>Hiervoor wordt de berekeningsmethode van de Europese normen EN 12766-1 en EN 12766-2 gebruikt.</w:t>
      </w:r>
    </w:p>
  </w:footnote>
  <w:footnote w:id="15">
    <w:p>
      <w:pPr>
        <w:pStyle w:val="FootnoteText"/>
      </w:pPr>
      <w:r>
        <w:rPr>
          <w:rStyle w:val="FootnoteReference"/>
          <w:lang w:val="en-US"/>
        </w:rPr>
        <w:footnoteRef/>
      </w:r>
      <w:r>
        <w:tab/>
        <w:t>Richtlijn 1999/31/EG van de Raad van 26 april 1999 betreffende het storten van afvalstoffen (PB L 182 van 16.7.1999, blz. 1).</w:t>
      </w:r>
    </w:p>
  </w:footnote>
  <w:footnote w:id="16">
    <w:p>
      <w:pPr>
        <w:pStyle w:val="FootnoteText"/>
      </w:pPr>
      <w:r>
        <w:rPr>
          <w:rStyle w:val="FootnoteReference"/>
          <w:lang w:val="en-US"/>
        </w:rPr>
        <w:footnoteRef/>
      </w:r>
      <w:r>
        <w:tab/>
        <w:t>Beschikking 2003/33/EG van de Raad van 19 december 2002 tot vaststelling van criteria en procedures voor het aanvaarden van afvalstoffen op stortplaatsen overeenkomstig artikel 16 en bijlage II van Richtlijn 1999/31/EG (PB L 11 van 16.1.2003, blz. 27).</w:t>
      </w:r>
    </w:p>
  </w:footnote>
  <w:footnote w:id="17">
    <w:p>
      <w:pPr>
        <w:pStyle w:val="FootnoteText"/>
      </w:pPr>
      <w:r>
        <w:rPr>
          <w:rStyle w:val="FootnoteReference"/>
          <w:lang w:val="en-US"/>
        </w:rPr>
        <w:footnoteRef/>
      </w:r>
      <w:r>
        <w:tab/>
        <w:t>Elke met een asterisk "*" aangegeven afvalstof wordt beschouwd als een gevaarlijke afvalstof overeenkomstig Richtlijn 2008/98/EG en is onderworpen aan de bepalingen van die richtlijn.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C08CE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B4E96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FDADF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AE47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3681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F44A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4EE706"/>
    <w:lvl w:ilvl="0">
      <w:start w:val="1"/>
      <w:numFmt w:val="decimal"/>
      <w:pStyle w:val="ListNumber"/>
      <w:lvlText w:val="%1."/>
      <w:lvlJc w:val="left"/>
      <w:pPr>
        <w:tabs>
          <w:tab w:val="num" w:pos="360"/>
        </w:tabs>
        <w:ind w:left="360" w:hanging="360"/>
      </w:pPr>
    </w:lvl>
  </w:abstractNum>
  <w:abstractNum w:abstractNumId="7">
    <w:nsid w:val="FFFFFF89"/>
    <w:multiLevelType w:val="singleLevel"/>
    <w:tmpl w:val="3B18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2"/>
    <w:lvlOverride w:ilvl="0">
      <w:lvl w:ilvl="0">
        <w:start w:val="1"/>
        <w:numFmt w:val="bullet"/>
        <w:pStyle w:val="Tiret1"/>
        <w:lvlText w:val="–"/>
        <w:legacy w:legacy="1" w:legacySpace="0" w:legacyIndent="283"/>
        <w:lvlJc w:val="left"/>
        <w:pPr>
          <w:ind w:left="283" w:hanging="283"/>
        </w:pPr>
        <w:rPr>
          <w:rFonts w:ascii="Times New Roman" w:hAnsi="Times New Roman" w:hint="default"/>
        </w:rPr>
      </w:lvl>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
    <w:docVar w:name="CR_RefCount" w:val="1"/>
    <w:docVar w:name="CR_RefLast" w:val="0"/>
    <w:docVar w:name="DQCDateTime" w:val="2018-03-15 08:17: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5"/>
    <w:docVar w:name="DQCResult_StructureCheck" w:val="0;0"/>
    <w:docVar w:name="DQCResult_SuperfluousWhitespace" w:val="0;0"/>
    <w:docVar w:name="DQCResult_UnknownFonts" w:val="0;0"/>
    <w:docVar w:name="DQCResult_UnknownStyles" w:val="0;20"/>
    <w:docVar w:name="DQCStatus" w:val="Green"/>
    <w:docVar w:name="DQCVersion" w:val="3"/>
    <w:docVar w:name="DQCWithWarnings" w:val="0"/>
    <w:docVar w:name="LW_ACCOMPAGNANT" w:val="bij"/>
    <w:docVar w:name="LW_ACCOMPAGNANT.CP" w:val="bij"/>
    <w:docVar w:name="LW_ANNEX_NBR_FIRST" w:val="1"/>
    <w:docVar w:name="LW_ANNEX_NBR_LAST" w:val="7"/>
    <w:docVar w:name="LW_ANNEX_UNIQUE" w:val="0"/>
    <w:docVar w:name="LW_CORRIGENDUM" w:val="&lt;UNUSED&gt;"/>
    <w:docVar w:name="LW_COVERPAGE_EXISTS" w:val="True"/>
    <w:docVar w:name="LW_COVERPAGE_GUID" w:val="94038158-4C56-4FBF-869A-D197D1B98485"/>
    <w:docVar w:name="LW_COVERPAGE_TYPE" w:val="1"/>
    <w:docVar w:name="LW_CROSSREFERENCE" w:val="&lt;UNUSED&gt;"/>
    <w:docVar w:name="LW_DocType" w:val="ANNEX"/>
    <w:docVar w:name="LW_EMISSION" w:val="22.3.2018"/>
    <w:docVar w:name="LW_EMISSION_ISODATE" w:val="2018-03-22"/>
    <w:docVar w:name="LW_EMISSION_LOCATION" w:val="BRX"/>
    <w:docVar w:name="LW_EMISSION_PREFIX" w:val="Brussel,"/>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persistente organische verontreinigende stoffen (herschikking)"/>
    <w:docVar w:name="LW_OBJETACTEPRINCIPAL.CP" w:val="betreffende persistente organische verontreinigende stoffen (herschikking)"/>
    <w:docVar w:name="LW_PART_NBR" w:val="&lt;UNUSED&gt;"/>
    <w:docVar w:name="LW_PART_NBR_TOTAL" w:val="&lt;UNUSED&gt;"/>
    <w:docVar w:name="LW_REF.INST.NEW" w:val="COM"/>
    <w:docVar w:name="LW_REF.INST.NEW_ADOPTED" w:val="final"/>
    <w:docVar w:name="LW_REF.INST.NEW_TEXT" w:val="(2018)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verordening van het Europees Parlement en de Raad"/>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D472-E4A1-4017-8149-E9148592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13</Pages>
  <Words>5790</Words>
  <Characters>32020</Characters>
  <Application>Microsoft Office Word</Application>
  <DocSecurity>0</DocSecurity>
  <Lines>2910</Lines>
  <Paragraphs>922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QUIRKE</dc:creator>
  <cp:lastModifiedBy>DIGIT/A3</cp:lastModifiedBy>
  <cp:revision>7</cp:revision>
  <cp:lastPrinted>2018-03-02T11:16:00Z</cp:lastPrinted>
  <dcterms:created xsi:type="dcterms:W3CDTF">2018-03-13T15:31:00Z</dcterms:created>
  <dcterms:modified xsi:type="dcterms:W3CDTF">2018-03-15T07:17:00Z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7</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LWCR IsRefonte">
    <vt:lpwstr>True</vt:lpwstr>
  </property>
  <property fmtid="{D5CDD505-2E9C-101B-9397-08002B2CF9AE}" pid="13" name="Unique annex">
    <vt:lpwstr>0</vt:lpwstr>
  </property>
  <property fmtid="{D5CDD505-2E9C-101B-9397-08002B2CF9AE}" pid="14" name="DQCStatus">
    <vt:lpwstr>Green (DQC version 03)</vt:lpwstr>
  </property>
</Properties>
</file>