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65" w:rsidRDefault="005E13BE" w:rsidP="005E13BE"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F151C9F6-B7F3-4147-8390-91A10FA5FF51" style="width:450.75pt;height:6in">
            <v:imagedata r:id="rId7" o:title=""/>
          </v:shape>
        </w:pict>
      </w:r>
    </w:p>
    <w:bookmarkEnd w:id="0"/>
    <w:p w:rsidR="00474565" w:rsidRDefault="00474565">
      <w:pPr>
        <w:rPr>
          <w:noProof/>
        </w:rPr>
        <w:sectPr w:rsidR="00474565" w:rsidSect="005E13B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474565" w:rsidRDefault="005E13BE">
      <w:pPr>
        <w:keepNext/>
        <w:tabs>
          <w:tab w:val="left" w:pos="480"/>
        </w:tabs>
        <w:spacing w:after="120" w:line="240" w:lineRule="auto"/>
        <w:ind w:left="480"/>
        <w:jc w:val="center"/>
        <w:outlineLvl w:val="0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b/>
          <w:smallCaps/>
          <w:noProof/>
          <w:sz w:val="24"/>
        </w:rPr>
        <w:lastRenderedPageBreak/>
        <w:t>Konzultáció az érdekelt felekkel – Összegző jelentés</w:t>
      </w:r>
    </w:p>
    <w:p w:rsidR="00474565" w:rsidRDefault="0047456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</w:p>
    <w:p w:rsidR="00474565" w:rsidRDefault="005E13B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u w:val="single"/>
        </w:rPr>
        <w:t>Kontextus – a szociális jogok európai pillére</w:t>
      </w:r>
    </w:p>
    <w:p w:rsidR="00474565" w:rsidRDefault="005E13BE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2016. március 8-án az Európai Bizottság elfogadta a </w:t>
      </w:r>
      <w:r>
        <w:rPr>
          <w:rFonts w:ascii="Times New Roman" w:hAnsi="Times New Roman"/>
          <w:noProof/>
          <w:sz w:val="24"/>
        </w:rPr>
        <w:t>szociális jogok jövőbeli európai pillérére vonatkozó első előzetes tervezetének előterjesztését tartalmazó közleményt</w:t>
      </w:r>
      <w:r>
        <w:rPr>
          <w:rFonts w:ascii="Times New Roman" w:hAnsi="Times New Roman"/>
          <w:noProof/>
          <w:sz w:val="24"/>
          <w:vertAlign w:val="superscript"/>
        </w:rPr>
        <w:footnoteReference w:id="1"/>
      </w:r>
      <w:r>
        <w:rPr>
          <w:rFonts w:ascii="Times New Roman" w:hAnsi="Times New Roman"/>
          <w:noProof/>
          <w:sz w:val="24"/>
        </w:rPr>
        <w:t>. A közlemény ismertette a kezdeményezés indokait, valamint szerepét, alkalmazási körét és jellegét</w:t>
      </w:r>
      <w:r>
        <w:rPr>
          <w:rFonts w:ascii="Times New Roman" w:hAnsi="Times New Roman"/>
          <w:noProof/>
          <w:sz w:val="24"/>
          <w:vertAlign w:val="superscript"/>
        </w:rPr>
        <w:footnoteReference w:id="2"/>
      </w:r>
      <w:r>
        <w:rPr>
          <w:rFonts w:ascii="Times New Roman" w:hAnsi="Times New Roman"/>
          <w:noProof/>
          <w:sz w:val="24"/>
        </w:rPr>
        <w:t>.</w:t>
      </w:r>
    </w:p>
    <w:p w:rsidR="00474565" w:rsidRDefault="005E13BE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Ennek alapján a Bizottság 2016. márc</w:t>
      </w:r>
      <w:r>
        <w:rPr>
          <w:rFonts w:ascii="Times New Roman" w:hAnsi="Times New Roman"/>
          <w:noProof/>
          <w:sz w:val="24"/>
        </w:rPr>
        <w:t>iusától december 31-ig tartó széles körű nyilvános konzultációt indított annak érdekében, hogy a javaslatban szereplő tervezettel kapcsolatos visszajelzéseket összegyűjtse, és azokat belefoglalja a javaslat végleges változatába. A konzultáció célja az volt</w:t>
      </w:r>
      <w:r>
        <w:rPr>
          <w:rFonts w:ascii="Times New Roman" w:hAnsi="Times New Roman"/>
          <w:noProof/>
          <w:sz w:val="24"/>
        </w:rPr>
        <w:t>, hogy megvitassák a meglévő szociális jogokat, a munka világa és a társadalmak változó realitásait, valamint a pillérnek a gazdasági és monetáris unió szociális dimenziójában betöltött szerepét. A konzultációs folyamat lezárásaként 2017. január 23-án Euró</w:t>
      </w:r>
      <w:r>
        <w:rPr>
          <w:rFonts w:ascii="Times New Roman" w:hAnsi="Times New Roman"/>
          <w:noProof/>
          <w:sz w:val="24"/>
        </w:rPr>
        <w:t>pai konferenciára</w:t>
      </w:r>
      <w:r>
        <w:rPr>
          <w:rFonts w:ascii="Times New Roman" w:hAnsi="Times New Roman"/>
          <w:noProof/>
          <w:sz w:val="24"/>
          <w:vertAlign w:val="superscript"/>
        </w:rPr>
        <w:footnoteReference w:id="3"/>
      </w:r>
      <w:r>
        <w:rPr>
          <w:rFonts w:ascii="Times New Roman" w:hAnsi="Times New Roman"/>
          <w:noProof/>
          <w:sz w:val="24"/>
        </w:rPr>
        <w:t xml:space="preserve"> került sor. A konzultációs folyamat egyik központi témája az volt, hogy hogyan lehet biztosítani az emberek szociális védelmét a foglalkoztatás minden egyes formájában.</w:t>
      </w:r>
    </w:p>
    <w:p w:rsidR="00474565" w:rsidRDefault="005E13BE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Az érdekelt felek kijelentették, hogy „valamennyi emberre – foglalko</w:t>
      </w:r>
      <w:r>
        <w:rPr>
          <w:rFonts w:ascii="Times New Roman" w:hAnsi="Times New Roman"/>
          <w:noProof/>
          <w:sz w:val="24"/>
        </w:rPr>
        <w:t>ztatási jogállásuktól függetlenül – olyan megfelelő és fenntartható szociális védelemnek kell kiterjednie, kellően figyelembe véve a legkiszolgáltatottabbakat is, amely az ellátás és a szolgáltatásnyújtás integrált megközelítésén alapul, beleértve a nemzet</w:t>
      </w:r>
      <w:r>
        <w:rPr>
          <w:rFonts w:ascii="Times New Roman" w:hAnsi="Times New Roman"/>
          <w:noProof/>
          <w:sz w:val="24"/>
        </w:rPr>
        <w:t>i körülményeket tekintetbe vevő, hozzáférhető és fenntartható egészségügyi ellátást, valamint a főként az otthoni és a közösségi alapú szolgáltatásokra épülő tartós ápolás-gondozást, valamint a hajléktalanok társadalomba történő visszailleszkedéséhez szüks</w:t>
      </w:r>
      <w:r>
        <w:rPr>
          <w:rFonts w:ascii="Times New Roman" w:hAnsi="Times New Roman"/>
          <w:noProof/>
          <w:sz w:val="24"/>
        </w:rPr>
        <w:t>éges megfelelő lakhatást és támogatást. A megfelelő mértékű és észszerű időtartamra szóló álláskeresési járadéknak, valamint a megfelelő minimumjövedelem-rendszereknek olyan rugalmas szociális védelmi minimumot kell biztosítaniuk, amely elősegíti a munkaer</w:t>
      </w:r>
      <w:r>
        <w:rPr>
          <w:rFonts w:ascii="Times New Roman" w:hAnsi="Times New Roman"/>
          <w:noProof/>
          <w:sz w:val="24"/>
        </w:rPr>
        <w:t xml:space="preserve">őpiaci visszailleszkedést. A nyugdíjrendszereknek megfelelő védelmet kell nyújtaniuk az időskori szegénység ellen, ugyanakkor biztosítaniuk kell a fenntarthatóságot is a jövőbeli generáció védelme és a szegénységsújtotta gyermekkor elkerüléséhez szükséges </w:t>
      </w:r>
      <w:r>
        <w:rPr>
          <w:rFonts w:ascii="Times New Roman" w:hAnsi="Times New Roman"/>
          <w:noProof/>
          <w:sz w:val="24"/>
        </w:rPr>
        <w:t>források biztosítása érdekében.”</w:t>
      </w:r>
      <w:r>
        <w:rPr>
          <w:rFonts w:ascii="Times New Roman" w:hAnsi="Times New Roman"/>
          <w:noProof/>
          <w:sz w:val="24"/>
          <w:vertAlign w:val="superscript"/>
        </w:rPr>
        <w:footnoteReference w:id="4"/>
      </w:r>
    </w:p>
    <w:p w:rsidR="00474565" w:rsidRDefault="005E13BE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Más uniós intézmények is nyilatkoztak az ezzel kapcsolatos vitában. Mivel az Európai Gazdasági és Szociális Bizottság</w:t>
      </w:r>
      <w:r>
        <w:rPr>
          <w:rFonts w:ascii="Times New Roman" w:hAnsi="Times New Roman"/>
          <w:noProof/>
          <w:sz w:val="24"/>
          <w:vertAlign w:val="superscript"/>
        </w:rPr>
        <w:footnoteReference w:id="5"/>
      </w:r>
      <w:r>
        <w:rPr>
          <w:rFonts w:ascii="Times New Roman" w:hAnsi="Times New Roman"/>
          <w:noProof/>
          <w:sz w:val="24"/>
        </w:rPr>
        <w:t xml:space="preserve"> (amely „úgy véli, hogy az Európai Bizottság által a szociális jogok európai pillérének kialakításáról e</w:t>
      </w:r>
      <w:r>
        <w:rPr>
          <w:rFonts w:ascii="Times New Roman" w:hAnsi="Times New Roman"/>
          <w:noProof/>
          <w:sz w:val="24"/>
        </w:rPr>
        <w:t>lindított vitáknak ki kellene terjedniük a munkavégzés új formáinak keretében tevékenységet folytató munkavállalók helyzetének kérdésére is, különös tekintettel jogállásuk elismerésének módjára, valamint arra, hogy hogyan lehet biztosítani a társadalombizt</w:t>
      </w:r>
      <w:r>
        <w:rPr>
          <w:rFonts w:ascii="Times New Roman" w:hAnsi="Times New Roman"/>
          <w:noProof/>
          <w:sz w:val="24"/>
        </w:rPr>
        <w:t>osítási és szociális védelmi rendszerekhez való megfelelő hozzáférésüket”), valamint a Régiók Bizottsága</w:t>
      </w:r>
      <w:r>
        <w:rPr>
          <w:rFonts w:ascii="Times New Roman" w:hAnsi="Times New Roman"/>
          <w:noProof/>
          <w:sz w:val="24"/>
          <w:vertAlign w:val="superscript"/>
        </w:rPr>
        <w:footnoteReference w:id="6"/>
      </w:r>
      <w:r>
        <w:rPr>
          <w:rFonts w:ascii="Times New Roman" w:hAnsi="Times New Roman"/>
          <w:noProof/>
          <w:sz w:val="24"/>
        </w:rPr>
        <w:t xml:space="preserve"> (amely „úgy véli, hogy az új foglalkoztatási formáknak vagy az új közös európai minimumszabályok bevezetésének mindig megfelelő szintű szociális védel</w:t>
      </w:r>
      <w:r>
        <w:rPr>
          <w:rFonts w:ascii="Times New Roman" w:hAnsi="Times New Roman"/>
          <w:noProof/>
          <w:sz w:val="24"/>
        </w:rPr>
        <w:t xml:space="preserve">met kell lehetővé tennie”) releváns elemekkel járult </w:t>
      </w:r>
      <w:r>
        <w:rPr>
          <w:rFonts w:ascii="Times New Roman" w:hAnsi="Times New Roman"/>
          <w:noProof/>
          <w:sz w:val="24"/>
        </w:rPr>
        <w:lastRenderedPageBreak/>
        <w:t>hozzá a vitához, az Európai Parlament</w:t>
      </w:r>
      <w:r>
        <w:rPr>
          <w:rFonts w:ascii="Times New Roman" w:hAnsi="Times New Roman"/>
          <w:noProof/>
          <w:sz w:val="24"/>
          <w:vertAlign w:val="superscript"/>
        </w:rPr>
        <w:footnoteReference w:id="7"/>
      </w:r>
      <w:r>
        <w:rPr>
          <w:rFonts w:ascii="Times New Roman" w:hAnsi="Times New Roman"/>
          <w:noProof/>
          <w:sz w:val="24"/>
        </w:rPr>
        <w:t xml:space="preserve"> tovább lépve olyan ajánlást sürgetett, amely valamennyi foglalkoztatási formában és önálló vállalkozásban dolgozó emberre kiterjed.</w:t>
      </w:r>
    </w:p>
    <w:p w:rsidR="00474565" w:rsidRDefault="00474565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74565" w:rsidRDefault="00474565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74565" w:rsidRDefault="00474565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74565" w:rsidRDefault="005E13B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u w:val="single"/>
        </w:rPr>
        <w:t xml:space="preserve">A szociális védelemhez való </w:t>
      </w:r>
      <w:r>
        <w:rPr>
          <w:rFonts w:ascii="Times New Roman" w:hAnsi="Times New Roman"/>
          <w:b/>
          <w:noProof/>
          <w:sz w:val="24"/>
          <w:u w:val="single"/>
        </w:rPr>
        <w:t>hozzáféréssel kapcsolatos kezdeményezés</w:t>
      </w:r>
    </w:p>
    <w:p w:rsidR="00474565" w:rsidRDefault="005E13BE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Több érdekelt féllel is folyt konzultáció annak érdekében, hogy a kezdeményezés megalapozott legyen. Ez magában foglalta az EUMSZ 154. cikkében előírt, az európai szociális partnerekkel folytatott kétlépcsős konzultá</w:t>
      </w:r>
      <w:r>
        <w:rPr>
          <w:rFonts w:ascii="Times New Roman" w:hAnsi="Times New Roman"/>
          <w:noProof/>
          <w:sz w:val="24"/>
        </w:rPr>
        <w:t>ciós eljárást.</w:t>
      </w:r>
    </w:p>
    <w:p w:rsidR="00474565" w:rsidRDefault="005E13BE">
      <w:pPr>
        <w:keepNext/>
        <w:spacing w:after="12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1. A bevezető hatásvizsgálat eredményei</w:t>
      </w:r>
    </w:p>
    <w:p w:rsidR="00474565" w:rsidRDefault="005E13BE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A Bizottság összesen kilenc visszajelzést kapott magánszemélyektől/szervezetektől a kezdeti hatásvizsgálatról: hatot Hollandiából, egyet-egyet pedig Belgiumból, Németországból és az Egyesült Királyságb</w:t>
      </w:r>
      <w:r>
        <w:rPr>
          <w:rFonts w:ascii="Times New Roman" w:hAnsi="Times New Roman"/>
          <w:noProof/>
          <w:sz w:val="24"/>
        </w:rPr>
        <w:t xml:space="preserve">ól. A Hollandiából magánszemélyektől/szövetségektől kapott visszajelzések hangsúlyozzák a szubszidiaritás elvét, és hogy az önálló vállalkozók saját hatáskörben szeretnék meghozni a sajátdöntéseiket, ideértve a kockázatok biztosításáról való döntést. Egy, </w:t>
      </w:r>
      <w:r>
        <w:rPr>
          <w:rFonts w:ascii="Times New Roman" w:hAnsi="Times New Roman"/>
          <w:noProof/>
          <w:sz w:val="24"/>
        </w:rPr>
        <w:t>az Egyesült Királyságban működő üzleti szervezet úgy véli, hogy rövid- és középtávon (2–5 év) könnyebb önkéntes rendszereket megvalósítani a tagállamokban, ez azonban nemzeti szintű végrehajtást igényel, amibe a kormányok lehetséges, hogy nehezen egyeznéne</w:t>
      </w:r>
      <w:r>
        <w:rPr>
          <w:rFonts w:ascii="Times New Roman" w:hAnsi="Times New Roman"/>
          <w:noProof/>
          <w:sz w:val="24"/>
        </w:rPr>
        <w:t>k bele. Az EuroHealthNet visszajelzése a szociális védelemnek az egészségi egyenlőtlenségek csökkentésében játszott jelentős szerepére összpontosít, a német társadalombiztosítási szövetség (DSV) ernyőszervezete pedig támogatja a szociális védelemhez való h</w:t>
      </w:r>
      <w:r>
        <w:rPr>
          <w:rFonts w:ascii="Times New Roman" w:hAnsi="Times New Roman"/>
          <w:noProof/>
          <w:sz w:val="24"/>
        </w:rPr>
        <w:t>ozzáférésről szóló vitát, és azt az elképzelést, hogy a szociális védelmi rendszereket a munka világának változásaihoz kell igazítani, hogy kiállják az idő próbáját.</w:t>
      </w:r>
    </w:p>
    <w:p w:rsidR="00474565" w:rsidRDefault="005E13BE">
      <w:pPr>
        <w:keepNext/>
        <w:spacing w:after="12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2. A szociális partnerekkel folytatott konzultáció első szakaszának eredményei</w:t>
      </w:r>
    </w:p>
    <w:p w:rsidR="00474565" w:rsidRDefault="005E13BE">
      <w:pPr>
        <w:spacing w:after="12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A szociális</w:t>
      </w:r>
      <w:r>
        <w:rPr>
          <w:rFonts w:ascii="Times New Roman" w:hAnsi="Times New Roman"/>
          <w:noProof/>
          <w:sz w:val="24"/>
        </w:rPr>
        <w:t xml:space="preserve"> partnerekkel folytatott konzultáció első szakasza 2017. április 29-én indult, és 2017. június 23-án zárult le.</w:t>
      </w:r>
    </w:p>
    <w:p w:rsidR="00474565" w:rsidRDefault="005E13BE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A konzultációra válaszoló szakszervezetek a következők voltak: az Európai Szakszervezetek Szövetsége (ESZSZ), az Eurocadres és a Vállalatvezetők</w:t>
      </w:r>
      <w:r>
        <w:rPr>
          <w:rFonts w:ascii="Times New Roman" w:hAnsi="Times New Roman"/>
          <w:noProof/>
          <w:sz w:val="24"/>
        </w:rPr>
        <w:t xml:space="preserve"> és Menedzserek Európai Szövetsége (CEC), a Független Szakszervezetek Európai Szövetsége (CESI), az Európai Művészeti és Szórakoztatóipari Szövetség (EAEA) és az Európai Újságíró Szövetség (EFJ). Meg kell jegyezni, hogy az ESZSZ válaszában az ESZSZ tíz ága</w:t>
      </w:r>
      <w:r>
        <w:rPr>
          <w:rFonts w:ascii="Times New Roman" w:hAnsi="Times New Roman"/>
          <w:noProof/>
          <w:sz w:val="24"/>
        </w:rPr>
        <w:t>zati szakszervezetének álláspontját is figyelembe vették.</w:t>
      </w:r>
    </w:p>
    <w:p w:rsidR="00474565" w:rsidRDefault="005E13BE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A munkáltatók részéről a következőktől érkeztek válaszok: BusinessEurope (Európai Vállalkozói Szövetség), az Állami és Közszolgáltatási Vállalatok Európai Központja (CEEP), az EuroCommerce, az Európ</w:t>
      </w:r>
      <w:r>
        <w:rPr>
          <w:rFonts w:ascii="Times New Roman" w:hAnsi="Times New Roman"/>
          <w:noProof/>
          <w:sz w:val="24"/>
        </w:rPr>
        <w:t>ai Kis- és Középvállalkozások Szövetsége (UEAPME), az Európai Fémipari, Műszaki és Technológiaalapú Iparági Munkáltatók Tanácsa (CEEMET), Európai Települések és Régiók Tanácsa (CEMR), az Európai Vegyipari Munkaadók Szövetsége (ECEG), (ECEG), az Európai Szá</w:t>
      </w:r>
      <w:r>
        <w:rPr>
          <w:rFonts w:ascii="Times New Roman" w:hAnsi="Times New Roman"/>
          <w:noProof/>
          <w:sz w:val="24"/>
        </w:rPr>
        <w:t>llodák, Éttermek és Kávéházak Európai Szakmai Szövetsége (HOTREC), az Európai Unióban működő kiskereskedelmi, nagykereskedelmi és nemzetközi kereskedelmi képviselet (EuroCommerce), az Európai Unió Mezőgazdasági Szakmai Szervezeteinek Bizottsága keretében m</w:t>
      </w:r>
      <w:r>
        <w:rPr>
          <w:rFonts w:ascii="Times New Roman" w:hAnsi="Times New Roman"/>
          <w:noProof/>
          <w:sz w:val="24"/>
        </w:rPr>
        <w:t xml:space="preserve">űködő munkáltatói csoport (GEOPA-COPA) és a foglalkoztatási világszövetség (WEC). </w:t>
      </w:r>
    </w:p>
    <w:p w:rsidR="00474565" w:rsidRDefault="005E13B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lastRenderedPageBreak/>
        <w:t>A szociális védelemhez való hozzáféréssel kapcsolatos kérdések meghatározása</w:t>
      </w:r>
    </w:p>
    <w:p w:rsidR="00474565" w:rsidRDefault="005E13BE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Nagyrészt valamennyi szociális partner egyetértett abban, hogy az atipikus foglalkoztatási formá</w:t>
      </w:r>
      <w:r>
        <w:rPr>
          <w:rFonts w:ascii="Times New Roman" w:hAnsi="Times New Roman"/>
          <w:noProof/>
          <w:sz w:val="24"/>
        </w:rPr>
        <w:t>kban dolgozó munkavállalók és az önálló vállalkozók számára problémát jelent a szociális védelemhez való hozzáférés.</w:t>
      </w:r>
    </w:p>
    <w:p w:rsidR="00474565" w:rsidRDefault="005E13BE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A munkáltatók azonban hangsúlyozták, hogy a foglalkoztatási formák igen eltérő típusainak az „atipikus” kategóriába való összevonása nem me</w:t>
      </w:r>
      <w:r>
        <w:rPr>
          <w:rFonts w:ascii="Times New Roman" w:hAnsi="Times New Roman"/>
          <w:noProof/>
          <w:sz w:val="24"/>
        </w:rPr>
        <w:t xml:space="preserve">gfelelő, mivel figyelmen kívül hagyja e formák sokféleségét, valamint az azok keretében dolgozók szükségleteit és igényeit, többek között a szociális védelemhez való hozzáférés tekintetében is (BusinessEurope). A WEC az önálló vállalkozók körében fennálló </w:t>
      </w:r>
      <w:r>
        <w:rPr>
          <w:rFonts w:ascii="Times New Roman" w:hAnsi="Times New Roman"/>
          <w:noProof/>
          <w:sz w:val="24"/>
        </w:rPr>
        <w:t>heterogenitásra is rámutatott. Az Európai Kis- és Középvállalkozások Szövetsége (UEAPME) a nemzeti politikák alapos feltérképezésére, a személyre szabott szociális védelmi rendszerek rendelkezésre állására és kínálatára, valamint a különböző csoportok rész</w:t>
      </w:r>
      <w:r>
        <w:rPr>
          <w:rFonts w:ascii="Times New Roman" w:hAnsi="Times New Roman"/>
          <w:noProof/>
          <w:sz w:val="24"/>
        </w:rPr>
        <w:t>vételi arányának lebontására szólított fel. Az Állami és Közszolgáltatási Vállalatok Európai Központja (CEEP) kiemelte a különböző munkaerőpiaci és szociális modelleket, amelyek megmagyarázzák a védelem különböző szintjeit.</w:t>
      </w:r>
    </w:p>
    <w:p w:rsidR="00474565" w:rsidRDefault="005E13BE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Ezzel szemben a szakszervezetek </w:t>
      </w:r>
      <w:r>
        <w:rPr>
          <w:rFonts w:ascii="Times New Roman" w:hAnsi="Times New Roman"/>
          <w:noProof/>
          <w:sz w:val="24"/>
        </w:rPr>
        <w:t>megállapították, hogy a kérdések azonosítása helyes irányba halad, ugyanakkor tovább lehetne őket pontosítani azzal a megállapítással, hogy a munka új formái rossz minőségű állásokat és bizonytalan feltételeket eredményeznek, amelyek inkább vezetnek az éle</w:t>
      </w:r>
      <w:r>
        <w:rPr>
          <w:rFonts w:ascii="Times New Roman" w:hAnsi="Times New Roman"/>
          <w:noProof/>
          <w:sz w:val="24"/>
        </w:rPr>
        <w:t>ttel kapcsolatos kockázatokkal szembeni védelem hiányához, mint valódi munkalehetőségekhez (ESZSZ, Eurocadres). A kérdéseket ki lehetne terjeszteni a kollektív tárgyaláshoz való jogra, a mindenki számára biztosított méltányos díjazásra, valamint a valamenn</w:t>
      </w:r>
      <w:r>
        <w:rPr>
          <w:rFonts w:ascii="Times New Roman" w:hAnsi="Times New Roman"/>
          <w:noProof/>
          <w:sz w:val="24"/>
        </w:rPr>
        <w:t>yi munkavállaló számára biztosított egyesülési szabadságra (EFJ). A szakszervezetek hangsúlyozták továbbá, hogy az összhangot az írásbeli tájékoztatási kötelezettségről szóló irányelvnek a szociális biztonsági rendszerről szóló tájékoztatással való kibővít</w:t>
      </w:r>
      <w:r>
        <w:rPr>
          <w:rFonts w:ascii="Times New Roman" w:hAnsi="Times New Roman"/>
          <w:noProof/>
          <w:sz w:val="24"/>
        </w:rPr>
        <w:t>ésére vonatkozó javaslatokkal kell biztosítani. (ETUC, Eurocadres).</w:t>
      </w:r>
    </w:p>
    <w:p w:rsidR="00474565" w:rsidRDefault="005E13B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A szociális védelmi és foglalkoztatási szolgálatok legfontosabb ágazatai</w:t>
      </w:r>
    </w:p>
    <w:p w:rsidR="00474565" w:rsidRDefault="005E13BE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A szakszervezetek – a fenti, az egyes szakpolitikai területek között megmutatkozó különbségekről szóló pontoktól fü</w:t>
      </w:r>
      <w:r>
        <w:rPr>
          <w:rFonts w:ascii="Times New Roman" w:hAnsi="Times New Roman"/>
          <w:noProof/>
          <w:sz w:val="24"/>
        </w:rPr>
        <w:t>ggetlenül – az összes ágazatot egyformán fontosnak tartják és a szociális védelem integrált és holisztikus megközelítését támogatják, ideértve az 102. számú ILO-egyezmény (valamint a szociális biztonsági rendszerek koordinálásáról szóló rendelet) hatálya a</w:t>
      </w:r>
      <w:r>
        <w:rPr>
          <w:rFonts w:ascii="Times New Roman" w:hAnsi="Times New Roman"/>
          <w:noProof/>
          <w:sz w:val="24"/>
        </w:rPr>
        <w:t>lá tartozó valamennyi ágazatot. Ha fontossági sorrendet kell kialakítani, a CEC a nem univerzális ágazatokat részesítené előnyben. Mindenki számára hozzáférést kell biztosítani a kapcsolódó foglalkoztatási szolgálatokhoz.</w:t>
      </w:r>
    </w:p>
    <w:p w:rsidR="00474565" w:rsidRDefault="005E13BE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A munkáltatói oldalról nézve a kép</w:t>
      </w:r>
      <w:r>
        <w:rPr>
          <w:rFonts w:ascii="Times New Roman" w:hAnsi="Times New Roman"/>
          <w:noProof/>
          <w:sz w:val="24"/>
        </w:rPr>
        <w:t xml:space="preserve"> vegyes. A BusinessEurope úgy véli, hogy a kérdés eleve azt feltételezi, hogy ezen a területen uniós kezdeményezés születik (amelyet a szervezet nem támogat). Az EuroCommerce megkérdőjelezi a szociális védelmi területek osztályozásának megvalósíthatóságát,</w:t>
      </w:r>
      <w:r>
        <w:rPr>
          <w:rFonts w:ascii="Times New Roman" w:hAnsi="Times New Roman"/>
          <w:noProof/>
          <w:sz w:val="24"/>
        </w:rPr>
        <w:t xml:space="preserve"> míg a COPA a munkahelyi baleseteket és a foglalkozási megbetegedéseket kívánja kiemelten kezelni. Az HOTREC utal arra, hogy a szociális védelem a tagállamok hatáskörébe tartozik, de hangsúlyozza, hogy a készségeknek, az oktatásnak és a képzésnek minden po</w:t>
      </w:r>
      <w:r>
        <w:rPr>
          <w:rFonts w:ascii="Times New Roman" w:hAnsi="Times New Roman"/>
          <w:noProof/>
          <w:sz w:val="24"/>
        </w:rPr>
        <w:t>lgár számára könnyen hozzáférhetőnek kell lennie.</w:t>
      </w:r>
    </w:p>
    <w:p w:rsidR="00474565" w:rsidRDefault="005E13B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Az uniós kezdeményezés személyi hatálya</w:t>
      </w:r>
    </w:p>
    <w:p w:rsidR="00474565" w:rsidRDefault="005E13BE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A szakszervezetek általában véve előnyben részesítik a széles körű személyi hatályt, és az atipikus foglalkoztatási formákban foglalkoztatott valamennyi munkavállalón</w:t>
      </w:r>
      <w:r>
        <w:rPr>
          <w:rFonts w:ascii="Times New Roman" w:hAnsi="Times New Roman"/>
          <w:noProof/>
          <w:sz w:val="24"/>
        </w:rPr>
        <w:t>ak, csakúgy mint az önálló vállalkozóknak az uniós kezdeményezésbe való belefoglalását. Ugyanakkor egyes szereplők először is az alapelvek meghatározását kérték a különböző foglalkoztatási formák jogi természetének közös, uniós szintű értelmezése érdekében</w:t>
      </w:r>
      <w:r>
        <w:rPr>
          <w:rFonts w:ascii="Times New Roman" w:hAnsi="Times New Roman"/>
          <w:noProof/>
          <w:sz w:val="24"/>
        </w:rPr>
        <w:t xml:space="preserve"> (CEC, CESI).</w:t>
      </w:r>
    </w:p>
    <w:p w:rsidR="00474565" w:rsidRDefault="005E13BE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A munkáltatók nem szívesen válaszolnak az uniós kezdeményezés személyi hatályára vonatkozó kérdésre, mivel vagy nem támogatják az EU kezdeményezést (BusinessEurope), vagy a szubszidiaritás elvére hivatkoznak (HOTREC), vagy úgy vélik, hogy a s</w:t>
      </w:r>
      <w:r>
        <w:rPr>
          <w:rFonts w:ascii="Times New Roman" w:hAnsi="Times New Roman"/>
          <w:noProof/>
          <w:sz w:val="24"/>
        </w:rPr>
        <w:t>zemélyi hatály az adott kezdeményezés jellegétől függene (EuroCommerce). A CEMR hangsúlyozza, hogy pontosabban meg kell határozni a foglalkoztatás különböző formáinak jogi természetét, míg a COPA egy uniós jogi kezdeményezésbe valamennyi atipikus munkavisz</w:t>
      </w:r>
      <w:r>
        <w:rPr>
          <w:rFonts w:ascii="Times New Roman" w:hAnsi="Times New Roman"/>
          <w:noProof/>
          <w:sz w:val="24"/>
        </w:rPr>
        <w:t>onyban dolgozó munkavállalót belefoglalná, az önálló vállalkozókat azonban csak egy ajánlásba.</w:t>
      </w:r>
    </w:p>
    <w:p w:rsidR="00474565" w:rsidRDefault="005E13B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Uniós jogszabályok és uniós szintű eszközök</w:t>
      </w:r>
    </w:p>
    <w:p w:rsidR="00474565" w:rsidRDefault="005E13BE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A BusinessEurope, az UEAPME és az EuroCommerce véleménye szerint az ezen a területen meglévő uniós jogszabályok módos</w:t>
      </w:r>
      <w:r>
        <w:rPr>
          <w:rFonts w:ascii="Times New Roman" w:hAnsi="Times New Roman"/>
          <w:noProof/>
          <w:sz w:val="24"/>
        </w:rPr>
        <w:t xml:space="preserve">ítása nem szükséges és nem megfelelő. A nyitott koordinációs módszer és az európai szemeszter folyamata, beleértve a referenciaértékeket is, megfelelő eszközök lennének a kölcsönös tanulás és a bevált gyakorlatok cseréjének elősegítéséhez. A cél a nemzeti </w:t>
      </w:r>
      <w:r>
        <w:rPr>
          <w:rFonts w:ascii="Times New Roman" w:hAnsi="Times New Roman"/>
          <w:noProof/>
          <w:sz w:val="24"/>
        </w:rPr>
        <w:t>szakpolitikai válaszoknak a többi tagállam releváns gyakorlatából való tanulás révén való javítása lenne. Más munkáltatói érdekképviseleti szervezetek az ágazati szociális párbeszédre (COPA), a tagállamok hatásköreire, valamint a szubszidiaritás és az arán</w:t>
      </w:r>
      <w:r>
        <w:rPr>
          <w:rFonts w:ascii="Times New Roman" w:hAnsi="Times New Roman"/>
          <w:noProof/>
          <w:sz w:val="24"/>
        </w:rPr>
        <w:t xml:space="preserve">yosság elvére hívják fel a figyelmet (CEEMET, ECEG, EuroCommerce, WEC és CEEP). </w:t>
      </w:r>
    </w:p>
    <w:p w:rsidR="00474565" w:rsidRDefault="005E13BE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A szakszervezeti oldal úgy véli, hogy javítani kell az uniós jogszabályokat. Az ESZSZ és a CESI szerint a meglévő jogszabályokat jobban érvényre kell juttatni, különösen nemze</w:t>
      </w:r>
      <w:r>
        <w:rPr>
          <w:rFonts w:ascii="Times New Roman" w:hAnsi="Times New Roman"/>
          <w:noProof/>
          <w:sz w:val="24"/>
        </w:rPr>
        <w:t>ti szinten. A CEC megemlíti a magánszemély foglalkoztatási helyzetére vonatkozó tájékoztatáshoz kapcsolódó adminisztratív teher csökkentésének, valamint a jogosultságok tényleges hordozhatósága biztosításának szükségességét.</w:t>
      </w:r>
    </w:p>
    <w:p w:rsidR="00474565" w:rsidRDefault="005E13B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A tárgyalások megkezdésére való</w:t>
      </w:r>
      <w:r>
        <w:rPr>
          <w:rFonts w:ascii="Times New Roman" w:hAnsi="Times New Roman"/>
          <w:b/>
          <w:noProof/>
          <w:sz w:val="24"/>
        </w:rPr>
        <w:t xml:space="preserve"> hajlandóság</w:t>
      </w:r>
    </w:p>
    <w:p w:rsidR="00474565" w:rsidRDefault="005E13BE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A szakszervezetek mindegyike jelezte, hogy készen áll a tárgyalások megkezdésére. A szakszervezetek sürgetik a Bizottságot, hogy amennyiben az uniós szociális partnerek nem állapodnak meg a tárgyalásokban, vagy a tárgyalások nem vezetnek eredm</w:t>
      </w:r>
      <w:r>
        <w:rPr>
          <w:rFonts w:ascii="Times New Roman" w:hAnsi="Times New Roman"/>
          <w:noProof/>
          <w:sz w:val="24"/>
        </w:rPr>
        <w:t>ényre, terjesszen elő jogalkotási javaslatot.</w:t>
      </w:r>
    </w:p>
    <w:p w:rsidR="00474565" w:rsidRDefault="005E13BE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A munkáltatók nem mérlegelik az EUMSZ 155. cikke szerinti párbeszéd kezdeményezését, mivel a – társaktól való tanulástól és a gyakorlatok cseréjétől eltekintve (BusinessEurope) – nem látják be az uniós szintű </w:t>
      </w:r>
      <w:r>
        <w:rPr>
          <w:rFonts w:ascii="Times New Roman" w:hAnsi="Times New Roman"/>
          <w:noProof/>
          <w:sz w:val="24"/>
        </w:rPr>
        <w:t xml:space="preserve">fellépés szükségét, illetve mivel a szubszidiaritás ebben a témában elsőbbséget élvez (HOTREC, UAPME), és ezért jobban kezelhető a nemzeti kormányokon belül (az EuroCommerce) vagy az ágazati szociális párbeszéd keretében (COPA). Az CEEP hangsúlyozza, hogy </w:t>
      </w:r>
      <w:r>
        <w:rPr>
          <w:rFonts w:ascii="Times New Roman" w:hAnsi="Times New Roman"/>
          <w:noProof/>
          <w:sz w:val="24"/>
        </w:rPr>
        <w:t>elsősorban releváns mutatókat kell meghatározni.</w:t>
      </w:r>
    </w:p>
    <w:p w:rsidR="00474565" w:rsidRDefault="005E13B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A konzultáció tárgya</w:t>
      </w:r>
    </w:p>
    <w:p w:rsidR="00474565" w:rsidRDefault="005E13BE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Az ESZSZ hiányolta a minőségi munkahelyek létrehozására vonatkozó egyértelmű javaslatokat, valamint a nyomon követésükre szolgáló, többek között a szociális védelemhez való hozzáférés te</w:t>
      </w:r>
      <w:r>
        <w:rPr>
          <w:rFonts w:ascii="Times New Roman" w:hAnsi="Times New Roman"/>
          <w:noProof/>
          <w:sz w:val="24"/>
        </w:rPr>
        <w:t>kintetében elfogadott mutatókat. Ezért az ESZSZ az elégtelen hozzáférés (a szociális védelemhez való hozzáférés hiánya, a jogok hordozhatóságának hiánya, valamint a szociális védelmi jogosultságok átláthatóságának hiánya) meghatározott fő szempontjait mego</w:t>
      </w:r>
      <w:r>
        <w:rPr>
          <w:rFonts w:ascii="Times New Roman" w:hAnsi="Times New Roman"/>
          <w:noProof/>
          <w:sz w:val="24"/>
        </w:rPr>
        <w:t>ldásra váró, fontos kihívásoknak minősítette, azonban a hangsúlyt annak megkérdőjelezésére helyezné, hogy az emberek szociális védelmi és foglalkoztatási szolgálatok tekintetében meglévő szociális jogai miért eltérőek.</w:t>
      </w:r>
    </w:p>
    <w:p w:rsidR="00474565" w:rsidRDefault="005E13B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További konzultáció a szociális partn</w:t>
      </w:r>
      <w:r>
        <w:rPr>
          <w:rFonts w:ascii="Times New Roman" w:hAnsi="Times New Roman"/>
          <w:b/>
          <w:noProof/>
          <w:sz w:val="24"/>
        </w:rPr>
        <w:t>erekkel</w:t>
      </w:r>
    </w:p>
    <w:p w:rsidR="00474565" w:rsidRDefault="005E13BE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A foglalkoztatási és szociális főigazgatóság kétoldalú megbeszéléseket folytatott mind a 16 szociális partnerrel, amelyek benyújtották álláspontjukat a szociális partnerekkel folytatott konzultáció első szakaszában. Ezekre a megbeszélésekre július 14. és s</w:t>
      </w:r>
      <w:r>
        <w:rPr>
          <w:rFonts w:ascii="Times New Roman" w:hAnsi="Times New Roman"/>
          <w:noProof/>
          <w:sz w:val="24"/>
        </w:rPr>
        <w:t xml:space="preserve">zeptember 5. között került sor. A kétoldalú találkozók célja az volt, hogy a szakmai pontosításokra összpontosítsanak, és amennyiben lehetséges, további információkat gyűjtsenek. A beérkezett információkat e dokumentum vonatkozó fejezetei tartalmazzák. </w:t>
      </w:r>
    </w:p>
    <w:p w:rsidR="00474565" w:rsidRDefault="00474565">
      <w:pPr>
        <w:spacing w:after="120" w:line="240" w:lineRule="auto"/>
        <w:jc w:val="both"/>
        <w:rPr>
          <w:rFonts w:ascii="Calibri" w:eastAsia="Calibri" w:hAnsi="Calibri" w:cs="Times New Roman"/>
          <w:noProof/>
        </w:rPr>
      </w:pPr>
      <w:bookmarkStart w:id="2" w:name="_Toc500495879"/>
    </w:p>
    <w:p w:rsidR="00474565" w:rsidRDefault="005E13BE">
      <w:pPr>
        <w:keepNext/>
        <w:spacing w:after="12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3</w:t>
      </w:r>
      <w:r>
        <w:rPr>
          <w:rFonts w:ascii="Times New Roman" w:hAnsi="Times New Roman"/>
          <w:b/>
          <w:noProof/>
          <w:sz w:val="24"/>
        </w:rPr>
        <w:t>. A szociális partnerekkel folytatott konzultáció második szakaszának eredményei</w:t>
      </w:r>
      <w:bookmarkEnd w:id="2"/>
    </w:p>
    <w:p w:rsidR="00474565" w:rsidRDefault="005E13BE">
      <w:pPr>
        <w:spacing w:after="12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A szociális partnerekkel folytatott konzultáció második szakasza november 20-án indult, és 2018. január 5-én zárult le.</w:t>
      </w:r>
    </w:p>
    <w:p w:rsidR="00474565" w:rsidRDefault="005E13BE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A konzultációra válaszoló szakszervezetek a következők </w:t>
      </w:r>
      <w:r>
        <w:rPr>
          <w:rFonts w:ascii="Times New Roman" w:hAnsi="Times New Roman"/>
          <w:noProof/>
          <w:sz w:val="24"/>
        </w:rPr>
        <w:t>voltak: az Európai Szakszervezetek Szövetsége (ESZSZ), az Eurocadres és a Vállalatvezetők és Menedzserek Európai Szövetsége (CEC), a Független Szakszervezetek Európai Szövetsége (CESI), az Európai Művészeti és Szórakoztatóipari Szövetség (EAEA), az UNI Glo</w:t>
      </w:r>
      <w:r>
        <w:rPr>
          <w:rFonts w:ascii="Times New Roman" w:hAnsi="Times New Roman"/>
          <w:noProof/>
          <w:sz w:val="24"/>
        </w:rPr>
        <w:t xml:space="preserve">bal Union szakszervezet európai tagozata és a Foglalkoztatási Világszövetség (WEC). </w:t>
      </w:r>
    </w:p>
    <w:p w:rsidR="00474565" w:rsidRDefault="005E13BE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A munkáltatók részéről a következő szervezetektől érkeztek válaszok: a BusinessEurope, az Állami és Közszolgáltatási Vállalatok Európai Központja (CEEP), az EuroCommerce, </w:t>
      </w:r>
      <w:r>
        <w:rPr>
          <w:rFonts w:ascii="Times New Roman" w:hAnsi="Times New Roman"/>
          <w:noProof/>
          <w:sz w:val="24"/>
        </w:rPr>
        <w:t>az Európai Kis- és Középvállalkozások Szövetsége (UEAPME), az Európai Fémipari, Műszaki és Technológiaalapú Iparági Munkáltatók Tanácsa (CEEMET), az Európai Vegyipari Munkaadók Szövetsége (ECEG), valamint az Európai Szállodák, Éttermek és Kávéházak Európai</w:t>
      </w:r>
      <w:r>
        <w:rPr>
          <w:rFonts w:ascii="Times New Roman" w:hAnsi="Times New Roman"/>
          <w:noProof/>
          <w:sz w:val="24"/>
        </w:rPr>
        <w:t xml:space="preserve"> Szakmai Szövetsége (HOTREC). </w:t>
      </w:r>
    </w:p>
    <w:p w:rsidR="00474565" w:rsidRDefault="005E13B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A fedezetre, az átruházhatóságra és az átláthatóságra vonatkozó célkitűzések</w:t>
      </w:r>
    </w:p>
    <w:p w:rsidR="00474565" w:rsidRDefault="005E13BE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A szakszervezetek egyetértenek a kezdeményezésnek a fedezetre, hordozhatóságra és átláthatóságra vonatkozó célkitűzéseivel. Az ESZSZ szerint rendkív</w:t>
      </w:r>
      <w:r>
        <w:rPr>
          <w:rFonts w:ascii="Times New Roman" w:hAnsi="Times New Roman"/>
          <w:noProof/>
          <w:sz w:val="24"/>
        </w:rPr>
        <w:t xml:space="preserve">ül fontos a formai és a tényleges fedezet, amelyeket ki kell egészíteni a </w:t>
      </w:r>
      <w:r>
        <w:rPr>
          <w:rFonts w:ascii="Times New Roman" w:hAnsi="Times New Roman"/>
          <w:i/>
          <w:noProof/>
          <w:sz w:val="24"/>
        </w:rPr>
        <w:t>megfelelő</w:t>
      </w:r>
      <w:r>
        <w:rPr>
          <w:rFonts w:ascii="Times New Roman" w:hAnsi="Times New Roman"/>
          <w:noProof/>
          <w:sz w:val="24"/>
        </w:rPr>
        <w:t xml:space="preserve"> szociális védelemhez való hozzáféréssel. A járulékoknak és juttatásoknak (az önálló vállalkozók és az atipikus munkavállalók esetében) amennyire csak lehet, meg kell egyezn</w:t>
      </w:r>
      <w:r>
        <w:rPr>
          <w:rFonts w:ascii="Times New Roman" w:hAnsi="Times New Roman"/>
          <w:noProof/>
          <w:sz w:val="24"/>
        </w:rPr>
        <w:t xml:space="preserve">iük a szabványos munkaszerződésekkel alkalmazott munkavállalók esetében alkalmazott járulékokkal és juttatásokkal (CESI). A szociális védelmi jogok egyénekhez való kapcsolásának nem szabad a szociális védelem individualizációjához vezetnie, és a kollektív </w:t>
      </w:r>
      <w:r>
        <w:rPr>
          <w:rFonts w:ascii="Times New Roman" w:hAnsi="Times New Roman"/>
          <w:noProof/>
          <w:sz w:val="24"/>
        </w:rPr>
        <w:t>dimenziónak továbbra is fenn kell maradnia (EAEA). E jogok, ellátások és jogosultságok teljes körű hordozhatóságát és felhalmozását a foglalkoztatás formájától vagy időtartamától függetlenül biztosítani kell (UNI Europa). Kiemelték a képzési és foglalkozta</w:t>
      </w:r>
      <w:r>
        <w:rPr>
          <w:rFonts w:ascii="Times New Roman" w:hAnsi="Times New Roman"/>
          <w:noProof/>
          <w:sz w:val="24"/>
        </w:rPr>
        <w:t xml:space="preserve">tási szolgáltatásokhoz való hozzáférés fontosságát is (Eurocadres). Valamennyi szakszervezet egyetért abban, hogy nagyobb átláthatóságra van szükség. </w:t>
      </w:r>
    </w:p>
    <w:p w:rsidR="00474565" w:rsidRDefault="005E13BE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A munkáltatói oldalon a kép meglehetősen vegyes. A legtöbb munkáltatói szervezet nagymértékben egyetért a</w:t>
      </w:r>
      <w:r>
        <w:rPr>
          <w:rFonts w:ascii="Times New Roman" w:hAnsi="Times New Roman"/>
          <w:noProof/>
          <w:sz w:val="24"/>
        </w:rPr>
        <w:t xml:space="preserve"> három célkitűzéssel, de kiemeli a tagállamok hatáskörét ezen a területen (BusinessEurope, EuroCommerce, CEEMET, CEEP és UAPME).</w:t>
      </w:r>
    </w:p>
    <w:p w:rsidR="00474565" w:rsidRDefault="005E13BE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Az ECEG nem osztja azt a nézetet, hogy az atipikus munkavállalók és az önálló vállalkozók csak korlátozott mértékben férnek hoz</w:t>
      </w:r>
      <w:r>
        <w:rPr>
          <w:rFonts w:ascii="Times New Roman" w:hAnsi="Times New Roman"/>
          <w:noProof/>
          <w:sz w:val="24"/>
        </w:rPr>
        <w:t>zá a szociális védelemhez, és nem látja szükségesnek a munkavállalók meghatározásának közös, uniós szintű vizsgálatát.</w:t>
      </w:r>
    </w:p>
    <w:p w:rsidR="00474565" w:rsidRDefault="005E13BE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A HOTREC egyetért az átláthatóság növelésének szükségességével, de azzal érvel, hogy a szubszidiaritás elve elsőbbséget élvez, ezért a ho</w:t>
      </w:r>
      <w:r>
        <w:rPr>
          <w:rFonts w:ascii="Times New Roman" w:hAnsi="Times New Roman"/>
          <w:noProof/>
          <w:sz w:val="24"/>
        </w:rPr>
        <w:t xml:space="preserve">rdozható rendszerek nemzeti szintű feltérképezését támogatja. </w:t>
      </w:r>
    </w:p>
    <w:p w:rsidR="00474565" w:rsidRDefault="005E13B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A kötelező vagy önkéntes formai fedezetre vonatkozó lehetőségek</w:t>
      </w:r>
    </w:p>
    <w:p w:rsidR="00474565" w:rsidRDefault="005E13BE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Valamennyi szakszervezet a szabványos munkavállalókéval ekvivalens kötelező formai fedezetet részesíti előnyben (ETUC, EAEA), fig</w:t>
      </w:r>
      <w:r>
        <w:rPr>
          <w:rFonts w:ascii="Times New Roman" w:hAnsi="Times New Roman"/>
          <w:noProof/>
          <w:sz w:val="24"/>
        </w:rPr>
        <w:t>yelembe véve azonban a nemzeti hagyományokat is (CEC).</w:t>
      </w:r>
    </w:p>
    <w:p w:rsidR="00474565" w:rsidRDefault="005E13BE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A munkáltatók eltérő véleményeket fogalmaztak meg a lehetőségekről. Az ECEG egyetért abban, hogy a szociális védelmet kötelezővé kell tenni, ugyanakkor a munkavállalók számára biztosítani kell a jogot </w:t>
      </w:r>
      <w:r>
        <w:rPr>
          <w:rFonts w:ascii="Times New Roman" w:hAnsi="Times New Roman"/>
          <w:noProof/>
          <w:sz w:val="24"/>
        </w:rPr>
        <w:t xml:space="preserve">a fedezet (állami vagy magán) formájának megválasztására. A BusinessEurope kiemelte az önálló vállalkozók választásának szabadságát. A CEEP és az EuroCommerce a foglalkoztatás formáinak sokféleségét és az önálló vállalkozók körében jellemző heterogenitást </w:t>
      </w:r>
      <w:r>
        <w:rPr>
          <w:rFonts w:ascii="Times New Roman" w:hAnsi="Times New Roman"/>
          <w:noProof/>
          <w:sz w:val="24"/>
        </w:rPr>
        <w:t>figyelembe véve az önkéntes formai fedezetet részesíti előnyben. A HOTREC, a CEEMET és az UAPME arra utalt, hogy a szubszidiaritás elvének kellene érvényesülnie.</w:t>
      </w:r>
    </w:p>
    <w:p w:rsidR="00474565" w:rsidRDefault="005E13B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 xml:space="preserve">A tényleges fedezet biztosítását célzó megfelelő intézkedés </w:t>
      </w:r>
    </w:p>
    <w:p w:rsidR="00474565" w:rsidRDefault="005E13BE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A szakszervezetek és a munkáltató</w:t>
      </w:r>
      <w:r>
        <w:rPr>
          <w:rFonts w:ascii="Times New Roman" w:hAnsi="Times New Roman"/>
          <w:noProof/>
          <w:sz w:val="24"/>
        </w:rPr>
        <w:t>k ellentétes álláspontokat képviselnek azzal kapcsolatban, hogy mi a megfelelő intézkedés. A szakszervezetek előnyben részesítik a meglévő rendszereknek a foglalkoztatás valamennyi formájában dolgozó emberekre való kiterjesztését és kiigazítását (ESZSZ), a</w:t>
      </w:r>
      <w:r>
        <w:rPr>
          <w:rFonts w:ascii="Times New Roman" w:hAnsi="Times New Roman"/>
          <w:noProof/>
          <w:sz w:val="24"/>
        </w:rPr>
        <w:t>milyen mértékben csak lehetséges a Szerződések értelmében (CESI). Említésre került egy, a kötelező érvényű minimumelveket és -követelményeket tartalmazó uniós irányelv (Uni europa, eaea), amely azonban nem áshatja alá a meglévő uniós vívmányokat, és nem cs</w:t>
      </w:r>
      <w:r>
        <w:rPr>
          <w:rFonts w:ascii="Times New Roman" w:hAnsi="Times New Roman"/>
          <w:noProof/>
          <w:sz w:val="24"/>
        </w:rPr>
        <w:t>ökkentheti sem a meglévő nemzeti szabványokat, sem pedig a jogharmonizációt.</w:t>
      </w:r>
    </w:p>
    <w:p w:rsidR="00474565" w:rsidRDefault="005E13BE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Másrészről a munkáltatói szervezetek ellenzik a jogilag kötelező érvényű intézkedéseket ezen a területen, mivel szerintük a szubszidiaritás elve érvényesül (ECEG, HOTREC), ugyanak</w:t>
      </w:r>
      <w:r>
        <w:rPr>
          <w:rFonts w:ascii="Times New Roman" w:hAnsi="Times New Roman"/>
          <w:noProof/>
          <w:sz w:val="24"/>
        </w:rPr>
        <w:t xml:space="preserve">kor üdvözölnék a nyílt koordinációs módszer, az európai szemeszter, a bevált gyakorlatok cseréje, a teljesítményértékelés és a szociális eredménytábla alkalmazását (BusinessEurope). Egyes munkáltatói szervezetek (a CEEP és az EuroCommerce) úgy vélik, hogy </w:t>
      </w:r>
      <w:r>
        <w:rPr>
          <w:rFonts w:ascii="Times New Roman" w:hAnsi="Times New Roman"/>
          <w:noProof/>
          <w:sz w:val="24"/>
        </w:rPr>
        <w:t>a tanácsi ajánlás lenne a megfelelő eszköz.</w:t>
      </w:r>
    </w:p>
    <w:p w:rsidR="00474565" w:rsidRDefault="005E13B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A hordozhatóság és az átláthatóság biztosítására alkalmas minimumkövetelmények</w:t>
      </w:r>
    </w:p>
    <w:p w:rsidR="00474565" w:rsidRDefault="005E13BE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A szakszervezetek szerint a munkaerőpiaci tendenciák bizonyos közös minimumszabályok bevezetését teszik szükségessé a szociális védel</w:t>
      </w:r>
      <w:r>
        <w:rPr>
          <w:rFonts w:ascii="Times New Roman" w:hAnsi="Times New Roman"/>
          <w:noProof/>
          <w:sz w:val="24"/>
        </w:rPr>
        <w:t>em területén (CESI). A teljes körű hordozhatóságot azáltal kellene biztosítani, hogy a szociális védelmi jogosultságokat kiegyenlített számítás és összesítés alapján a személyekhez kötik, ugyanakkor ez nem vezethet a szociális védelem individualizációjához</w:t>
      </w:r>
      <w:r>
        <w:rPr>
          <w:rFonts w:ascii="Times New Roman" w:hAnsi="Times New Roman"/>
          <w:noProof/>
          <w:sz w:val="24"/>
        </w:rPr>
        <w:t xml:space="preserve"> (ESZSZ). </w:t>
      </w:r>
    </w:p>
    <w:p w:rsidR="00474565" w:rsidRDefault="005E13BE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Egyes munkáltatók egyetértenek a jogok hordozhatóságának elvével, de a jogilag kötelezővé tétele előtt hatásvizsgálatot kérnek (ECEG), vagy azzal érvelnek, hogy a szubszidiaritás elsőbbséget élvez, és előnyben kell részesíteni a meglévő átruházh</w:t>
      </w:r>
      <w:r>
        <w:rPr>
          <w:rFonts w:ascii="Times New Roman" w:hAnsi="Times New Roman"/>
          <w:noProof/>
          <w:sz w:val="24"/>
        </w:rPr>
        <w:t>ató rendszerek feltérképezését (HOTREC).</w:t>
      </w:r>
    </w:p>
    <w:p w:rsidR="00474565" w:rsidRDefault="005E13BE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Mások azt ajánlják, hogy az EU tevékenysége az általános rendelkezésekre korlátozódjék (UAPME), illetve az átruházhatóságot a minimális szociális védelmi jogokra kívánják korlátozni (EuroCommerce). Az átruházhatóság</w:t>
      </w:r>
      <w:r>
        <w:rPr>
          <w:rFonts w:ascii="Times New Roman" w:hAnsi="Times New Roman"/>
          <w:noProof/>
          <w:sz w:val="24"/>
        </w:rPr>
        <w:t xml:space="preserve"> igazgatási költségét minimális szinten kell tartani, és az új munkáltatónak ne merüljön fel többletköltsége az áthozott jogok érvényesítésének átvállalása esetén (CEEP).</w:t>
      </w:r>
    </w:p>
    <w:p w:rsidR="00474565" w:rsidRDefault="005E13B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A tárgyalások megkezdésére való hajlandóság</w:t>
      </w:r>
    </w:p>
    <w:p w:rsidR="00474565" w:rsidRDefault="005E13BE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</w:rPr>
      </w:pPr>
      <w:r>
        <w:rPr>
          <w:rFonts w:ascii="Times New Roman" w:hAnsi="Times New Roman"/>
          <w:noProof/>
          <w:sz w:val="24"/>
        </w:rPr>
        <w:t xml:space="preserve">A szakszervezetek mindegyike jelezte, </w:t>
      </w:r>
      <w:r>
        <w:rPr>
          <w:rFonts w:ascii="Times New Roman" w:hAnsi="Times New Roman"/>
          <w:noProof/>
          <w:sz w:val="24"/>
        </w:rPr>
        <w:t>hogy készen áll a tárgyalások megkezdésére. Az ESZSZ-nek azonban meggyőződése, hogy a hivatalos tárgyalások feltételei már nem állnak fenn, a többi szakszervezet pedig arra ösztönzi a Bizottságot, hogy a 2019-es európai választások előtt terjesszen elő jog</w:t>
      </w:r>
      <w:r>
        <w:rPr>
          <w:rFonts w:ascii="Times New Roman" w:hAnsi="Times New Roman"/>
          <w:noProof/>
          <w:sz w:val="24"/>
        </w:rPr>
        <w:t>alkotási javaslatot. A munkáltatók nem mérlegelik az EUMSZ 155. cikke szerinti párbeszéd kezdeményezését, mivel nem látják be az uniós szintű fellépés szükségét.</w:t>
      </w:r>
    </w:p>
    <w:p w:rsidR="00474565" w:rsidRDefault="005E13BE">
      <w:pPr>
        <w:spacing w:after="12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 xml:space="preserve">4. A nyilvános konzultáció eredményei </w:t>
      </w:r>
    </w:p>
    <w:p w:rsidR="00474565" w:rsidRDefault="005E13BE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A nyilvános konzultációra 2017. november 20. és 2018. j</w:t>
      </w:r>
      <w:r>
        <w:rPr>
          <w:rFonts w:ascii="Times New Roman" w:hAnsi="Times New Roman"/>
          <w:noProof/>
          <w:sz w:val="24"/>
        </w:rPr>
        <w:t>anuár 15. között került sor. A nyilvános konzultáció 119 válaszadója között 62 szervezet, 7 közigazgatási szerv, 37 polgár és 13 egyéb kategóriába tartozó válaszadó szerepelt (például kutatóintézetek, hálózatok). A legtöbb válasz olyan országokból érkezett</w:t>
      </w:r>
      <w:r>
        <w:rPr>
          <w:rFonts w:ascii="Times New Roman" w:hAnsi="Times New Roman"/>
          <w:noProof/>
          <w:sz w:val="24"/>
        </w:rPr>
        <w:t>, amelyek fejlett szociális védelmi rendszerekkel rendelkeznek: Németországból (18), Belgiumból (16), Franciaországból (15) és Svédországból (14). 15 állásfoglalás érkezett, elsősorban Németországból (5), Belgiumból (4), Franciaországból (2) és az Egyesült</w:t>
      </w:r>
      <w:r>
        <w:rPr>
          <w:rFonts w:ascii="Times New Roman" w:hAnsi="Times New Roman"/>
          <w:noProof/>
          <w:sz w:val="24"/>
        </w:rPr>
        <w:t xml:space="preserve"> Királyságból (2), mégpedig regionális és központi kormányzatoktól, szociális védelmi szolgáltatóktól, szövetkezetektől, önálló vállalkozók szervezeteitől, egy szakszervezettől, </w:t>
      </w:r>
      <w:r>
        <w:rPr>
          <w:rFonts w:ascii="Times New Roman" w:hAnsi="Times New Roman"/>
          <w:noProof/>
        </w:rPr>
        <w:t>egy nem kormányzati szervezettől</w:t>
      </w:r>
      <w:r>
        <w:rPr>
          <w:rFonts w:ascii="Times New Roman" w:hAnsi="Times New Roman"/>
          <w:noProof/>
          <w:sz w:val="24"/>
        </w:rPr>
        <w:t xml:space="preserve"> és egy vállalattól. </w:t>
      </w:r>
    </w:p>
    <w:p w:rsidR="00474565" w:rsidRDefault="005E13BE">
      <w:pPr>
        <w:spacing w:after="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Kihívások</w:t>
      </w:r>
    </w:p>
    <w:p w:rsidR="00474565" w:rsidRDefault="005E13BE">
      <w:pPr>
        <w:spacing w:after="0" w:line="240" w:lineRule="auto"/>
        <w:ind w:right="-142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„Egyetért-e Ön</w:t>
      </w:r>
      <w:r>
        <w:rPr>
          <w:rFonts w:ascii="Times New Roman" w:hAnsi="Times New Roman"/>
          <w:i/>
          <w:noProof/>
          <w:sz w:val="24"/>
        </w:rPr>
        <w:t xml:space="preserve"> azzal, hogy a háttérdokumentum helyesen azonosította a kihívásokat?”</w:t>
      </w:r>
    </w:p>
    <w:p w:rsidR="00474565" w:rsidRDefault="00474565">
      <w:pPr>
        <w:spacing w:after="0" w:line="240" w:lineRule="auto"/>
        <w:ind w:right="-142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74565" w:rsidRDefault="005E13BE">
      <w:pPr>
        <w:spacing w:after="0" w:line="240" w:lineRule="auto"/>
        <w:ind w:right="-142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A válaszadók mintegy 2/3-a egyetértett a Bizottság által azonosított kihívásokkal. A legnagyobb egyetértés a tényleges fedezet terén fennálló hiányosságokra vonatkozott, amit a szabályo</w:t>
      </w:r>
      <w:r>
        <w:rPr>
          <w:rFonts w:ascii="Times New Roman" w:hAnsi="Times New Roman"/>
          <w:noProof/>
          <w:sz w:val="24"/>
        </w:rPr>
        <w:t>zás összetettsége követett.</w:t>
      </w:r>
    </w:p>
    <w:p w:rsidR="00474565" w:rsidRDefault="00474565">
      <w:pPr>
        <w:spacing w:after="0" w:line="240" w:lineRule="auto"/>
        <w:ind w:right="-142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474565">
        <w:tc>
          <w:tcPr>
            <w:tcW w:w="4643" w:type="dxa"/>
          </w:tcPr>
          <w:p w:rsidR="00474565" w:rsidRDefault="00474565">
            <w:pPr>
              <w:ind w:right="-142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643" w:type="dxa"/>
          </w:tcPr>
          <w:p w:rsidR="00474565" w:rsidRDefault="005E13BE">
            <w:pPr>
              <w:ind w:right="-142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Egyetértek (119 válasz közül)</w:t>
            </w:r>
          </w:p>
        </w:tc>
      </w:tr>
      <w:tr w:rsidR="00474565">
        <w:tc>
          <w:tcPr>
            <w:tcW w:w="4643" w:type="dxa"/>
          </w:tcPr>
          <w:p w:rsidR="00474565" w:rsidRDefault="005E13BE">
            <w:pPr>
              <w:ind w:right="-142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A formai fedezet hiányosságai</w:t>
            </w:r>
          </w:p>
        </w:tc>
        <w:tc>
          <w:tcPr>
            <w:tcW w:w="4643" w:type="dxa"/>
          </w:tcPr>
          <w:p w:rsidR="00474565" w:rsidRDefault="005E13BE">
            <w:pPr>
              <w:ind w:right="-142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66</w:t>
            </w:r>
          </w:p>
        </w:tc>
      </w:tr>
      <w:tr w:rsidR="00474565">
        <w:tc>
          <w:tcPr>
            <w:tcW w:w="4643" w:type="dxa"/>
          </w:tcPr>
          <w:p w:rsidR="00474565" w:rsidRDefault="005E13BE">
            <w:pPr>
              <w:ind w:right="-142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A tényleges fedezet hiányosságai</w:t>
            </w:r>
          </w:p>
        </w:tc>
        <w:tc>
          <w:tcPr>
            <w:tcW w:w="4643" w:type="dxa"/>
          </w:tcPr>
          <w:p w:rsidR="00474565" w:rsidRDefault="005E13BE">
            <w:pPr>
              <w:ind w:right="-142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78</w:t>
            </w:r>
          </w:p>
        </w:tc>
      </w:tr>
      <w:tr w:rsidR="00474565">
        <w:tc>
          <w:tcPr>
            <w:tcW w:w="4643" w:type="dxa"/>
          </w:tcPr>
          <w:p w:rsidR="00474565" w:rsidRDefault="005E13BE">
            <w:pPr>
              <w:ind w:right="-142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A jogok nem megfelelő hordozhatósága</w:t>
            </w:r>
          </w:p>
        </w:tc>
        <w:tc>
          <w:tcPr>
            <w:tcW w:w="4643" w:type="dxa"/>
          </w:tcPr>
          <w:p w:rsidR="00474565" w:rsidRDefault="005E13BE">
            <w:pPr>
              <w:ind w:right="-142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65</w:t>
            </w:r>
          </w:p>
        </w:tc>
      </w:tr>
      <w:tr w:rsidR="00474565">
        <w:tc>
          <w:tcPr>
            <w:tcW w:w="4643" w:type="dxa"/>
          </w:tcPr>
          <w:p w:rsidR="00474565" w:rsidRDefault="005E13BE">
            <w:pPr>
              <w:ind w:right="-142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Nem megfelelő átláthatóság</w:t>
            </w:r>
          </w:p>
        </w:tc>
        <w:tc>
          <w:tcPr>
            <w:tcW w:w="4643" w:type="dxa"/>
          </w:tcPr>
          <w:p w:rsidR="00474565" w:rsidRDefault="005E13BE">
            <w:pPr>
              <w:ind w:right="-142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69</w:t>
            </w:r>
          </w:p>
        </w:tc>
      </w:tr>
      <w:tr w:rsidR="00474565">
        <w:tc>
          <w:tcPr>
            <w:tcW w:w="4643" w:type="dxa"/>
          </w:tcPr>
          <w:p w:rsidR="00474565" w:rsidRDefault="005E13BE">
            <w:pPr>
              <w:ind w:right="-142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A szabályozás bonyolultsága</w:t>
            </w:r>
          </w:p>
        </w:tc>
        <w:tc>
          <w:tcPr>
            <w:tcW w:w="4643" w:type="dxa"/>
          </w:tcPr>
          <w:p w:rsidR="00474565" w:rsidRDefault="005E13BE">
            <w:pPr>
              <w:ind w:right="-142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75</w:t>
            </w:r>
          </w:p>
        </w:tc>
      </w:tr>
      <w:tr w:rsidR="00474565">
        <w:tc>
          <w:tcPr>
            <w:tcW w:w="4643" w:type="dxa"/>
          </w:tcPr>
          <w:p w:rsidR="00474565" w:rsidRDefault="005E13BE">
            <w:pPr>
              <w:ind w:right="-142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Vannak más kihívások</w:t>
            </w:r>
            <w:r>
              <w:rPr>
                <w:rFonts w:ascii="Times New Roman" w:hAnsi="Times New Roman"/>
                <w:noProof/>
                <w:sz w:val="24"/>
              </w:rPr>
              <w:t xml:space="preserve"> is</w:t>
            </w:r>
          </w:p>
        </w:tc>
        <w:tc>
          <w:tcPr>
            <w:tcW w:w="4643" w:type="dxa"/>
          </w:tcPr>
          <w:p w:rsidR="00474565" w:rsidRDefault="005E13BE">
            <w:pPr>
              <w:ind w:right="-142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62</w:t>
            </w:r>
          </w:p>
        </w:tc>
      </w:tr>
    </w:tbl>
    <w:p w:rsidR="00474565" w:rsidRDefault="00474565">
      <w:pPr>
        <w:spacing w:after="0" w:line="240" w:lineRule="auto"/>
        <w:ind w:right="-142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74565" w:rsidRDefault="00474565">
      <w:pPr>
        <w:spacing w:after="12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474565" w:rsidRDefault="005E13BE">
      <w:pPr>
        <w:spacing w:after="12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Alapelvek</w:t>
      </w:r>
    </w:p>
    <w:p w:rsidR="00474565" w:rsidRDefault="005E13BE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„Egyetért-e azzal, hogy az esetleges uniós kezdeményezésnek a következő általános szakpolitikai elveket kellene követnie?”</w:t>
      </w:r>
    </w:p>
    <w:p w:rsidR="00474565" w:rsidRDefault="005E13BE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A válaszadók nagy többsége lényegében egyetértett azzal, hogy az esetleges uniós fellépésnek a következő elvek te</w:t>
      </w:r>
      <w:r>
        <w:rPr>
          <w:rFonts w:ascii="Times New Roman" w:hAnsi="Times New Roman"/>
          <w:noProof/>
          <w:sz w:val="24"/>
        </w:rPr>
        <w:t>ljesülésére kellene törekednie: valamennyi munkavállaló számára megfelelő szociális védelmet biztosítani a munkaviszonyától függetlenül, a jogokat a munkát végző személyhez kapcsolni és azokat hordozhatóvá tenni, az információkat átláthatóvá tenni és az ad</w:t>
      </w:r>
      <w:r>
        <w:rPr>
          <w:rFonts w:ascii="Times New Roman" w:hAnsi="Times New Roman"/>
          <w:noProof/>
          <w:sz w:val="24"/>
        </w:rPr>
        <w:t xml:space="preserve">minisztratív követelményeket egyszerűsíteni. Csak 14 válaszadó értett egyet azzal a lehetőséggel, hogy „nincs szükség intézkedésre”. </w:t>
      </w:r>
    </w:p>
    <w:p w:rsidR="00474565" w:rsidRDefault="00474565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7052"/>
        <w:gridCol w:w="2234"/>
      </w:tblGrid>
      <w:tr w:rsidR="00474565">
        <w:tc>
          <w:tcPr>
            <w:tcW w:w="7052" w:type="dxa"/>
          </w:tcPr>
          <w:p w:rsidR="00474565" w:rsidRDefault="00474565">
            <w:pPr>
              <w:spacing w:after="1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234" w:type="dxa"/>
          </w:tcPr>
          <w:p w:rsidR="00474565" w:rsidRDefault="005E13BE">
            <w:pPr>
              <w:spacing w:after="1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Egyetértek (119 válasz közül)</w:t>
            </w:r>
          </w:p>
        </w:tc>
      </w:tr>
      <w:tr w:rsidR="00474565">
        <w:tc>
          <w:tcPr>
            <w:tcW w:w="7052" w:type="dxa"/>
          </w:tcPr>
          <w:p w:rsidR="00474565" w:rsidRDefault="005E13BE">
            <w:pPr>
              <w:spacing w:after="1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Munkaviszonyuk jellegétől és időtartamától függetlenül a munkavállalók és – hasonló </w:t>
            </w:r>
            <w:r>
              <w:rPr>
                <w:rFonts w:ascii="Times New Roman" w:hAnsi="Times New Roman"/>
                <w:noProof/>
                <w:sz w:val="24"/>
              </w:rPr>
              <w:t>feltételek mellett – az önálló vállalkozók is jogosultak a megfelelő szociális védelemre;</w:t>
            </w:r>
          </w:p>
        </w:tc>
        <w:tc>
          <w:tcPr>
            <w:tcW w:w="2234" w:type="dxa"/>
          </w:tcPr>
          <w:p w:rsidR="00474565" w:rsidRDefault="005E13BE">
            <w:pPr>
              <w:spacing w:after="1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85</w:t>
            </w:r>
          </w:p>
        </w:tc>
      </w:tr>
      <w:tr w:rsidR="00474565">
        <w:tc>
          <w:tcPr>
            <w:tcW w:w="7052" w:type="dxa"/>
          </w:tcPr>
          <w:p w:rsidR="00474565" w:rsidRDefault="005E13BE">
            <w:pPr>
              <w:spacing w:after="1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A jogokat a munkát végző személyhez (nem pedig a szerződéshez) kell kötni, és hordozhatóvá kell tenni</w:t>
            </w:r>
          </w:p>
        </w:tc>
        <w:tc>
          <w:tcPr>
            <w:tcW w:w="2234" w:type="dxa"/>
          </w:tcPr>
          <w:p w:rsidR="00474565" w:rsidRDefault="005E13BE">
            <w:pPr>
              <w:spacing w:after="1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72</w:t>
            </w:r>
          </w:p>
        </w:tc>
      </w:tr>
      <w:tr w:rsidR="00474565">
        <w:tc>
          <w:tcPr>
            <w:tcW w:w="7052" w:type="dxa"/>
          </w:tcPr>
          <w:p w:rsidR="00474565" w:rsidRDefault="005E13BE">
            <w:pPr>
              <w:spacing w:after="1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A jogokat és a kapcsolódó tájékoztatást átláthatóvá kell</w:t>
            </w:r>
            <w:r>
              <w:rPr>
                <w:rFonts w:ascii="Times New Roman" w:hAnsi="Times New Roman"/>
                <w:noProof/>
                <w:sz w:val="24"/>
              </w:rPr>
              <w:t xml:space="preserve"> tenni</w:t>
            </w:r>
          </w:p>
        </w:tc>
        <w:tc>
          <w:tcPr>
            <w:tcW w:w="2234" w:type="dxa"/>
          </w:tcPr>
          <w:p w:rsidR="00474565" w:rsidRDefault="005E13BE">
            <w:pPr>
              <w:spacing w:after="1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86</w:t>
            </w:r>
          </w:p>
        </w:tc>
      </w:tr>
      <w:tr w:rsidR="00474565">
        <w:tc>
          <w:tcPr>
            <w:tcW w:w="7052" w:type="dxa"/>
          </w:tcPr>
          <w:p w:rsidR="00474565" w:rsidRDefault="005E13BE">
            <w:pPr>
              <w:spacing w:after="1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Az adminisztratív követelményeket le kell egyszerűsíteni</w:t>
            </w:r>
          </w:p>
        </w:tc>
        <w:tc>
          <w:tcPr>
            <w:tcW w:w="2234" w:type="dxa"/>
          </w:tcPr>
          <w:p w:rsidR="00474565" w:rsidRDefault="005E13BE">
            <w:pPr>
              <w:spacing w:after="1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82</w:t>
            </w:r>
          </w:p>
        </w:tc>
      </w:tr>
      <w:tr w:rsidR="00474565">
        <w:tc>
          <w:tcPr>
            <w:tcW w:w="7052" w:type="dxa"/>
          </w:tcPr>
          <w:p w:rsidR="00474565" w:rsidRDefault="005E13BE">
            <w:pPr>
              <w:spacing w:after="1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Nincs szükség intézkedésre</w:t>
            </w:r>
          </w:p>
        </w:tc>
        <w:tc>
          <w:tcPr>
            <w:tcW w:w="2234" w:type="dxa"/>
          </w:tcPr>
          <w:p w:rsidR="00474565" w:rsidRDefault="005E13BE">
            <w:pPr>
              <w:spacing w:after="1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14</w:t>
            </w:r>
          </w:p>
        </w:tc>
      </w:tr>
    </w:tbl>
    <w:p w:rsidR="00474565" w:rsidRDefault="00474565">
      <w:pPr>
        <w:spacing w:after="12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474565" w:rsidRDefault="005E13BE">
      <w:pPr>
        <w:spacing w:after="12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Szakpolitikai lehetőségek</w:t>
      </w:r>
    </w:p>
    <w:p w:rsidR="00474565" w:rsidRDefault="005E13BE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A felsorolt lehetőségek tekintetében a válaszadók 69,7 %-a nyilatkozott úgy, hogy a szociális védelmi jogoknak és kötelezettsé</w:t>
      </w:r>
      <w:r>
        <w:rPr>
          <w:rFonts w:ascii="Times New Roman" w:hAnsi="Times New Roman"/>
          <w:noProof/>
          <w:sz w:val="24"/>
        </w:rPr>
        <w:t>geknek minden munkaviszony esetében kötelezőnek kell lenniük, függetlenül a szerződés típusától, és a válaszadók 56,3 %-a úgy véli, hogy az atipikus munkavállalók kötelező védelmét és járulékait a standard munkavállalók szintjéhez kell igazítani.</w:t>
      </w:r>
    </w:p>
    <w:p w:rsidR="00474565" w:rsidRDefault="005E13BE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A válasza</w:t>
      </w:r>
      <w:r>
        <w:rPr>
          <w:rFonts w:ascii="Times New Roman" w:hAnsi="Times New Roman"/>
          <w:noProof/>
          <w:sz w:val="24"/>
        </w:rPr>
        <w:t>dók 64,7 %-a gondolja úgy, hogy a szociális védelmi jogokat és kötelezettségeket valamennyi önálló vállalkozó számára kötelezővé kell tenni, míg a válaszadók 47,1 %-a úgy véli, hogy az önálló vállalkozók kötelező védelmét és járulékait a standard munkaváll</w:t>
      </w:r>
      <w:r>
        <w:rPr>
          <w:rFonts w:ascii="Times New Roman" w:hAnsi="Times New Roman"/>
          <w:noProof/>
          <w:sz w:val="24"/>
        </w:rPr>
        <w:t>alók szintjéhez kell igazítani.</w:t>
      </w:r>
    </w:p>
    <w:p w:rsidR="00474565" w:rsidRDefault="005E13BE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Végül a válaszadók 52,94 %-a van azon a véleményen, hogy a tényleges fedezet biztosításának legmegfelelőbb módja a foglalkoztatásban lévő valamennyi személyre kiterjedő egységes szociális védelmi rendszer. A válaszadók 54,6 </w:t>
      </w:r>
      <w:r>
        <w:rPr>
          <w:rFonts w:ascii="Times New Roman" w:hAnsi="Times New Roman"/>
          <w:noProof/>
          <w:sz w:val="24"/>
        </w:rPr>
        <w:t>%-a úgy véli, hogy egy egységes szociális védelmi rendszer az önálló vállalkozók számára is megfelelő lenne.</w:t>
      </w:r>
    </w:p>
    <w:p w:rsidR="00474565" w:rsidRDefault="00474565">
      <w:pPr>
        <w:spacing w:after="12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474565" w:rsidRDefault="005E13BE">
      <w:pPr>
        <w:spacing w:after="12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Eszközök</w:t>
      </w:r>
    </w:p>
    <w:p w:rsidR="00474565" w:rsidRDefault="005E13BE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A válaszadók közel háromnegyede (72,3 %) hangsúlyozza, hogy uniós szintű fellépés szükséges. A válaszadók 54,6 %-a véli úgy, hogy egy új </w:t>
      </w:r>
      <w:r>
        <w:rPr>
          <w:rFonts w:ascii="Times New Roman" w:hAnsi="Times New Roman"/>
          <w:noProof/>
          <w:sz w:val="24"/>
        </w:rPr>
        <w:t>uniós jogszabály (pl. irányelv) bevezetése rendkívül célravezető lenne. A válaszadók mindössze 4,2 %-a véli úgy, hogy egy nem kötelező erejű uniós jogszabály (pl. tanácsi ajánlás) rendkívül célravezető lenne.</w:t>
      </w:r>
    </w:p>
    <w:p w:rsidR="00474565" w:rsidRDefault="00474565">
      <w:pPr>
        <w:spacing w:after="12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474565" w:rsidRDefault="005E13BE">
      <w:pPr>
        <w:spacing w:after="12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Hatások</w:t>
      </w:r>
    </w:p>
    <w:p w:rsidR="00474565" w:rsidRDefault="005E13BE">
      <w:pPr>
        <w:spacing w:after="12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A válaszadók nagy többsége szerint a s</w:t>
      </w:r>
      <w:r>
        <w:rPr>
          <w:rFonts w:ascii="Times New Roman" w:hAnsi="Times New Roman"/>
          <w:noProof/>
          <w:sz w:val="24"/>
        </w:rPr>
        <w:t xml:space="preserve">zociális védelemhez fűződő jogoknak a foglalkoztatás minden formájára való </w:t>
      </w:r>
      <w:r>
        <w:rPr>
          <w:rFonts w:ascii="Times New Roman" w:hAnsi="Times New Roman"/>
          <w:b/>
          <w:noProof/>
          <w:sz w:val="24"/>
        </w:rPr>
        <w:t>kötelezővé tétele</w:t>
      </w:r>
      <w:r>
        <w:rPr>
          <w:rFonts w:ascii="Times New Roman" w:hAnsi="Times New Roman"/>
          <w:noProof/>
          <w:sz w:val="24"/>
        </w:rPr>
        <w:t xml:space="preserve"> kedvező hatást gyakorolna az európai társadalomra, a munkaerőpiacra, a munkavállalókra, az államháztartásra és a gazdaságra.</w:t>
      </w:r>
    </w:p>
    <w:p w:rsidR="00474565" w:rsidRDefault="00474565">
      <w:pPr>
        <w:spacing w:after="12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74565" w:rsidRDefault="005E13BE">
      <w:pPr>
        <w:spacing w:after="120" w:line="240" w:lineRule="auto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„Megítélése szerint a szociális védel</w:t>
      </w:r>
      <w:r>
        <w:rPr>
          <w:rFonts w:ascii="Times New Roman" w:hAnsi="Times New Roman"/>
          <w:i/>
          <w:noProof/>
          <w:sz w:val="24"/>
        </w:rPr>
        <w:t>emhez kapcsolódó jogok minden foglalkoztatási formára kiterjedő kötelezővé tétele pozitív, semleges vagy negatív hatást gyakorolna a gazdaságra?”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474565">
        <w:tc>
          <w:tcPr>
            <w:tcW w:w="4643" w:type="dxa"/>
          </w:tcPr>
          <w:p w:rsidR="00474565" w:rsidRDefault="00474565">
            <w:pPr>
              <w:spacing w:after="12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643" w:type="dxa"/>
          </w:tcPr>
          <w:p w:rsidR="00474565" w:rsidRDefault="005E13BE">
            <w:pPr>
              <w:spacing w:after="12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Pozitív hatás (119 válasz közül)</w:t>
            </w:r>
          </w:p>
        </w:tc>
      </w:tr>
      <w:tr w:rsidR="00474565">
        <w:tc>
          <w:tcPr>
            <w:tcW w:w="4643" w:type="dxa"/>
          </w:tcPr>
          <w:p w:rsidR="00474565" w:rsidRDefault="005E13BE">
            <w:pPr>
              <w:spacing w:after="12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Versenyképesség</w:t>
            </w:r>
          </w:p>
        </w:tc>
        <w:tc>
          <w:tcPr>
            <w:tcW w:w="4643" w:type="dxa"/>
          </w:tcPr>
          <w:p w:rsidR="00474565" w:rsidRDefault="005E13BE">
            <w:pPr>
              <w:spacing w:after="12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73</w:t>
            </w:r>
          </w:p>
        </w:tc>
      </w:tr>
      <w:tr w:rsidR="00474565">
        <w:tc>
          <w:tcPr>
            <w:tcW w:w="4643" w:type="dxa"/>
          </w:tcPr>
          <w:p w:rsidR="00474565" w:rsidRDefault="005E13BE">
            <w:pPr>
              <w:spacing w:after="12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Reziliencia és alkalmazkodóképesség</w:t>
            </w:r>
          </w:p>
        </w:tc>
        <w:tc>
          <w:tcPr>
            <w:tcW w:w="4643" w:type="dxa"/>
          </w:tcPr>
          <w:p w:rsidR="00474565" w:rsidRDefault="005E13BE">
            <w:pPr>
              <w:spacing w:after="12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72</w:t>
            </w:r>
          </w:p>
        </w:tc>
      </w:tr>
      <w:tr w:rsidR="00474565">
        <w:tc>
          <w:tcPr>
            <w:tcW w:w="4643" w:type="dxa"/>
          </w:tcPr>
          <w:p w:rsidR="00474565" w:rsidRDefault="005E13BE">
            <w:pPr>
              <w:spacing w:after="12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Gazdasági </w:t>
            </w:r>
            <w:r>
              <w:rPr>
                <w:rFonts w:ascii="Times New Roman" w:hAnsi="Times New Roman"/>
                <w:noProof/>
                <w:sz w:val="24"/>
              </w:rPr>
              <w:t>növekedés</w:t>
            </w:r>
          </w:p>
        </w:tc>
        <w:tc>
          <w:tcPr>
            <w:tcW w:w="4643" w:type="dxa"/>
          </w:tcPr>
          <w:p w:rsidR="00474565" w:rsidRDefault="005E13BE">
            <w:pPr>
              <w:spacing w:after="12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72</w:t>
            </w:r>
          </w:p>
        </w:tc>
      </w:tr>
    </w:tbl>
    <w:p w:rsidR="00474565" w:rsidRDefault="00474565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74565" w:rsidRDefault="005E13BE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A kis- és középvállalkozásokra (kkv-kre) azonban inkább semleges hatást gyakorolna.</w:t>
      </w:r>
    </w:p>
    <w:p w:rsidR="00474565" w:rsidRDefault="005E13BE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 xml:space="preserve">„Megítélése szerint a szociális védelemhez kapcsolódó jogok minden foglalkoztatási formára kiterjedő kötelezővé tétele pozitív, semleges vagy negatív </w:t>
      </w:r>
      <w:r>
        <w:rPr>
          <w:rFonts w:ascii="Times New Roman" w:hAnsi="Times New Roman"/>
          <w:i/>
          <w:noProof/>
          <w:sz w:val="24"/>
        </w:rPr>
        <w:t>hatással járna a kis- és középvállalkozások tekintetében?”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474565">
        <w:tc>
          <w:tcPr>
            <w:tcW w:w="4643" w:type="dxa"/>
          </w:tcPr>
          <w:p w:rsidR="00474565" w:rsidRDefault="00474565">
            <w:pPr>
              <w:spacing w:after="1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643" w:type="dxa"/>
          </w:tcPr>
          <w:p w:rsidR="00474565" w:rsidRDefault="005E13BE">
            <w:pPr>
              <w:spacing w:after="1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Semleges hatás (119 válasz közül)</w:t>
            </w:r>
          </w:p>
        </w:tc>
      </w:tr>
      <w:tr w:rsidR="00474565">
        <w:tc>
          <w:tcPr>
            <w:tcW w:w="4643" w:type="dxa"/>
          </w:tcPr>
          <w:p w:rsidR="00474565" w:rsidRDefault="005E13BE">
            <w:pPr>
              <w:spacing w:after="1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Költség</w:t>
            </w:r>
          </w:p>
        </w:tc>
        <w:tc>
          <w:tcPr>
            <w:tcW w:w="4643" w:type="dxa"/>
          </w:tcPr>
          <w:p w:rsidR="00474565" w:rsidRDefault="005E13BE">
            <w:pPr>
              <w:spacing w:after="1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51</w:t>
            </w:r>
          </w:p>
        </w:tc>
      </w:tr>
      <w:tr w:rsidR="00474565">
        <w:tc>
          <w:tcPr>
            <w:tcW w:w="4643" w:type="dxa"/>
          </w:tcPr>
          <w:p w:rsidR="00474565" w:rsidRDefault="005E13BE">
            <w:pPr>
              <w:spacing w:after="1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Verseny</w:t>
            </w:r>
          </w:p>
        </w:tc>
        <w:tc>
          <w:tcPr>
            <w:tcW w:w="4643" w:type="dxa"/>
          </w:tcPr>
          <w:p w:rsidR="00474565" w:rsidRDefault="005E13BE">
            <w:pPr>
              <w:spacing w:after="1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45</w:t>
            </w:r>
          </w:p>
        </w:tc>
      </w:tr>
    </w:tbl>
    <w:p w:rsidR="00474565" w:rsidRDefault="00474565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74565" w:rsidRDefault="005E13BE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Másrészről a szociális védelemhez fűződő jogok </w:t>
      </w:r>
      <w:r>
        <w:rPr>
          <w:rFonts w:ascii="Times New Roman" w:hAnsi="Times New Roman"/>
          <w:b/>
          <w:noProof/>
          <w:sz w:val="24"/>
        </w:rPr>
        <w:t>önkéntessé tétele</w:t>
      </w:r>
      <w:r>
        <w:rPr>
          <w:rFonts w:ascii="Times New Roman" w:hAnsi="Times New Roman"/>
          <w:noProof/>
          <w:sz w:val="24"/>
        </w:rPr>
        <w:t xml:space="preserve"> a jelenleg fennálló hiányosságok mellett semleges/negatív hatást gyakor</w:t>
      </w:r>
      <w:r>
        <w:rPr>
          <w:rFonts w:ascii="Times New Roman" w:hAnsi="Times New Roman"/>
          <w:noProof/>
          <w:sz w:val="24"/>
        </w:rPr>
        <w:t>olna az európai társadalomra, a munkaerőpiacra, a munkavállalókra, az államháztartásra és a gazdaságra.</w:t>
      </w:r>
    </w:p>
    <w:p w:rsidR="00474565" w:rsidRDefault="00474565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74565" w:rsidRDefault="005E13BE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„Megítélése szerint milyen hatásokkal járna a gazdaság szempontjából a szociális védelemhez kapcsolódó jogok önkéntes alapra helyezése ott, ahol azok h</w:t>
      </w:r>
      <w:r>
        <w:rPr>
          <w:rFonts w:ascii="Times New Roman" w:hAnsi="Times New Roman"/>
          <w:i/>
          <w:noProof/>
          <w:sz w:val="24"/>
        </w:rPr>
        <w:t>iányosak?”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3439"/>
        <w:gridCol w:w="2760"/>
        <w:gridCol w:w="3087"/>
      </w:tblGrid>
      <w:tr w:rsidR="00474565">
        <w:tc>
          <w:tcPr>
            <w:tcW w:w="3439" w:type="dxa"/>
          </w:tcPr>
          <w:p w:rsidR="00474565" w:rsidRDefault="00474565">
            <w:pPr>
              <w:spacing w:after="12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760" w:type="dxa"/>
          </w:tcPr>
          <w:p w:rsidR="00474565" w:rsidRDefault="005E13BE">
            <w:pPr>
              <w:spacing w:after="12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Negatív hatás (119 válasz közül)</w:t>
            </w:r>
          </w:p>
        </w:tc>
        <w:tc>
          <w:tcPr>
            <w:tcW w:w="3087" w:type="dxa"/>
          </w:tcPr>
          <w:p w:rsidR="00474565" w:rsidRDefault="005E13BE">
            <w:pPr>
              <w:spacing w:after="12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Semleges hatás (119 válasz közül)</w:t>
            </w:r>
          </w:p>
        </w:tc>
      </w:tr>
      <w:tr w:rsidR="00474565">
        <w:tc>
          <w:tcPr>
            <w:tcW w:w="3439" w:type="dxa"/>
          </w:tcPr>
          <w:p w:rsidR="00474565" w:rsidRDefault="005E13BE">
            <w:pPr>
              <w:spacing w:after="12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Versenyképesség</w:t>
            </w:r>
          </w:p>
        </w:tc>
        <w:tc>
          <w:tcPr>
            <w:tcW w:w="2760" w:type="dxa"/>
          </w:tcPr>
          <w:p w:rsidR="00474565" w:rsidRDefault="005E13BE">
            <w:pPr>
              <w:spacing w:after="12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45</w:t>
            </w:r>
          </w:p>
        </w:tc>
        <w:tc>
          <w:tcPr>
            <w:tcW w:w="3087" w:type="dxa"/>
          </w:tcPr>
          <w:p w:rsidR="00474565" w:rsidRDefault="005E13BE">
            <w:pPr>
              <w:spacing w:after="12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43 </w:t>
            </w:r>
          </w:p>
        </w:tc>
      </w:tr>
      <w:tr w:rsidR="00474565">
        <w:tc>
          <w:tcPr>
            <w:tcW w:w="3439" w:type="dxa"/>
          </w:tcPr>
          <w:p w:rsidR="00474565" w:rsidRDefault="005E13BE">
            <w:pPr>
              <w:spacing w:after="12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Reziliencia és alkalmazkodóképesség</w:t>
            </w:r>
          </w:p>
        </w:tc>
        <w:tc>
          <w:tcPr>
            <w:tcW w:w="2760" w:type="dxa"/>
          </w:tcPr>
          <w:p w:rsidR="00474565" w:rsidRDefault="005E13BE">
            <w:pPr>
              <w:spacing w:after="12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49</w:t>
            </w:r>
          </w:p>
        </w:tc>
        <w:tc>
          <w:tcPr>
            <w:tcW w:w="3087" w:type="dxa"/>
          </w:tcPr>
          <w:p w:rsidR="00474565" w:rsidRDefault="005E13BE">
            <w:pPr>
              <w:spacing w:after="12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40</w:t>
            </w:r>
          </w:p>
        </w:tc>
      </w:tr>
      <w:tr w:rsidR="00474565">
        <w:tc>
          <w:tcPr>
            <w:tcW w:w="3439" w:type="dxa"/>
          </w:tcPr>
          <w:p w:rsidR="00474565" w:rsidRDefault="005E13BE">
            <w:pPr>
              <w:spacing w:after="12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Gazdasági növekedés</w:t>
            </w:r>
          </w:p>
        </w:tc>
        <w:tc>
          <w:tcPr>
            <w:tcW w:w="2760" w:type="dxa"/>
          </w:tcPr>
          <w:p w:rsidR="00474565" w:rsidRDefault="005E13BE">
            <w:pPr>
              <w:spacing w:after="12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49</w:t>
            </w:r>
          </w:p>
        </w:tc>
        <w:tc>
          <w:tcPr>
            <w:tcW w:w="3087" w:type="dxa"/>
          </w:tcPr>
          <w:p w:rsidR="00474565" w:rsidRDefault="005E13BE">
            <w:pPr>
              <w:spacing w:after="12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41</w:t>
            </w:r>
          </w:p>
        </w:tc>
      </w:tr>
    </w:tbl>
    <w:p w:rsidR="00474565" w:rsidRDefault="00474565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74565" w:rsidRDefault="005E13BE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A kis- és középvállalkozásokra (kkv-kre) azonban inkább semleges hatást </w:t>
      </w:r>
      <w:r>
        <w:rPr>
          <w:rFonts w:ascii="Times New Roman" w:hAnsi="Times New Roman"/>
          <w:noProof/>
          <w:sz w:val="24"/>
        </w:rPr>
        <w:t>gyakorolna.</w:t>
      </w:r>
    </w:p>
    <w:p w:rsidR="00474565" w:rsidRDefault="005E13BE">
      <w:pPr>
        <w:spacing w:after="120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„Megítélése szerint milyen hatásokkal járna a kis- és középvállalkozások szempontjából a szociális védelemhez kapcsolódó jogok önkéntes alapra helyezése ott, ahol azok hiányosak?”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474565">
        <w:tc>
          <w:tcPr>
            <w:tcW w:w="4643" w:type="dxa"/>
          </w:tcPr>
          <w:p w:rsidR="00474565" w:rsidRDefault="00474565">
            <w:pPr>
              <w:spacing w:after="1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643" w:type="dxa"/>
          </w:tcPr>
          <w:p w:rsidR="00474565" w:rsidRDefault="005E13BE">
            <w:pPr>
              <w:spacing w:after="1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Semleges hatás (119 válasz közül)</w:t>
            </w:r>
          </w:p>
        </w:tc>
      </w:tr>
      <w:tr w:rsidR="00474565">
        <w:tc>
          <w:tcPr>
            <w:tcW w:w="4643" w:type="dxa"/>
          </w:tcPr>
          <w:p w:rsidR="00474565" w:rsidRDefault="005E13BE">
            <w:pPr>
              <w:spacing w:after="1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Költség</w:t>
            </w:r>
          </w:p>
        </w:tc>
        <w:tc>
          <w:tcPr>
            <w:tcW w:w="4643" w:type="dxa"/>
          </w:tcPr>
          <w:p w:rsidR="00474565" w:rsidRDefault="005E13BE">
            <w:pPr>
              <w:spacing w:after="1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55</w:t>
            </w:r>
          </w:p>
        </w:tc>
      </w:tr>
      <w:tr w:rsidR="00474565">
        <w:tc>
          <w:tcPr>
            <w:tcW w:w="4643" w:type="dxa"/>
          </w:tcPr>
          <w:p w:rsidR="00474565" w:rsidRDefault="005E13BE">
            <w:pPr>
              <w:spacing w:after="1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Verseny</w:t>
            </w:r>
          </w:p>
        </w:tc>
        <w:tc>
          <w:tcPr>
            <w:tcW w:w="4643" w:type="dxa"/>
          </w:tcPr>
          <w:p w:rsidR="00474565" w:rsidRDefault="005E13BE">
            <w:pPr>
              <w:spacing w:after="1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62</w:t>
            </w:r>
          </w:p>
        </w:tc>
      </w:tr>
    </w:tbl>
    <w:p w:rsidR="00474565" w:rsidRDefault="00474565">
      <w:pPr>
        <w:spacing w:after="12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474565" w:rsidRDefault="00474565">
      <w:pPr>
        <w:rPr>
          <w:noProof/>
        </w:rPr>
      </w:pPr>
    </w:p>
    <w:sectPr w:rsidR="0047456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565" w:rsidRDefault="005E13BE">
      <w:pPr>
        <w:spacing w:after="0" w:line="240" w:lineRule="auto"/>
      </w:pPr>
      <w:r>
        <w:separator/>
      </w:r>
    </w:p>
  </w:endnote>
  <w:endnote w:type="continuationSeparator" w:id="0">
    <w:p w:rsidR="00474565" w:rsidRDefault="005E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3BE" w:rsidRPr="005E13BE" w:rsidRDefault="005E13BE" w:rsidP="005E13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3BE" w:rsidRPr="005E13BE" w:rsidRDefault="005E13BE" w:rsidP="005E13BE">
    <w:pPr>
      <w:pStyle w:val="FooterCoverPage"/>
      <w:rPr>
        <w:rFonts w:ascii="Arial" w:hAnsi="Arial" w:cs="Arial"/>
        <w:b/>
        <w:sz w:val="48"/>
      </w:rPr>
    </w:pPr>
    <w:r w:rsidRPr="005E13BE">
      <w:rPr>
        <w:rFonts w:ascii="Arial" w:hAnsi="Arial" w:cs="Arial"/>
        <w:b/>
        <w:sz w:val="48"/>
      </w:rPr>
      <w:t>HU</w:t>
    </w:r>
    <w:r w:rsidRPr="005E13BE">
      <w:rPr>
        <w:rFonts w:ascii="Arial" w:hAnsi="Arial" w:cs="Arial"/>
        <w:b/>
        <w:sz w:val="48"/>
      </w:rPr>
      <w:tab/>
    </w:r>
    <w:r w:rsidRPr="005E13BE">
      <w:rPr>
        <w:rFonts w:ascii="Arial" w:hAnsi="Arial" w:cs="Arial"/>
        <w:b/>
        <w:sz w:val="48"/>
      </w:rPr>
      <w:tab/>
    </w:r>
    <w:r w:rsidRPr="005E13BE">
      <w:tab/>
    </w:r>
    <w:r w:rsidRPr="005E13BE"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3BE" w:rsidRPr="005E13BE" w:rsidRDefault="005E13BE" w:rsidP="005E13BE"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565" w:rsidRDefault="00474565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8854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4565" w:rsidRDefault="005E13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4565" w:rsidRDefault="00474565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565" w:rsidRDefault="004745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565" w:rsidRDefault="005E13BE">
      <w:pPr>
        <w:spacing w:after="0" w:line="240" w:lineRule="auto"/>
      </w:pPr>
      <w:r>
        <w:separator/>
      </w:r>
    </w:p>
  </w:footnote>
  <w:footnote w:type="continuationSeparator" w:id="0">
    <w:p w:rsidR="00474565" w:rsidRDefault="005E13BE">
      <w:pPr>
        <w:spacing w:after="0" w:line="240" w:lineRule="auto"/>
      </w:pPr>
      <w:r>
        <w:continuationSeparator/>
      </w:r>
    </w:p>
  </w:footnote>
  <w:footnote w:id="1">
    <w:p w:rsidR="00474565" w:rsidRDefault="005E13BE">
      <w:pPr>
        <w:pStyle w:val="FootnoteText"/>
        <w:jc w:val="both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Style w:val="FootnoteReference"/>
          <w:rFonts w:ascii="Times New Roman" w:hAnsi="Times New Roman"/>
          <w:sz w:val="16"/>
        </w:rPr>
        <w:footnoteRef/>
      </w:r>
      <w:r>
        <w:rPr>
          <w:rFonts w:ascii="Times New Roman" w:hAnsi="Times New Roman"/>
          <w:sz w:val="16"/>
        </w:rPr>
        <w:t xml:space="preserve"> COM(2016) 127 final.</w:t>
      </w:r>
    </w:p>
  </w:footnote>
  <w:footnote w:id="2">
    <w:p w:rsidR="00474565" w:rsidRDefault="005E13BE">
      <w:pPr>
        <w:pStyle w:val="Default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</w:rPr>
        <w:footnoteRef/>
      </w:r>
      <w:r>
        <w:rPr>
          <w:rStyle w:val="FootnoteReference"/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A közleményhez két szolgálati munkadokumentum tartozik. az első azokat a kulcsfontosságú gazdasági, munkaerőpiaci és társadalmi tendenciákat írja le, amelyekre a pillér épül, és amelyek kezelés</w:t>
      </w:r>
      <w:r>
        <w:rPr>
          <w:rFonts w:ascii="Times New Roman" w:hAnsi="Times New Roman"/>
          <w:sz w:val="16"/>
        </w:rPr>
        <w:t xml:space="preserve">éhez annak hozzá kellene járulnia; a második a legrelevánsabb uniós szintű jogi vívmányokra hívja fel a figyelmet. A </w:t>
      </w:r>
      <w:r>
        <w:rPr>
          <w:rFonts w:ascii="Times New Roman" w:hAnsi="Times New Roman"/>
          <w:i/>
          <w:sz w:val="16"/>
        </w:rPr>
        <w:t>Key economic, employment and social trends behind the European Pillar of Social Rights</w:t>
      </w:r>
      <w:r>
        <w:rPr>
          <w:rFonts w:ascii="Times New Roman" w:hAnsi="Times New Roman"/>
          <w:sz w:val="16"/>
        </w:rPr>
        <w:t xml:space="preserve"> [A szociális jogok európai pillére mögött meghúzódó </w:t>
      </w:r>
      <w:r>
        <w:rPr>
          <w:rFonts w:ascii="Times New Roman" w:hAnsi="Times New Roman"/>
          <w:sz w:val="16"/>
        </w:rPr>
        <w:t xml:space="preserve">kulcsfontosságú gazdasági, foglalkoztatási és társadalmi trendek] (SWD (2016) 51), valamint </w:t>
      </w:r>
      <w:r>
        <w:rPr>
          <w:rFonts w:ascii="Times New Roman" w:hAnsi="Times New Roman"/>
          <w:i/>
          <w:sz w:val="16"/>
        </w:rPr>
        <w:t>The EU social acquis</w:t>
      </w:r>
      <w:r>
        <w:rPr>
          <w:rFonts w:ascii="Times New Roman" w:hAnsi="Times New Roman"/>
          <w:sz w:val="16"/>
        </w:rPr>
        <w:t xml:space="preserve"> [Az EU szociális vívmányai] című SWD (2016) 50 bizottsági szolgálati munkadokumentumok (2016. március 8.).</w:t>
      </w:r>
    </w:p>
  </w:footnote>
  <w:footnote w:id="3">
    <w:p w:rsidR="00474565" w:rsidRDefault="005E13BE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</w:rPr>
        <w:footnoteRef/>
      </w:r>
      <w:r>
        <w:rPr>
          <w:rFonts w:ascii="Times New Roman" w:hAnsi="Times New Roman"/>
          <w:sz w:val="16"/>
        </w:rPr>
        <w:t xml:space="preserve"> </w:t>
      </w:r>
      <w:hyperlink r:id="rId1">
        <w:r>
          <w:rPr>
            <w:rStyle w:val="Hyperlink"/>
            <w:rFonts w:ascii="Times New Roman" w:hAnsi="Times New Roman"/>
            <w:sz w:val="16"/>
          </w:rPr>
          <w:t>A konferencia weboldala</w:t>
        </w:r>
      </w:hyperlink>
      <w:r>
        <w:rPr>
          <w:rFonts w:ascii="Times New Roman" w:hAnsi="Times New Roman"/>
          <w:sz w:val="16"/>
        </w:rPr>
        <w:t>.</w:t>
      </w:r>
    </w:p>
  </w:footnote>
  <w:footnote w:id="4">
    <w:p w:rsidR="00474565" w:rsidRDefault="005E13BE">
      <w:pPr>
        <w:pStyle w:val="FootnoteText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</w:rPr>
        <w:footnoteRef/>
      </w:r>
      <w:r>
        <w:rPr>
          <w:rFonts w:ascii="Times New Roman" w:hAnsi="Times New Roman"/>
          <w:sz w:val="16"/>
        </w:rPr>
        <w:t xml:space="preserve"> SWD(2017) 206 final, elérhető </w:t>
      </w:r>
      <w:hyperlink r:id="rId2">
        <w:r>
          <w:rPr>
            <w:rStyle w:val="Hyperlink"/>
            <w:rFonts w:ascii="Times New Roman" w:hAnsi="Times New Roman"/>
            <w:sz w:val="16"/>
          </w:rPr>
          <w:t>online</w:t>
        </w:r>
      </w:hyperlink>
      <w:r>
        <w:rPr>
          <w:rFonts w:ascii="Times New Roman" w:hAnsi="Times New Roman"/>
          <w:sz w:val="16"/>
        </w:rPr>
        <w:t>.</w:t>
      </w:r>
    </w:p>
  </w:footnote>
  <w:footnote w:id="5">
    <w:p w:rsidR="00474565" w:rsidRDefault="005E13BE">
      <w:pPr>
        <w:pStyle w:val="FootnoteText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</w:rPr>
        <w:footnoteRef/>
      </w:r>
      <w:r>
        <w:rPr>
          <w:rFonts w:ascii="Times New Roman" w:hAnsi="Times New Roman"/>
          <w:sz w:val="16"/>
        </w:rPr>
        <w:t xml:space="preserve"> EESC SOC/542, </w:t>
      </w:r>
      <w:hyperlink r:id="rId3">
        <w:r>
          <w:rPr>
            <w:rStyle w:val="Hyperlink"/>
            <w:rFonts w:ascii="Times New Roman" w:hAnsi="Times New Roman"/>
            <w:sz w:val="16"/>
          </w:rPr>
          <w:t>online hozzáférhető</w:t>
        </w:r>
      </w:hyperlink>
    </w:p>
  </w:footnote>
  <w:footnote w:id="6">
    <w:p w:rsidR="00474565" w:rsidRDefault="005E13BE">
      <w:pPr>
        <w:pStyle w:val="FootnoteText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</w:rPr>
        <w:footnoteRef/>
      </w:r>
      <w:r>
        <w:rPr>
          <w:rFonts w:ascii="Times New Roman" w:hAnsi="Times New Roman"/>
          <w:sz w:val="16"/>
        </w:rPr>
        <w:t xml:space="preserve"> 2868/2016 számú RB-vélemény, </w:t>
      </w:r>
      <w:hyperlink r:id="rId4">
        <w:r>
          <w:rPr>
            <w:rStyle w:val="Hyperlink"/>
            <w:rFonts w:ascii="Times New Roman" w:hAnsi="Times New Roman"/>
            <w:sz w:val="16"/>
          </w:rPr>
          <w:t>online hozzáférhető</w:t>
        </w:r>
      </w:hyperlink>
      <w:r>
        <w:rPr>
          <w:rFonts w:ascii="Times New Roman" w:hAnsi="Times New Roman"/>
          <w:sz w:val="16"/>
        </w:rPr>
        <w:t>.</w:t>
      </w:r>
    </w:p>
  </w:footnote>
  <w:footnote w:id="7">
    <w:p w:rsidR="00474565" w:rsidRDefault="005E13BE">
      <w:pPr>
        <w:pStyle w:val="FootnoteText"/>
      </w:pPr>
      <w:r>
        <w:rPr>
          <w:rStyle w:val="FootnoteReference"/>
          <w:rFonts w:ascii="Times New Roman" w:hAnsi="Times New Roman"/>
          <w:sz w:val="16"/>
        </w:rPr>
        <w:footnoteRef/>
      </w:r>
      <w:r>
        <w:rPr>
          <w:rFonts w:ascii="Times New Roman" w:hAnsi="Times New Roman"/>
          <w:sz w:val="16"/>
        </w:rPr>
        <w:t xml:space="preserve"> 2016/2095(INI) számú EP-vélemény, </w:t>
      </w:r>
      <w:hyperlink r:id="rId5">
        <w:r>
          <w:rPr>
            <w:rStyle w:val="Hyperlink"/>
            <w:rFonts w:ascii="Times New Roman" w:hAnsi="Times New Roman"/>
            <w:sz w:val="16"/>
          </w:rPr>
          <w:t>online hozzáférhető</w:t>
        </w:r>
      </w:hyperlink>
      <w:r>
        <w:rPr>
          <w:rFonts w:ascii="Times New Roman" w:hAnsi="Times New Roman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3BE" w:rsidRPr="005E13BE" w:rsidRDefault="005E13BE" w:rsidP="005E13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3BE" w:rsidRPr="005E13BE" w:rsidRDefault="005E13BE" w:rsidP="005E13BE"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3BE" w:rsidRPr="005E13BE" w:rsidRDefault="005E13BE" w:rsidP="005E13BE"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565" w:rsidRDefault="00474565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565" w:rsidRDefault="00474565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565" w:rsidRDefault="004745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amely a következ\u337? dokumentumot kíséri"/>
    <w:docVar w:name="LW_CORRIGENDUM" w:val="&lt;UNUSED&gt;"/>
    <w:docVar w:name="LW_COVERPAGE_EXISTS" w:val="True"/>
    <w:docVar w:name="LW_COVERPAGE_GUID" w:val="F151C9F6-B7F3-4147-8390-91A10FA5FF51"/>
    <w:docVar w:name="LW_COVERPAGE_TYPE" w:val="1"/>
    <w:docVar w:name="LW_CROSSREFERENCE" w:val="{COM(2018) 132 final}_x000d_"/>
    <w:docVar w:name="LW_DocType" w:val="NORMAL"/>
    <w:docVar w:name="LW_EMISSION" w:val="2018.3.13."/>
    <w:docVar w:name="LW_EMISSION_ISODATE" w:val="2018-03-13"/>
    <w:docVar w:name="LW_EMISSION_LOCATION" w:val="BRX"/>
    <w:docVar w:name="LW_EMISSION_PREFIX" w:val="Strasbourg,"/>
    <w:docVar w:name="LW_EMISSION_SUFFIX" w:val="&lt;EMPTY&gt;"/>
    <w:docVar w:name="LW_ID_DOCTYPE_NONLW" w:val="CP-025"/>
    <w:docVar w:name="LW_LANGUE" w:val="HU"/>
    <w:docVar w:name="LW_LEVEL_OF_SENSITIVITY" w:val="Standard treatment"/>
    <w:docVar w:name="LW_NOM.INST" w:val="EURÓPAI BIZOTTSÁG"/>
    <w:docVar w:name="LW_NOM.INST_JOINTDOC" w:val="&lt;EMPTY&gt;"/>
    <w:docVar w:name="LW_OBJETACTEPRINCIPAL.CP" w:val="a munkavállalók és az önálló vállalkozók szociális védelemhez való hozzáférésér\u337?l_x000b_"/>
    <w:docVar w:name="LW_PART_NBR" w:val="1"/>
    <w:docVar w:name="LW_PART_NBR_TOTAL" w:val="1"/>
    <w:docVar w:name="LW_REF.INST.NEW" w:val="SWD"/>
    <w:docVar w:name="LW_REF.INST.NEW_ADOPTED" w:val="final"/>
    <w:docVar w:name="LW_REF.INST.NEW_TEXT" w:val="(2018) 79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ITRE.OBJ.CP" w:val="&lt;FMT:Font=Verdana&gt;AZ ÉRDEKELT FELEKKEL FOLYTATOTT KONZULTÁCIÓ - ÖSSZEFOGLALÓ JELENTÉS&lt;/FMT&gt;"/>
    <w:docVar w:name="LW_TYPE.DOC.CP" w:val="BIZOTTSÁGI SZOLGÁLATI MUNKADOKUMENTUM"/>
    <w:docVar w:name="LW_TYPEACTEPRINCIPAL.CP" w:val="Javaslat_x000b_A Tanács ajánlása "/>
  </w:docVars>
  <w:rsids>
    <w:rsidRoot w:val="00474565"/>
    <w:rsid w:val="00474565"/>
    <w:rsid w:val="005E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Hyperlink">
    <w:name w:val="Hyperlink"/>
    <w:basedOn w:val="DefaultParagraphFont"/>
    <w:unhideWhenUsed/>
    <w:rPr>
      <w:color w:val="0000FF" w:themeColor="hyperlink"/>
      <w:w w:val="100"/>
      <w:sz w:val="20"/>
      <w:szCs w:val="20"/>
      <w:u w:val="single"/>
      <w:shd w:val="clear" w:color="auto" w:fill="auto"/>
    </w:rPr>
  </w:style>
  <w:style w:type="character" w:styleId="FootnoteReference">
    <w:name w:val="footnote reference"/>
    <w:link w:val="BVIfnr"/>
    <w:uiPriority w:val="99"/>
    <w:unhideWhenUsed/>
    <w:qFormat/>
    <w:rPr>
      <w:sz w:val="20"/>
      <w:szCs w:val="20"/>
      <w:vertAlign w:val="superscript"/>
    </w:rPr>
  </w:style>
  <w:style w:type="paragraph" w:customStyle="1" w:styleId="BVIfnr">
    <w:name w:val="BVI fnr Знак Знак"/>
    <w:basedOn w:val="Normal"/>
    <w:link w:val="FootnoteReference"/>
    <w:uiPriority w:val="99"/>
    <w:pPr>
      <w:spacing w:after="0" w:line="240" w:lineRule="auto"/>
    </w:pPr>
    <w:rPr>
      <w:sz w:val="20"/>
      <w:szCs w:val="20"/>
      <w:vertAlign w:val="superscript"/>
    </w:rPr>
  </w:style>
  <w:style w:type="paragraph" w:customStyle="1" w:styleId="Default">
    <w:name w:val="Default"/>
    <w:pPr>
      <w:autoSpaceDE w:val="0"/>
      <w:autoSpaceDN w:val="0"/>
      <w:spacing w:after="0" w:line="240" w:lineRule="auto"/>
    </w:pPr>
    <w:rPr>
      <w:rFonts w:ascii="Verdana" w:eastAsia="Verdana" w:hAnsi="Verdana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Hyperlink">
    <w:name w:val="Hyperlink"/>
    <w:basedOn w:val="DefaultParagraphFont"/>
    <w:unhideWhenUsed/>
    <w:rPr>
      <w:color w:val="0000FF" w:themeColor="hyperlink"/>
      <w:w w:val="100"/>
      <w:sz w:val="20"/>
      <w:szCs w:val="20"/>
      <w:u w:val="single"/>
      <w:shd w:val="clear" w:color="auto" w:fill="auto"/>
    </w:rPr>
  </w:style>
  <w:style w:type="character" w:styleId="FootnoteReference">
    <w:name w:val="footnote reference"/>
    <w:link w:val="BVIfnr"/>
    <w:uiPriority w:val="99"/>
    <w:unhideWhenUsed/>
    <w:qFormat/>
    <w:rPr>
      <w:sz w:val="20"/>
      <w:szCs w:val="20"/>
      <w:vertAlign w:val="superscript"/>
    </w:rPr>
  </w:style>
  <w:style w:type="paragraph" w:customStyle="1" w:styleId="BVIfnr">
    <w:name w:val="BVI fnr Знак Знак"/>
    <w:basedOn w:val="Normal"/>
    <w:link w:val="FootnoteReference"/>
    <w:uiPriority w:val="99"/>
    <w:pPr>
      <w:spacing w:after="0" w:line="240" w:lineRule="auto"/>
    </w:pPr>
    <w:rPr>
      <w:sz w:val="20"/>
      <w:szCs w:val="20"/>
      <w:vertAlign w:val="superscript"/>
    </w:rPr>
  </w:style>
  <w:style w:type="paragraph" w:customStyle="1" w:styleId="Default">
    <w:name w:val="Default"/>
    <w:pPr>
      <w:autoSpaceDE w:val="0"/>
      <w:autoSpaceDN w:val="0"/>
      <w:spacing w:after="0" w:line="240" w:lineRule="auto"/>
    </w:pPr>
    <w:rPr>
      <w:rFonts w:ascii="Verdana" w:eastAsia="Verdana" w:hAnsi="Verdana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esc.europa.eu/hu/our-work/opinions-information-reports/opinions/european-pillar-social-rights-soc542" TargetMode="External"/><Relationship Id="rId2" Type="http://schemas.openxmlformats.org/officeDocument/2006/relationships/hyperlink" Target="http://eur-lex.europa.eu/legal-content/EN/TXT/?qid=1494929508490&amp;uri=CELEX:52017SC0206" TargetMode="External"/><Relationship Id="rId1" Type="http://schemas.openxmlformats.org/officeDocument/2006/relationships/hyperlink" Target="http://ec.europa.eu/social/main.jsp?langId=en&amp;catId=1226&amp;eventsId=1187&amp;furtherEvents=yes" TargetMode="External"/><Relationship Id="rId5" Type="http://schemas.openxmlformats.org/officeDocument/2006/relationships/hyperlink" Target="http://www.europarl.europa.eu/sides/getDoc.do?pubRef=-//EP//TEXT+REPORT+A8-2016-0391+0+DOC+XML+V0//HU" TargetMode="External"/><Relationship Id="rId4" Type="http://schemas.openxmlformats.org/officeDocument/2006/relationships/hyperlink" Target="http://cor.europa.eu/hu/activities/opinions/pages/opinion-factsheet.aspx?OpinionNumber=CDR%202868/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3159</Words>
  <Characters>22751</Characters>
  <Application>Microsoft Office Word</Application>
  <DocSecurity>0</DocSecurity>
  <Lines>402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PAREDES ECHAURI Cristina (CAB-ALMUNIA)</cp:lastModifiedBy>
  <cp:revision>18</cp:revision>
  <cp:lastPrinted>2015-08-28T07:32:00Z</cp:lastPrinted>
  <dcterms:created xsi:type="dcterms:W3CDTF">2018-03-08T10:32:00Z</dcterms:created>
  <dcterms:modified xsi:type="dcterms:W3CDTF">2018-04-05T12:08:00Z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">
    <vt:lpwstr>1</vt:lpwstr>
  </property>
  <property fmtid="{D5CDD505-2E9C-101B-9397-08002B2CF9AE}" pid="3" name="Total parts">
    <vt:lpwstr>1</vt:lpwstr>
  </property>
  <property fmtid="{D5CDD505-2E9C-101B-9397-08002B2CF9AE}" pid="4" name="DocStatus">
    <vt:lpwstr>Green</vt:lpwstr>
  </property>
  <property fmtid="{D5CDD505-2E9C-101B-9397-08002B2CF9AE}" pid="5" name="Level of sensitivity">
    <vt:lpwstr>Standard treatment</vt:lpwstr>
  </property>
</Properties>
</file>