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A58AADC2-D4C6-49BF-8841-F6BD3CAAFAF4" style="width:450.4pt;height:434.5pt">
            <v:imagedata r:id="rId9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bookmarkStart w:id="1" w:name="_GoBack"/>
      <w:bookmarkEnd w:id="1"/>
      <w:r>
        <w:rPr>
          <w:b/>
          <w:noProof/>
          <w:color w:val="000000"/>
        </w:rPr>
        <w:lastRenderedPageBreak/>
        <w:t>LIITE</w:t>
      </w:r>
    </w:p>
    <w:p>
      <w:pPr>
        <w:spacing w:before="240"/>
        <w:jc w:val="left"/>
        <w:rPr>
          <w:rFonts w:eastAsia="Times New Roman"/>
          <w:b/>
          <w:bCs/>
          <w:noProof/>
          <w:color w:val="000000"/>
          <w:szCs w:val="24"/>
        </w:rPr>
      </w:pPr>
      <w:r>
        <w:rPr>
          <w:noProof/>
          <w:color w:val="000000"/>
        </w:rPr>
        <w:t>Muutetaan liite III seuraavasti: Lisätään A kohtaan taulukko seuraavasti:</w:t>
      </w:r>
    </w:p>
    <w:p>
      <w:pPr>
        <w:spacing w:before="240"/>
        <w:rPr>
          <w:rFonts w:eastAsia="Times New Roman"/>
          <w:bCs/>
          <w:noProof/>
          <w:color w:val="000000"/>
          <w:szCs w:val="24"/>
        </w:rPr>
      </w:pPr>
    </w:p>
    <w:tbl>
      <w:tblPr>
        <w:tblW w:w="5221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69"/>
        <w:gridCol w:w="1109"/>
        <w:gridCol w:w="875"/>
        <w:gridCol w:w="875"/>
        <w:gridCol w:w="935"/>
        <w:gridCol w:w="882"/>
        <w:gridCol w:w="875"/>
        <w:gridCol w:w="941"/>
        <w:gridCol w:w="1194"/>
        <w:gridCol w:w="3118"/>
      </w:tblGrid>
      <w:tr>
        <w:trPr>
          <w:tblCellSpacing w:w="0" w:type="dxa"/>
        </w:trPr>
        <w:tc>
          <w:tcPr>
            <w:tcW w:w="320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Aineen nimi</w:t>
            </w:r>
          </w:p>
        </w:tc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EY-nro (</w:t>
            </w:r>
            <w:r>
              <w:rPr>
                <w:rStyle w:val="EndnoteReference"/>
                <w:noProof/>
                <w:sz w:val="20"/>
              </w:rPr>
              <w:endnoteReference w:id="1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1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CAS-nro (</w:t>
            </w:r>
            <w:r>
              <w:rPr>
                <w:rStyle w:val="EndnoteReference"/>
                <w:noProof/>
                <w:sz w:val="20"/>
              </w:rPr>
              <w:endnoteReference w:id="2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53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   Raja-arvot</w:t>
            </w:r>
          </w:p>
        </w:tc>
        <w:tc>
          <w:tcPr>
            <w:tcW w:w="119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Merkintä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04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Siirtymätoimenpiteet</w:t>
            </w: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 tuntia (</w:t>
            </w:r>
            <w:r>
              <w:rPr>
                <w:rStyle w:val="EndnoteReference"/>
                <w:noProof/>
                <w:sz w:val="20"/>
              </w:rPr>
              <w:endnoteReference w:id="3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2698" w:type="dxa"/>
            <w:gridSpan w:val="3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Lyhytaikainen (</w:t>
            </w:r>
            <w:r>
              <w:rPr>
                <w:rStyle w:val="EndnoteReference"/>
                <w:noProof/>
                <w:sz w:val="20"/>
              </w:rPr>
              <w:endnoteReference w:id="4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1194" w:type="dxa"/>
            <w:vMerge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</w:rPr>
              <w:t>mg/m</w:t>
            </w:r>
            <w:r>
              <w:rPr>
                <w:noProof/>
                <w:sz w:val="20"/>
                <w:vertAlign w:val="superscript"/>
              </w:rPr>
              <w:t>3</w:t>
            </w:r>
            <w:r>
              <w:rPr>
                <w:noProof/>
                <w:sz w:val="20"/>
              </w:rPr>
              <w:t xml:space="preserve">  (</w:t>
            </w:r>
            <w:r>
              <w:rPr>
                <w:rStyle w:val="EndnoteReference"/>
                <w:noProof/>
                <w:sz w:val="20"/>
              </w:rPr>
              <w:endnoteReference w:id="5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875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ppm  (</w:t>
            </w:r>
            <w:r>
              <w:rPr>
                <w:rStyle w:val="EndnoteReference"/>
                <w:noProof/>
                <w:sz w:val="20"/>
              </w:rPr>
              <w:endnoteReference w:id="6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935" w:type="dxa"/>
          </w:tcPr>
          <w:p>
            <w:pPr>
              <w:spacing w:before="60" w:after="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f/ml</w:t>
            </w:r>
          </w:p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</w:t>
            </w:r>
            <w:r>
              <w:rPr>
                <w:rStyle w:val="EndnoteReference"/>
                <w:noProof/>
                <w:sz w:val="20"/>
              </w:rPr>
              <w:endnoteReference w:id="7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882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mg/m</w:t>
            </w:r>
            <w:r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ppm</w:t>
            </w:r>
          </w:p>
        </w:tc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f/ml</w:t>
            </w:r>
          </w:p>
        </w:tc>
        <w:tc>
          <w:tcPr>
            <w:tcW w:w="1194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Kadmium ja sen epäorgaaniset yhdisteet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Raja-arvo 0,004 mg/m</w:t>
            </w:r>
            <w:r>
              <w:rPr>
                <w:noProof/>
                <w:sz w:val="20"/>
                <w:vertAlign w:val="superscript"/>
              </w:rPr>
              <w:t>3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  <w:highlight w:val="yellow"/>
              </w:rPr>
              <w:t>xx yyyy 202z  [7 vuotta]</w:t>
            </w:r>
            <w:r>
              <w:rPr>
                <w:noProof/>
                <w:sz w:val="20"/>
              </w:rPr>
              <w:t xml:space="preserve"> asti</w:t>
            </w: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Beryllium ja epäorgaaniset berylliumyhdisteet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0,0002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ihon ja hengitysteiden herkistyminen (</w:t>
            </w:r>
            <w:r>
              <w:rPr>
                <w:rStyle w:val="EndnoteReference"/>
                <w:noProof/>
                <w:sz w:val="20"/>
              </w:rPr>
              <w:endnoteReference w:id="8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Raja-arvo 0,0006 mg/m</w:t>
            </w:r>
            <w:r>
              <w:rPr>
                <w:noProof/>
                <w:sz w:val="20"/>
                <w:vertAlign w:val="superscript"/>
              </w:rPr>
              <w:t>3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  <w:highlight w:val="yellow"/>
              </w:rPr>
              <w:t>xx yyyy 202z  [5 vuotta]</w:t>
            </w:r>
            <w:r>
              <w:rPr>
                <w:noProof/>
                <w:sz w:val="20"/>
              </w:rPr>
              <w:t xml:space="preserve"> asti</w:t>
            </w: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Arseenihappo ja sen suolat sekä epäorgaaniset arseeniyhdisteet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Kuparinsulatuksessa raja-arvo tulee voimaan </w:t>
            </w:r>
            <w:r>
              <w:rPr>
                <w:noProof/>
                <w:sz w:val="20"/>
                <w:highlight w:val="yellow"/>
              </w:rPr>
              <w:t>xx yyyy 202z [2 vuotta]</w:t>
            </w:r>
          </w:p>
        </w:tc>
      </w:tr>
      <w:tr>
        <w:trPr>
          <w:trHeight w:val="596"/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Formaldehydi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200-001-8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50-00-0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0,37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0,738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ihon herkistyminen</w:t>
            </w:r>
          </w:p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</w:t>
            </w:r>
            <w:r>
              <w:rPr>
                <w:rStyle w:val="EndnoteReference"/>
                <w:noProof/>
                <w:sz w:val="20"/>
              </w:rPr>
              <w:endnoteReference w:id="9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4,4’-metyleeni-bis-(2-kloorianiliini)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202-918-9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101-14-4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iho (</w:t>
            </w:r>
            <w:r>
              <w:rPr>
                <w:rStyle w:val="EndnoteReference"/>
                <w:noProof/>
                <w:sz w:val="20"/>
              </w:rPr>
              <w:endnoteReference w:id="10"/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</w:p>
        </w:tc>
      </w:tr>
    </w:tbl>
    <w:p>
      <w:pPr>
        <w:spacing w:before="40" w:after="40"/>
        <w:jc w:val="left"/>
        <w:rPr>
          <w:noProof/>
          <w:sz w:val="20"/>
          <w:szCs w:val="20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9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id="1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rPr>
          <w:color w:val="000000"/>
        </w:rPr>
        <w:t>EY-numero eli Einecs-, ELINCS- tai No Longer Polymers -numero on aineen virallinen numero Euroopan unionissa asetuksen (EY) N:o 1272/2008 liitteessä VI olevan 1 osan 1.1.1.2 kohdassa määritellyn mukaisesti.</w:t>
      </w:r>
    </w:p>
  </w:endnote>
  <w:endnote w:id="2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rPr>
          <w:color w:val="000000"/>
        </w:rPr>
        <w:t>CAS-numero: Chemical Abstract Service -rekisterinumero.</w:t>
      </w:r>
    </w:p>
  </w:endnote>
  <w:endnote w:id="3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  <w:t>Mitattuna tai laskettuna kahdeksan tunnin vertailujaksolle (Time Weighted Average).</w:t>
      </w:r>
    </w:p>
  </w:endnote>
  <w:endnote w:id="4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  <w:t>Lyhytaikaisen altistuksen raja-arvo. Raja-arvo, jota altistus ei saa ylittää ja joka koskee 15 minuutin ajanjaksoa, jollei toisin ilmoiteta.</w:t>
      </w:r>
    </w:p>
  </w:endnote>
  <w:endnote w:id="5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</w:rPr>
        <w:t>(</w:t>
      </w:r>
      <w:r>
        <w:rPr>
          <w:rStyle w:val="EndnoteReference"/>
          <w:sz w:val="20"/>
        </w:rPr>
        <w:endnoteRef/>
      </w:r>
      <w:r>
        <w:rPr>
          <w:sz w:val="20"/>
        </w:rPr>
        <w:t xml:space="preserve">) </w:t>
      </w:r>
      <w:r>
        <w:tab/>
      </w:r>
      <w:r>
        <w:rPr>
          <w:color w:val="000000"/>
          <w:sz w:val="20"/>
        </w:rPr>
        <w:t>mg/m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  <w:sz w:val="20"/>
        </w:rPr>
        <w:t xml:space="preserve"> = milligrammaa ilmakuutiometriä kohti 20 °C:ssa ja 101,3 kPa:ssa (760 mm elohopeamittarilla).</w:t>
      </w:r>
    </w:p>
  </w:endnote>
  <w:endnote w:id="6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</w:rPr>
        <w:t>(</w:t>
      </w:r>
      <w:r>
        <w:rPr>
          <w:rStyle w:val="EndnoteReference"/>
          <w:sz w:val="20"/>
        </w:rPr>
        <w:endnoteRef/>
      </w:r>
      <w:r>
        <w:rPr>
          <w:sz w:val="20"/>
        </w:rPr>
        <w:t xml:space="preserve">) </w:t>
      </w:r>
      <w:r>
        <w:tab/>
      </w:r>
      <w:r>
        <w:rPr>
          <w:color w:val="000000"/>
          <w:sz w:val="20"/>
        </w:rPr>
        <w:t>ppm = miljoonasosaa tilavuutena ilmassa (ml/m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  <w:sz w:val="20"/>
        </w:rPr>
        <w:t>).</w:t>
      </w:r>
    </w:p>
  </w:endnote>
  <w:endnote w:id="7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</w:rPr>
        <w:t>(</w:t>
      </w:r>
      <w:r>
        <w:rPr>
          <w:rStyle w:val="EndnoteReference"/>
          <w:sz w:val="20"/>
        </w:rPr>
        <w:endnoteRef/>
      </w:r>
      <w:r>
        <w:rPr>
          <w:sz w:val="20"/>
        </w:rPr>
        <w:t xml:space="preserve">) </w:t>
      </w:r>
      <w:r>
        <w:tab/>
      </w:r>
      <w:r>
        <w:rPr>
          <w:color w:val="000000"/>
          <w:sz w:val="20"/>
        </w:rPr>
        <w:t>f/ml = kuituja millilitrassa.</w:t>
      </w:r>
    </w:p>
  </w:endnote>
  <w:endnote w:id="8">
    <w:p>
      <w:pPr>
        <w:pStyle w:val="EndnoteText"/>
        <w:spacing w:after="20"/>
        <w:ind w:left="360" w:hanging="360"/>
        <w:rPr>
          <w:rFonts w:eastAsia="Times New Roman"/>
          <w:color w:val="000000"/>
          <w:lang w:eastAsia="en-GB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rPr>
          <w:color w:val="000000"/>
        </w:rPr>
        <w:t>Aine voi aiheuttaa ihon ja hengitysteiden herkistymistä.</w:t>
      </w:r>
    </w:p>
  </w:endnote>
  <w:endnote w:id="9">
    <w:p>
      <w:pPr>
        <w:pStyle w:val="EndnoteText"/>
        <w:spacing w:after="20"/>
        <w:ind w:left="360" w:hanging="360"/>
        <w:rPr>
          <w:rFonts w:eastAsia="Times New Roman"/>
          <w:color w:val="000000"/>
          <w:lang w:eastAsia="en-GB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rPr>
          <w:color w:val="000000"/>
        </w:rPr>
        <w:t>Aine voi aiheuttaa ihon herkistymistä.</w:t>
      </w:r>
    </w:p>
  </w:endnote>
  <w:endnote w:id="10">
    <w:p>
      <w:pPr>
        <w:pStyle w:val="EndnoteText"/>
        <w:spacing w:after="20"/>
        <w:ind w:left="360" w:hanging="360"/>
        <w:rPr>
          <w:rFonts w:eastAsia="Times New Roman"/>
          <w:color w:val="000000"/>
          <w:lang w:eastAsia="en-GB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rPr>
          <w:color w:val="000000"/>
        </w:rPr>
        <w:t>Huomattava kehon kokonaiskuormituksen lisääntyminen ihon kautta altistumalla mahdollista.</w:t>
      </w:r>
    </w:p>
    <w:p>
      <w:pPr>
        <w:pStyle w:val="EndnoteText"/>
        <w:spacing w:after="20"/>
        <w:ind w:left="360" w:hanging="360"/>
      </w:pPr>
    </w:p>
    <w:p>
      <w:pPr>
        <w:pStyle w:val="EndnoteText"/>
        <w:spacing w:after="20"/>
        <w:ind w:left="360" w:hanging="3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99558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>
    <w:nsid w:val="2BD83CB7"/>
    <w:multiLevelType w:val="hybridMultilevel"/>
    <w:tmpl w:val="19FE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4B0C"/>
    <w:multiLevelType w:val="hybridMultilevel"/>
    <w:tmpl w:val="36F60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4BF4"/>
    <w:multiLevelType w:val="hybridMultilevel"/>
    <w:tmpl w:val="3E4C7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F3EDA"/>
    <w:multiLevelType w:val="hybridMultilevel"/>
    <w:tmpl w:val="EBAA8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30E94"/>
    <w:multiLevelType w:val="hybridMultilevel"/>
    <w:tmpl w:val="0220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A6FC8"/>
    <w:multiLevelType w:val="hybridMultilevel"/>
    <w:tmpl w:val="54E677C0"/>
    <w:lvl w:ilvl="0" w:tplc="E4C0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2127F"/>
    <w:multiLevelType w:val="singleLevel"/>
    <w:tmpl w:val="057A5296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>
    <w:nsid w:val="555C796A"/>
    <w:multiLevelType w:val="hybridMultilevel"/>
    <w:tmpl w:val="47E6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8119A"/>
    <w:multiLevelType w:val="hybridMultilevel"/>
    <w:tmpl w:val="FADA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56EE5"/>
    <w:multiLevelType w:val="singleLevel"/>
    <w:tmpl w:val="3378D27C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AFE543F"/>
    <w:multiLevelType w:val="hybridMultilevel"/>
    <w:tmpl w:val="9B10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58AADC2-D4C6-49BF-8841-F6BD3CAAFAF4"/>
    <w:docVar w:name="LW_COVERPAGE_TYPE" w:val="1"/>
    <w:docVar w:name="LW_CROSSREFERENCE" w:val="{SWD(2018) 87 final}_x000b_{SWD(2018) 88 final}"/>
    <w:docVar w:name="LW_DocType" w:val="NORMAL"/>
    <w:docVar w:name="LW_EMISSION" w:val="5.4.2018"/>
    <w:docVar w:name="LW_EMISSION_ISODATE" w:val="2018-04-05"/>
    <w:docVar w:name="LW_EMISSION_LOCATION" w:val="BRX"/>
    <w:docVar w:name="LW_EMISSION_PREFIX" w:val="Bryssel "/>
    <w:docVar w:name="LW_EMISSION_SUFFIX" w:val="&lt;EMPTY&gt;"/>
    <w:docVar w:name="LW_ID_DOCTYPE_NONLW" w:val="CP-036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.CP" w:val="EUROOPAN PARLAMENTIN JA NEUVOSTON DIREKTIIVI_x000b_työntekijöiden suojelemisesta syöpäsairauden vaaraa aiheuttaville tekijöille tai perimän muutoksia aiheuttaville aineille altistumiseen työssä liittyviltä vaaroilta annetun direktiivin 2004/37/EY muuttamisest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1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LIITE_x000b_"/>
    <w:docVar w:name="LW_TYPEACTEPRINCIPAL.CP" w:val="Ehdotu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5C63-6F48-4307-841E-E0291E8F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143</Words>
  <Characters>700</Characters>
  <Application>Microsoft Office Word</Application>
  <DocSecurity>0</DocSecurity>
  <Lines>116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for CMD III</vt:lpstr>
    </vt:vector>
  </TitlesOfParts>
  <Manager/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for CMD III</dc:title>
  <dc:creator/>
  <cp:lastModifiedBy>DIGIT/A3</cp:lastModifiedBy>
  <cp:revision>16</cp:revision>
  <cp:lastPrinted>2018-03-13T17:29:00Z</cp:lastPrinted>
  <dcterms:created xsi:type="dcterms:W3CDTF">2018-03-13T17:26:00Z</dcterms:created>
  <dcterms:modified xsi:type="dcterms:W3CDTF">2018-04-09T08:36:00Z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