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8A7053D-4AD3-47A6-BBA3-6E3D1BE3D7C5" style="width:450.75pt;height:552pt">
            <v:imagedata r:id="rId10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Skeda tas-Sommarju Eżekuttiv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Valutazzjoni tal-impatt dwar l-iżvilupp ta’ swieq sekondarji għal self improduttiv billi jitneħħa x-xkiel bla bżonn għas-servizzjar tas-self minn terzi u għat-trasferiment tas-self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Għaliex? X’inhi l-problema li qed tiġi indirizzata?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Is-self improduttiv (NPLs) akkumula f’biċċiet mis-settur bankarju tal-UE wara li faqqgħu l-kriżi finanzjara u dik tas-sovran u r-reċessjonijiet li ġew wara. Livelli għoljin ta’ NPLs jaffettwaw l-istabbiltà finanzjarja billi jitfgħu piż fuq il-profittabilità u eventwalment il-vijabbiltà tal-istituzzjonijiet milquta u għandhom impatt, minħabba t-tnaqqis fis-self mill-bank, fuq it-tkabbir ekonomiku. Minħabba f’hekk, l-NPLs għandhom impatt negattiv kemm fuq it-tħaddim tal-Unjoni Bankarja kif ukoll fuq il-ħolqien tal-Unjoni tas-Swieq Kapitali. Biex l-isfidi ta’ NPLs għoljin fl-Ewropa jiġu indirizzati ulterjorment, il-“Pjan ta’ Azzjoni biex jiġi Indirizzat is-Self Improduttiv fl-Ewropa” jistieden lil diversi istituzzjonijiet sabiex jieħdu miżuri xierqa. Wieħed mill-oqsma ta’ politika ewlenin tiegħu huwa li jiżviluppa u jtejjeb it-tħaddim tas-swieq sekondarji għall-NPLs, speċifikament biex jitneħħa x-xkiel għat-trasferimenti ta’ NPLs minn banek għal entitajiet oħra u biex jiġu armonizzati r-rekwiżiti għas-servizzjanti tas-self. Is-sehem limitat tal-entitajiet mhux bankarji wassal għal domanda baxxa, kompetizzjoni batuta u prezzijiet baxxi tax-xiri fuq is-swieq sekondarji, li jwassal għal diżinċentiv għall-banek biex ibigħu l-NPLs. Fattur partikolari li jaqta’ qalb l-investituri fl-NPLs biex jidħlu fis-suq huwa d-diffikultà li jkollhom aċċess għas-servizzjanti tas-self terzi, li kienu virtwalment assenti f’bosta Stati Membri tal-UE sa ftit żmien ilu u jaġixxu fuq is-swieq issegmentati.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X’mistennija tikseb din l-inizjattiva?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L-Istati Membri għandhom regoli differenti ferm għal partijiet terzi li jakkwistaw l-NPLs mill-banek, kif ukoll regoli biex joffru servizzi ta’ servizzjar tas-self li jirrestrinġu kemm il-fluss liberu tal-NPLs kif ukoll l-opportunitajiet ta’ investiment għal investituri minn pajjiżi terzi. L-objettiv ġenerali huwa li tkun stimulata d-domanda għall-NPLs billi tiġi ġġenerata bażi akbar ta’ investituri billi jitnaqqas ix-xkiel għad-dħul, u b’konsegwenza ta’ hekk tinħoloq kompetizzjoni akbar fost l-investituri. L-iffaċilitar tal-espansjoni tas-servizzjanti tas-self bejn il-fruntieri tippermettilhom li jisfruttaw l-ekonomiji ta’ skala, jikkompetu għan-negozji transfruntiera u jipprovdu s-servizzi tagħhom bi prezzijiet aktar baxxi lill-investituri fl-NPLs li mhumiex bankarji.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Sehem aktar qawwi ta’ ditti minn pajjiżi terzi żżid l-effetti ta’ kompetizzjoni akbar fuq il-prezzijiet tal-NPLs u t-tariffi tas-servizzjar tas-self. Fl-istess waqt, jenħtieġ li jkun żgurat li jinżammu d-drittijiet tal-mutwatarji jekk kreditu jkun trasferit minn bank għal entità mhux bankarja.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 l-valur miżjud ta’ azzjoni fil-livell tal-UE?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Mingħajr miżuri fil-livell tal-UE, is-swieq nazzjonali għall-NPLs u s-servizzjanti tas-self se jibqgħu fframmentati u sottożviluppati. Għalkemm qafas għal suq uniku mhuwiex se jneħħi l-frammentazzjoni kollha, il-miżuri tal-UE jiffavorixxu l-espansjoni transfruntiera tal-investituri kif ukoll tas-servizzjanti tas-self, sabiex iqarrbu lejn bażi kondiviża tal-investituri fost l-Istati Membru kollha tal-UE. Il-valur miżjud ta’ azzjoni fil-livell tal-UE jikkonsisti wkoll f’inċentivar lill-Istati Membri biex jieħdu pożizzjoni aktar attiva biex inaqqsu x-xkiel regolatorju għad-dħul, minkejja li miżuri ta’ politika mhux ikkoordinati fil-livell nazzjonali jaċċentwaw il-frammentazzjoni tas-suq eżistenti.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X’għażliet ta’ politika leġiżlattivi u mhux leġiżlattivi ġew ikkunsidrati? Hemm għażla ppreferuta jew le? Għaliex?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u w:color="000000"/>
                <w:bdr w:val="nil"/>
              </w:rPr>
              <w:t xml:space="preserve">It-twaqqif ta’ sett ta’ prinċipji komuni mhux vinkolanti li fil-mira tagħhom ikollhom l-aktar xkiel sinifikanti għad-dħul fis-suq f’pajjiżi b’livell kbir ta’ NPLs jista’ jnaqqas ir-restrizzjonijiet li jikkonċernaw it-trasferiment tal-NPLs u s-servizzjar tas-self fl-Istati Membri fejn hemm l-aktar bżonn, iżda ma joħloqx suq uniku. Direttiva li tippermetti l-użu ta’ passaportar tista’ żżid il-bażi tal-investituri għall-NPLs u l-kompetizzjoni fis-swieq tas-servizzjar tas-self filwaqt li tippermetti lill-Istati Membri li jibqgħu jirregolaw l-ispeċifiċitajiet nazzjonali. Regolament b’ġabra unika tar-regoli li jippermetti l-passaportar u jkopri r-regoli ta’ dħul u ta’ mġiba għall-investituri u s-servizzjanti tas-self ikun l-aqwa għażla biex il-bażi tal-investituri għall-NPLs tiżdied f’qasir żmien u jitnaqqas l-istokk attwalment kbir ta’ NPLs fl-UE u fi wħud mill-Istati Membri tagħha, b’mod partikolari. Il-ġabra unika tar-regoli jkollha eżitu li jqarreb lejn suq uniku, iżda tista’ timplika li dħul fis-suq jista’ jsir jiswa aktar f'dawk l-Istati Membri li fihom id-dħul </w:t>
            </w:r>
            <w:r>
              <w:rPr>
                <w:rFonts w:ascii="Arial" w:hAnsi="Arial"/>
                <w:noProof/>
                <w:color w:val="000000"/>
                <w:sz w:val="20"/>
                <w:u w:color="000000"/>
                <w:bdr w:val="nil"/>
              </w:rPr>
              <w:lastRenderedPageBreak/>
              <w:t>fis-suq diġà huwa sempliċi, u għandha tkun ifformulata b’tali mod li timminimizza x-xkiel addizzjonali. L-għażla ppreferuta tikkonsisti fi strument legali vinkolanti li jarmonizza r-regoli tad-dħul u tal-imġiba għall-akkwirenti u s-servizzjanti tas-self. Jekk dan huwiex se jsir fl-għamla ta’ Regolament jew Direttiva se jiddependi fuq il-preferenza ta’ politika u fuq jekk il-prijorità hijiex li tintgħażel miżura li tkun l-aktar effettiva jew inkella miżura li tħalli aktar lok għal diskrezzjoni nazzjonali.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Liema għażla u min jappoġġaha?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Filwaqt li l-maġġorparti tat-tweġibiet għall-konsultazzjoni pubblika jgħidu li d-daqs attwali, il-likwidità u l-istruttura tas-swieq sekondarji għall-NPLs fl-UE huma ostaklu għall-ġestjoni u r-riżoluzzjoni tal-NPLs fl-UE u hemm maġġoranza li tappoġġja qafas tal-UE għall-investituri fl-NPLs, il-proporzjon f’minoranza huwa mdaqqas (kważi terz). Maġġoranza sostanzjali tappoġġja qafas tal-UE għas-servizzjanti tas-self. Hemm minoranza żgħira biss li toġġezzjona jew tastjeni. Kważi dawk kollha li wieġbu li jappoġġjaw qafas tal-UE għas-servizzjanti tas-self isostnu li l-qafas għandu jkopri reġim ta’ liċenzjar u daqs nofshom jipproponu li dan jirregola s-superviżjoni tagħhom. Bosta huma favur miżuri għall-aċċess tad-</w:t>
            </w:r>
            <w:r>
              <w:rPr>
                <w:rFonts w:ascii="Arial" w:hAnsi="Arial"/>
                <w:i/>
                <w:noProof/>
                <w:sz w:val="20"/>
              </w:rPr>
              <w:t>data</w:t>
            </w:r>
            <w:r>
              <w:rPr>
                <w:rFonts w:ascii="Arial" w:hAnsi="Arial"/>
                <w:noProof/>
                <w:sz w:val="20"/>
              </w:rPr>
              <w:t xml:space="preserve"> u għat-titjib tat-trasparenza tad-</w:t>
            </w:r>
            <w:r>
              <w:rPr>
                <w:rFonts w:ascii="Arial" w:hAnsi="Arial"/>
                <w:i/>
                <w:noProof/>
                <w:sz w:val="20"/>
              </w:rPr>
              <w:t>data</w:t>
            </w:r>
            <w:r>
              <w:rPr>
                <w:rFonts w:ascii="Arial" w:hAnsi="Arial"/>
                <w:noProof/>
                <w:sz w:val="20"/>
              </w:rPr>
              <w:t>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Impatti tal-għażla ppreferuta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l-benefiċċji tal-għażla ppreferuta (jekk hemm, inkella x’inhuma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L-għażliet kollha jnaqqsu l-kostijiet tad-dħul għall-investituri fl-NPLs u s-servizzjanti tas-self u jinċentivaw lill-investituri fl-NPLs biex jespandu l-attività għas-segmenti tas-suq sottożviluppati fl-UE. Jekk jagħtu lok biex l-investituri fl-NPLs u s-servizzjanti tas-self jaġixxu fl-UE kollha, il-kompetizzjoni se tiqliel, li jwassal għall-prezzijiet ogħla tax-xiri għall-NPLs u kostijiet aktar baxxi għas-servizzjar tas-self. Is-servizzjanti tas-self se jibbenefikaw mill-potenzjal li jisfruttaw l-ekonomiji ta’ skala fis-suq uniku. Il-kwantifikazzjoni tista’ ssir biss abbażi tal-aqwa sforz bl-użu ta’ </w:t>
            </w:r>
            <w:r>
              <w:rPr>
                <w:rFonts w:ascii="Arial" w:hAnsi="Arial"/>
                <w:i/>
                <w:noProof/>
                <w:sz w:val="20"/>
              </w:rPr>
              <w:t>data</w:t>
            </w:r>
            <w:r>
              <w:rPr>
                <w:rFonts w:ascii="Arial" w:hAnsi="Arial"/>
                <w:noProof/>
                <w:sz w:val="20"/>
              </w:rPr>
              <w:t xml:space="preserve"> mhux sodisfaċenti u metodoloġija li l-passi kollha tagħha jistgħu jkunu kkontestati. Tissuġġerixxi impatt sinifikanti fuq il-bejgħ tal-NPLs, jiġifieri dawn jistgħu jiżdiedu minn madwar EUR 100 biljun fis-sena kif jinsabu bħalissa għall-UE kollha kemm hi għal xi mkien bejn EUR 103 biljun u EUR 115-il biljun wara sena skont il-politika adottata. Il-miżuri jistgħu jnaqqsu l-proporzjonijiet f'xi Stati Membri għal nofs punt perċentwali. Billi l-għażliet ta’ politika differenti jindirizzaw ġabra ristretta ta’ atturi li tikkonsisti mill bank li qed ibigħ, l-akkwirent potenzjali, is-servizzjant tas-self u d-debitur aħħari, l-impatt prinċipali se jkun jirrigwarda wkoll lil dawn il-partijiet ikkonċernati.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X’inhuma l-kostijiet tal-għażla ppreferuta (jekk hemm, inkella x'inhuma dawk ewlenin)?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Ir-riformulazzjoni meħtieġa tal-liġi u l-implimentazzjoni tagħha se tinvolvi kostijiet ta’ darba fil-livell tal-UE u nazzjonali. Xi Stati Membri jistgħu jaffaċċjaw domanda jew awtorizzazzjoni akbar u aktar liċenzjar mill-investituri fl-NPLs u/jew servizzjanti tas-self, li jkun jimplika kostijiet amministrattivi ogħla sakemm it-tariffa imposta għall-proċess ta’ liċenzjar ma tkunx tkopri kompletament dawn il-kostijiet. In-nuqqas ta’ </w:t>
            </w:r>
            <w:r>
              <w:rPr>
                <w:rFonts w:ascii="Arial" w:hAnsi="Arial"/>
                <w:i/>
                <w:noProof/>
                <w:sz w:val="20"/>
              </w:rPr>
              <w:t>data</w:t>
            </w:r>
            <w:r>
              <w:rPr>
                <w:rFonts w:ascii="Arial" w:hAnsi="Arial"/>
                <w:noProof/>
                <w:sz w:val="20"/>
              </w:rPr>
              <w:t xml:space="preserve"> u ta’ eteroġeneità tal-ftit osservazzjonijiet ta’ </w:t>
            </w:r>
            <w:r>
              <w:rPr>
                <w:rFonts w:ascii="Arial" w:hAnsi="Arial"/>
                <w:i/>
                <w:noProof/>
                <w:sz w:val="20"/>
              </w:rPr>
              <w:t>data</w:t>
            </w:r>
            <w:r>
              <w:rPr>
                <w:rFonts w:ascii="Arial" w:hAnsi="Arial"/>
                <w:noProof/>
                <w:sz w:val="20"/>
              </w:rPr>
              <w:t xml:space="preserve"> li hemm disponibbli ma jħallux li ssir stima tal-kost. Mhumiex mistennija impatti ambjentali diretti.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Kif se jintlaqtu n-negozji, l-SMEs u l-mikrointrapriżi?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Investituri fl-NPLs u ditti tas-servizzjar tas-self iżgħar jibbenefikaw b’mod sovraproporzjonat għaliex jaffaċċjaw tnaqqis relattiv akbar fil-kostijiet ta’ konformità mal-leġiżlazzjoni f’rabta mal-kostijiet totali tagħhom. L-impatt fuq SMEs b’ħafna dejn se jiddependi fuq l-aġir tas-servizzjanti tas-self individwali. Skont l-operatur individwali, is-servizzi tas-self jistgħu jgħinuhom aktar mill-banek biex jaslu għal profil aktar adattat biex jifdu s-self tagħhom, iżda jistgħu japplikaw ukoll id-drittijiet eżistenti għall-mutwatarji b’mod aktar strett mill-banek. Kollox ma’ kollox, ambjent imtejjeb sabiex il-banek jiskarikaw l-NPLs mill-karti tal-bilanċ tagħhom permezz ta’ bejgħ ta’ self għandu jkun pożittiv għas-settur tal-SMEs kollu kemm hu billi se jagħti lok għall-banek li jespandu s-self għal kumpaniji vijabbli.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fuq il-baġits u l-amministrazzjonijiet nazzjonali?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Mhumiex mistennija impatti sinifikanti fuq il-baġits u l-amministrazzjonijiet nazzjonali. It-tnaqqis fil-mira tal-kostijiet ta’ konformità jista’ jnaqqas il-piż amministrattiv għas-settur pubbliku.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Se jkun hemm impatti sinifikanti oħra?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/>
                <w:noProof/>
                <w:sz w:val="20"/>
              </w:rPr>
              <w:t xml:space="preserve">Minkejja li r-relazzjoni legali bejn id-debitur aħħari u d-detentur tad-dejn ma tinbidilx mat-trasferiment ta’ NPL minn bank għal investitur mhux bankarju, </w:t>
            </w:r>
            <w:r>
              <w:rPr>
                <w:rFonts w:ascii="Arial" w:hAnsi="Arial"/>
                <w:noProof/>
                <w:color w:val="000000"/>
                <w:sz w:val="20"/>
                <w:u w:color="000000"/>
                <w:bdr w:val="nil"/>
              </w:rPr>
              <w:t>maġġoranza ċara ta’ dawk li wieġbu l-konsultazzjoni pubblika jqisu l-involviment ta’ servizzjanti tas-self terzi bħala sfida għad-drittijiet eżistenti ta’ protezzjoni tad-debitur. Billi attwalment xi Stati Membri jużaw regoli għas-servizzjanti tas-self biex jipproteġu lill-konsumaturi fir-relazzjonijiet tal-kreditu, ikun utli li qafas tal-UE jkun jinkludi wkoll salvagwardji għad-drittijiet tal-mutwatarji.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tiġi rieżaminata l-politika?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Il-Kummissjoni għandha tistabbilixxi programm għall-monitoraġġ tal-outputs, tar-riżultati u tal-impatti ta’ din l-inizjattiva. Il-programm ta’ monitoraġġ għandu jistabbilixxi l-mezzi li permezz tagħhom se jinġabru d-</w:t>
            </w:r>
            <w:r>
              <w:rPr>
                <w:rFonts w:ascii="Tahoma" w:hAnsi="Tahoma"/>
                <w:i/>
                <w:noProof/>
                <w:sz w:val="20"/>
              </w:rPr>
              <w:t>data</w:t>
            </w:r>
            <w:r>
              <w:rPr>
                <w:rFonts w:ascii="Tahoma" w:hAnsi="Tahoma"/>
                <w:noProof/>
                <w:sz w:val="20"/>
              </w:rPr>
              <w:t xml:space="preserve"> u evidenza oħra meħtieġa. Ħames snin wara d-dħul fis-seħħ, il-Kummissjoni għandha twettaq evalwazzjoni ta’ din l-inizjattiva abbażi ta’ ġbir ta’ </w:t>
            </w:r>
            <w:r>
              <w:rPr>
                <w:rFonts w:ascii="Tahoma" w:hAnsi="Tahoma"/>
                <w:i/>
                <w:noProof/>
                <w:sz w:val="20"/>
              </w:rPr>
              <w:t>data</w:t>
            </w:r>
            <w:r>
              <w:rPr>
                <w:rFonts w:ascii="Tahoma" w:hAnsi="Tahoma"/>
                <w:noProof/>
                <w:sz w:val="20"/>
              </w:rPr>
              <w:t xml:space="preserve"> u ta’ indikaturi rilevanti.</w:t>
            </w:r>
          </w:p>
        </w:tc>
      </w:tr>
    </w:tbl>
    <w:p>
      <w:pPr>
        <w:rPr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7434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left" w:pos="4995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58A7053D-4AD3-47A6-BBA3-6E3D1BE3D7C5"/>
    <w:docVar w:name="LW_COVERPAGE_TYPE" w:val="1"/>
    <w:docVar w:name="LW_CROSSREFERENCE" w:val="{COM(2018) 135 final}_x000b_{SWD(2018) 75 final}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ssell, 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is-servizzjanti tal-kreditu, ix-xerrejja tal-kreditu u l-irkupru tal-kollateral_x000b__x000b_"/>
    <w:docVar w:name="LW_PART_NBR" w:val="1"/>
    <w:docVar w:name="LW_PART_NBR_TOTAL" w:val="2"/>
    <w:docVar w:name="LW_REF.INST.NEW" w:val="SWD"/>
    <w:docVar w:name="LW_REF.INST.NEW_ADOPTED" w:val="final"/>
    <w:docVar w:name="LW_REF.INST.NEW_TEXT" w:val="(2018) 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L-i\u380?vilupp tas-swieq sekondarji g\u295?as-self improduttiv billi jitne\u295?\u295?a x-xkiel bla b\u380?onn g\u295?as-servizzjar tas-self minn terzi u g\u295?at-trasferiment tas-self (Parti 1/2)_x000b__x000b_U_x000b__x000b_E\u380?ekuzzjoni Extra\u289?udizzjarja A\u267?\u267?ellerata tal-Kollateral (Parti 2/2)"/>
    <w:docVar w:name="LW_TYPE.DOC.CP" w:val="DOKUMENT TA\u8217? \u294?IDMA TAL-PERSUNAL TAL-KUMMISSJONI_x000b__x000b_SOMMARJU E\u379?EKUTTIV TAL-VALUTAZZJONI TAL-IMPATT_x000b_"/>
    <w:docVar w:name="LW_TYPEACTEPRINCIPAL.CP" w:val="Proposta g\u295?al 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mt-M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1308</Words>
  <Characters>9261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25</cp:revision>
  <cp:lastPrinted>2018-02-14T06:53:00Z</cp:lastPrinted>
  <dcterms:created xsi:type="dcterms:W3CDTF">2018-02-12T11:14:00Z</dcterms:created>
  <dcterms:modified xsi:type="dcterms:W3CDTF">2018-04-11T07:29:00Z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2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