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99153AB2-3F7B-4FA1-A0F8-F870EBBEC80C" style="width:450.75pt;height:408pt">
            <v:imagedata r:id="rId12" o:title=""/>
          </v:shape>
        </w:pict>
      </w:r>
    </w:p>
    <w:bookmarkEnd w:id="0"/>
    <w:p>
      <w:pPr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417" w:bottom="1134" w:left="1417" w:header="709" w:footer="709" w:gutter="0"/>
          <w:pgNumType w:start="2"/>
          <w:cols w:space="720"/>
          <w:docGrid w:linePitch="360"/>
        </w:sectPr>
      </w:pPr>
    </w:p>
    <w:tbl>
      <w:tblPr>
        <w:tblStyle w:val="TableGrid"/>
        <w:tblW w:w="10188" w:type="dxa"/>
        <w:tblLayout w:type="fixed"/>
        <w:tblLook w:val="01E0" w:firstRow="1" w:lastRow="1" w:firstColumn="1" w:lastColumn="1" w:noHBand="0" w:noVBand="0"/>
      </w:tblPr>
      <w:tblGrid>
        <w:gridCol w:w="10188"/>
      </w:tblGrid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tabs>
                <w:tab w:val="left" w:pos="2309"/>
              </w:tabs>
              <w:spacing w:before="60" w:after="60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Tahoma" w:hAnsi="Tahoma"/>
                <w:b/>
                <w:noProof/>
                <w:sz w:val="20"/>
              </w:rPr>
              <w:lastRenderedPageBreak/>
              <w:t>Streszczenie oceny skutków</w:t>
            </w:r>
          </w:p>
        </w:tc>
      </w:tr>
      <w:tr>
        <w:trPr>
          <w:trHeight w:val="346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>
            <w:pPr>
              <w:spacing w:before="20"/>
              <w:jc w:val="center"/>
              <w:rPr>
                <w:rFonts w:ascii="Tahoma" w:hAnsi="Tahoma" w:cs="Tahoma"/>
                <w:b/>
                <w:noProof/>
                <w:sz w:val="20"/>
              </w:rPr>
            </w:pPr>
            <w:r>
              <w:rPr>
                <w:rFonts w:ascii="Tahoma" w:hAnsi="Tahoma"/>
                <w:b/>
                <w:noProof/>
                <w:color w:val="FFFFFF" w:themeColor="background1"/>
                <w:sz w:val="20"/>
              </w:rPr>
              <w:t>Ocena skutków dotycząca wniosku w sprawie zmiany kodeksu wizowego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tabs>
                <w:tab w:val="left" w:pos="2309"/>
              </w:tabs>
              <w:spacing w:before="60" w:after="60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A. Zasadność działań</w:t>
            </w:r>
            <w:r>
              <w:rPr>
                <w:noProof/>
              </w:rPr>
              <w:tab/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0E0E0"/>
          </w:tcPr>
          <w:p>
            <w:pPr>
              <w:pStyle w:val="Default"/>
              <w:spacing w:before="20" w:after="2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Na czym polega problem i dlaczego jest to problem na szczeblu UE? </w:t>
            </w:r>
          </w:p>
        </w:tc>
      </w:tr>
      <w:tr>
        <w:trPr>
          <w:trHeight w:val="3166"/>
        </w:trP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Kodeks wizowy</w:t>
            </w:r>
            <w:r>
              <w:rPr>
                <w:rFonts w:ascii="Tahoma" w:hAnsi="Tahoma"/>
                <w:noProof/>
                <w:sz w:val="20"/>
              </w:rPr>
              <w:t xml:space="preserve">, który reguluje </w:t>
            </w:r>
            <w:r>
              <w:rPr>
                <w:rFonts w:ascii="Tahoma" w:hAnsi="Tahoma"/>
                <w:b/>
                <w:noProof/>
                <w:sz w:val="20"/>
              </w:rPr>
              <w:t>warunki i procedury wydawania wiz krótkoterminowych</w:t>
            </w:r>
            <w:r>
              <w:rPr>
                <w:rFonts w:ascii="Tahoma" w:hAnsi="Tahoma"/>
                <w:noProof/>
                <w:sz w:val="20"/>
              </w:rPr>
              <w:t xml:space="preserve"> w strefie Schengen, obowiązuje od 2009 r. W 2014 r. Komisja zaproponowała zmianę rozporządzenia, co do której współustawodawcy nie mogli osiągnąć porozumienia. Aby zająć się </w:t>
            </w:r>
            <w:r>
              <w:rPr>
                <w:rFonts w:ascii="Tahoma" w:hAnsi="Tahoma"/>
                <w:b/>
                <w:noProof/>
                <w:sz w:val="20"/>
              </w:rPr>
              <w:t>trzema obszarami problemowymi</w:t>
            </w:r>
            <w:r>
              <w:rPr>
                <w:rFonts w:ascii="Tahoma" w:hAnsi="Tahoma"/>
                <w:noProof/>
                <w:sz w:val="20"/>
              </w:rPr>
              <w:t>, Komisja podjęła decyzję o przedłożeniu nowej inicjatywy.</w:t>
            </w:r>
          </w:p>
          <w:p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Zasoby finansowe </w:t>
            </w:r>
            <w:r>
              <w:rPr>
                <w:rFonts w:ascii="Tahoma" w:hAnsi="Tahoma"/>
                <w:noProof/>
                <w:sz w:val="20"/>
              </w:rPr>
              <w:t xml:space="preserve">uzyskane dzięki opłatom wizowym są </w:t>
            </w:r>
            <w:r>
              <w:rPr>
                <w:rFonts w:ascii="Tahoma" w:hAnsi="Tahoma"/>
                <w:b/>
                <w:noProof/>
                <w:sz w:val="20"/>
              </w:rPr>
              <w:t>niewystarczające na potrzeby rozpatrywania wniosków wizowych</w:t>
            </w:r>
            <w:r>
              <w:rPr>
                <w:rFonts w:ascii="Tahoma" w:hAnsi="Tahoma"/>
                <w:noProof/>
                <w:sz w:val="20"/>
              </w:rPr>
              <w:t>, co podważa tym samym integralność procesu wydawania wiz Schengen i osiągnięcie celu, jakim jest szybka i przyjazna dla petentów procedura wizowa. Głównym źródłem problemu jest wysokość standardowej opłaty wizowej – 60 EUR – która nie uległa zmianie od 2006 r.</w:t>
            </w:r>
          </w:p>
          <w:p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Osoby regularnie podróżujące</w:t>
            </w:r>
            <w:r>
              <w:rPr>
                <w:rFonts w:ascii="Tahoma" w:hAnsi="Tahoma"/>
                <w:noProof/>
                <w:sz w:val="20"/>
              </w:rPr>
              <w:t xml:space="preserve"> muszą przechodzić </w:t>
            </w:r>
            <w:r>
              <w:rPr>
                <w:rFonts w:ascii="Tahoma" w:hAnsi="Tahoma"/>
                <w:b/>
                <w:noProof/>
                <w:sz w:val="20"/>
              </w:rPr>
              <w:t>wielokrotne procedury wizowe</w:t>
            </w:r>
            <w:r>
              <w:rPr>
                <w:rFonts w:ascii="Tahoma" w:hAnsi="Tahoma"/>
                <w:noProof/>
                <w:sz w:val="20"/>
              </w:rPr>
              <w:t xml:space="preserve">, ponieważ państwa członkowskie nie wydają wystarczającej liczby wiz wielokrotnego wjazdu o długim okresie ważności. Powoduje to niepotrzebne obciążenie dla wnioskodawców i konsulatów, a także prowadzi do </w:t>
            </w:r>
            <w:r>
              <w:rPr>
                <w:rFonts w:ascii="Tahoma" w:hAnsi="Tahoma"/>
                <w:b/>
                <w:noProof/>
                <w:sz w:val="20"/>
              </w:rPr>
              <w:t>strat w unijnej branży podróży i turystyki</w:t>
            </w:r>
            <w:r>
              <w:rPr>
                <w:rFonts w:ascii="Tahoma" w:hAnsi="Tahoma"/>
                <w:noProof/>
                <w:sz w:val="20"/>
              </w:rPr>
              <w:t xml:space="preserve">. Głównym źródłem problemu jest niejednoznaczność podstawy prawnej wydawania wiz wielokrotnego wjazdu o długim okresie ważności. </w:t>
            </w:r>
          </w:p>
          <w:p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 xml:space="preserve">Państwa członkowskie mają </w:t>
            </w:r>
            <w:r>
              <w:rPr>
                <w:rFonts w:ascii="Tahoma" w:hAnsi="Tahoma"/>
                <w:b/>
                <w:noProof/>
                <w:sz w:val="20"/>
              </w:rPr>
              <w:t>trudności z realizacją wystarczającej liczby powrotów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  <w:r>
              <w:rPr>
                <w:rFonts w:ascii="Tahoma" w:hAnsi="Tahoma"/>
                <w:b/>
                <w:noProof/>
                <w:sz w:val="20"/>
              </w:rPr>
              <w:t>migrantów o nieuregulowanym statusie do ich państw pochodzenia</w:t>
            </w:r>
            <w:r>
              <w:rPr>
                <w:rFonts w:ascii="Tahoma" w:hAnsi="Tahoma"/>
                <w:noProof/>
                <w:sz w:val="20"/>
              </w:rPr>
              <w:t xml:space="preserve">, co stanowi czynnik zachęcający innych do dalszej nielegalnej migracji. Głównym źródłem problemu jest niechęć państw trzecich do readmisji własnych obywateli.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pStyle w:val="Default"/>
              <w:spacing w:before="20" w:after="2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Jaki jest cel inicjatywy? </w:t>
            </w:r>
          </w:p>
        </w:tc>
      </w:tr>
      <w:tr>
        <w:trPr>
          <w:trHeight w:val="1990"/>
        </w:trP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 xml:space="preserve">Celem </w:t>
            </w:r>
            <w:r>
              <w:rPr>
                <w:rFonts w:ascii="Tahoma" w:hAnsi="Tahoma"/>
                <w:b/>
                <w:noProof/>
                <w:sz w:val="20"/>
              </w:rPr>
              <w:t>ogólnym</w:t>
            </w:r>
            <w:r>
              <w:rPr>
                <w:rFonts w:ascii="Tahoma" w:hAnsi="Tahoma"/>
                <w:noProof/>
                <w:sz w:val="20"/>
              </w:rPr>
              <w:t xml:space="preserve"> inicjatywy jest wzmocnienie wspólnej polityki wizowej, przy jednoczesnym zajęciu się zarówno problemami związanymi z migracją i bezpieczeństwem, jak i względami gospodarczymi oraz stosunkami zewnętrznymi w ujęciu ogólnym. Istnieją trzy cele </w:t>
            </w:r>
            <w:r>
              <w:rPr>
                <w:rFonts w:ascii="Tahoma" w:hAnsi="Tahoma"/>
                <w:b/>
                <w:noProof/>
                <w:sz w:val="20"/>
              </w:rPr>
              <w:t>szczegółowe</w:t>
            </w:r>
            <w:r>
              <w:rPr>
                <w:rFonts w:ascii="Tahoma" w:hAnsi="Tahoma"/>
                <w:noProof/>
                <w:sz w:val="20"/>
              </w:rPr>
              <w:t xml:space="preserve">. Są to: 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 xml:space="preserve">zapewnienie </w:t>
            </w:r>
            <w:r>
              <w:rPr>
                <w:rFonts w:ascii="Tahoma" w:hAnsi="Tahoma"/>
                <w:b/>
                <w:noProof/>
                <w:sz w:val="20"/>
              </w:rPr>
              <w:t>wystarczających zasobów finansowych</w:t>
            </w:r>
            <w:r>
              <w:rPr>
                <w:rFonts w:ascii="Tahoma" w:hAnsi="Tahoma"/>
                <w:noProof/>
                <w:sz w:val="20"/>
              </w:rPr>
              <w:t xml:space="preserve"> dla państw członkowskich w celu zagwarantowania jakości i integralności procesu rozpatrywania wniosków wizowych; 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 xml:space="preserve">zapewnienie </w:t>
            </w:r>
            <w:r>
              <w:rPr>
                <w:rFonts w:ascii="Tahoma" w:hAnsi="Tahoma"/>
                <w:b/>
                <w:noProof/>
                <w:sz w:val="20"/>
              </w:rPr>
              <w:t>bardziej systemowego i zharmonizowanego wydawania wiz o długiej ważności</w:t>
            </w:r>
            <w:r>
              <w:rPr>
                <w:rFonts w:ascii="Tahoma" w:hAnsi="Tahoma"/>
                <w:noProof/>
                <w:sz w:val="20"/>
              </w:rPr>
              <w:t xml:space="preserve"> osobom podróżującym regularnie w dobrej wierze;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 xml:space="preserve">propagowanie </w:t>
            </w:r>
            <w:r>
              <w:rPr>
                <w:rFonts w:ascii="Tahoma" w:hAnsi="Tahoma"/>
                <w:b/>
                <w:noProof/>
                <w:sz w:val="20"/>
              </w:rPr>
              <w:t>interesów UE w dziedzinie powrotów i readmisji</w:t>
            </w:r>
            <w:r>
              <w:rPr>
                <w:rFonts w:ascii="Tahoma" w:hAnsi="Tahoma"/>
                <w:noProof/>
                <w:sz w:val="20"/>
              </w:rPr>
              <w:t xml:space="preserve"> przez zwiększenie nacisków wobec państw trzecich niechętnych współpracy w obszarze polityki wizowej.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pStyle w:val="Default"/>
              <w:spacing w:before="20" w:after="2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Na czym polega wartość dodana podjęcia działań na poziomie UE (zasada pomocniczości)? </w:t>
            </w:r>
          </w:p>
        </w:tc>
      </w:tr>
      <w:tr>
        <w:trPr>
          <w:trHeight w:val="1090"/>
        </w:trP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12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Zniesienie kontroli na granicach wewnętrznych w obszarze Schengen wymaga, między innymi, prowadzenia wspólnej polityki wizowej. Dzięki niniejszej inicjatywie przepisy kodeksu wizowego zostaną unowocześnione i udoskonalone. Wizy krótkoterminowe co do zasady pozwalają ich posiadaczom na swobodne przemieszczanie się w strefie Schengen. Rozwiązanie to oznacza najwyższy stopień harmonizacji zasad, a odnośne kwestie mogą być rozstrzygane jedynie na poziomie UE.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B. Rozwiązania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pStyle w:val="Default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Jakie są różne warianty działań służących osiągnięciu celów? Czy istnieje wariant preferowany? Jeżeli nie, to dlaczego? </w:t>
            </w:r>
          </w:p>
        </w:tc>
      </w:tr>
      <w:tr>
        <w:trPr>
          <w:trHeight w:val="1670"/>
        </w:trP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  <w:noWrap/>
          </w:tcPr>
          <w:p>
            <w:pPr>
              <w:pStyle w:val="Heading3"/>
              <w:keepNext w:val="0"/>
              <w:numPr>
                <w:ilvl w:val="0"/>
                <w:numId w:val="0"/>
              </w:numPr>
              <w:spacing w:before="0" w:after="0" w:line="276" w:lineRule="auto"/>
              <w:ind w:left="851" w:hanging="851"/>
              <w:contextualSpacing/>
              <w:outlineLvl w:val="2"/>
              <w:rPr>
                <w:rFonts w:ascii="Tahoma" w:hAnsi="Tahoma" w:cs="Tahoma"/>
                <w:bCs w:val="0"/>
                <w:i w:val="0"/>
                <w:noProof/>
                <w:sz w:val="20"/>
                <w:szCs w:val="20"/>
                <w:u w:val="single"/>
              </w:rPr>
            </w:pPr>
            <w:r>
              <w:rPr>
                <w:rFonts w:ascii="Tahoma" w:hAnsi="Tahoma"/>
                <w:i w:val="0"/>
                <w:noProof/>
                <w:sz w:val="20"/>
                <w:u w:val="single"/>
              </w:rPr>
              <w:t>Obszar problemowy 1: Niewystarczające zasoby finansowe na potrzeby rozpatrywania wniosków wizowych</w:t>
            </w:r>
          </w:p>
          <w:p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Wariant 1A: status quo – niezmieniona opłata wizowa w wysokości 60 EUR</w:t>
            </w:r>
          </w:p>
          <w:p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Wariant 1B: krajowe opłaty wizowe w oparciu o koszty administracyjne</w:t>
            </w:r>
          </w:p>
          <w:p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 xml:space="preserve">Wariant 1C: podniesienie wspólnej opłaty wizowej Rozważane są różne podwarianty: 80 EUR, 100 EUR, 120 EUR lub 80 EUR dla wiz na okres do 6 miesięcy, 120 EUR dla wiz wielokrotnego wjazdu na okres od 1 do 5 lat. </w:t>
            </w:r>
          </w:p>
          <w:p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Preferowanym wariantem jest podniesienie opłaty do </w:t>
            </w:r>
            <w:r>
              <w:rPr>
                <w:rFonts w:ascii="Tahoma" w:hAnsi="Tahoma"/>
                <w:b/>
                <w:noProof/>
                <w:sz w:val="20"/>
              </w:rPr>
              <w:t>80 EUR</w:t>
            </w:r>
            <w:r>
              <w:rPr>
                <w:rFonts w:ascii="Tahoma" w:hAnsi="Tahoma"/>
                <w:noProof/>
                <w:sz w:val="20"/>
              </w:rPr>
              <w:t>.</w:t>
            </w:r>
          </w:p>
          <w:p>
            <w:pPr>
              <w:pStyle w:val="ListParagraph"/>
              <w:rPr>
                <w:rFonts w:ascii="Tahoma" w:hAnsi="Tahoma" w:cs="Tahoma"/>
                <w:noProof/>
                <w:sz w:val="20"/>
                <w:szCs w:val="20"/>
              </w:rPr>
            </w:pPr>
          </w:p>
          <w:p>
            <w:pPr>
              <w:rPr>
                <w:rFonts w:ascii="Tahoma" w:hAnsi="Tahoma" w:cs="Tahoma"/>
                <w:noProof/>
                <w:sz w:val="20"/>
                <w:szCs w:val="20"/>
                <w:u w:val="single"/>
              </w:rPr>
            </w:pPr>
            <w:r>
              <w:rPr>
                <w:rFonts w:ascii="Tahoma" w:hAnsi="Tahoma"/>
                <w:noProof/>
                <w:sz w:val="20"/>
                <w:u w:val="single"/>
              </w:rPr>
              <w:t>Obszar problemowy 2: Wielokrotne procedury wizowe dla osób regularnie podróżujących</w:t>
            </w:r>
          </w:p>
          <w:p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Wariant 2A: status quo – państwa członkowskie określają własne podejście do wydawania wiz wielokrotnego wjazdu o długim okresie ważności</w:t>
            </w:r>
          </w:p>
          <w:p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lastRenderedPageBreak/>
              <w:t>Wariant 2B: zalecana najlepsza praktyka</w:t>
            </w:r>
          </w:p>
          <w:p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Wariant 2C: wspólny kaskadowy system wydawania wiz wielokrotnego wjazdu</w:t>
            </w:r>
            <w:r>
              <w:rPr>
                <w:rStyle w:val="FootnoteReference"/>
                <w:rFonts w:ascii="Tahoma" w:hAnsi="Tahoma"/>
                <w:noProof/>
                <w:sz w:val="20"/>
              </w:rPr>
              <w:footnoteReference w:id="2"/>
            </w:r>
            <w:r>
              <w:rPr>
                <w:rFonts w:ascii="Tahoma" w:hAnsi="Tahoma"/>
                <w:noProof/>
                <w:sz w:val="20"/>
              </w:rPr>
              <w:t xml:space="preserve"> z różnymi podwariantami (ogólny kaskadowy system wydawania wiz wielokrotnego wjazdu, ogólny i krajowy kaskadowy system wydawania wiz wielokrotnego wjazdu, krajowy kaskadowy system wydawania wiz wielokrotnego wjazdu)</w:t>
            </w:r>
          </w:p>
          <w:p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Wariant 2D: standardowa wiza wielokrotnego wjazdu o dwuletnim lub pięcioletnim okresie ważności</w:t>
            </w:r>
          </w:p>
          <w:p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 xml:space="preserve">Wariantem preferowanym jest </w:t>
            </w:r>
            <w:r>
              <w:rPr>
                <w:rFonts w:ascii="Tahoma" w:hAnsi="Tahoma"/>
                <w:b/>
                <w:noProof/>
                <w:sz w:val="20"/>
              </w:rPr>
              <w:t>ogólny i krajowy kaskadowy system wydawania wiz wielokrotnego wjazdu</w:t>
            </w:r>
            <w:r>
              <w:rPr>
                <w:rFonts w:ascii="Tahoma" w:hAnsi="Tahoma"/>
                <w:noProof/>
                <w:sz w:val="20"/>
              </w:rPr>
              <w:t>.</w:t>
            </w:r>
          </w:p>
          <w:p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  <w:p>
            <w:pPr>
              <w:rPr>
                <w:rFonts w:ascii="Tahoma" w:hAnsi="Tahoma" w:cs="Tahoma"/>
                <w:noProof/>
                <w:sz w:val="20"/>
                <w:szCs w:val="20"/>
                <w:u w:val="single"/>
              </w:rPr>
            </w:pPr>
            <w:r>
              <w:rPr>
                <w:rFonts w:ascii="Tahoma" w:hAnsi="Tahoma"/>
                <w:noProof/>
                <w:sz w:val="20"/>
                <w:u w:val="single"/>
              </w:rPr>
              <w:t>Obszar problemowy 3: Niewystarczająca liczba migrantów o nieuregulowanym statusie powracających do niektórych państw pochodzenia</w:t>
            </w:r>
          </w:p>
          <w:p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Wariant 3A: status quo – podejście Rady oparte na tzw. „zestawie narzędzi”</w:t>
            </w:r>
          </w:p>
          <w:p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Wariant 3B: stosowanie w polityce wizowej bodźców zachęcających</w:t>
            </w:r>
          </w:p>
          <w:p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Wariant 3C: stosowanie w polityce wizowej bodźców zniechęcających z różnymi podwariantami (podejście ogólne obejmujące od początku wszystkie paszporty lub podejście ukierunkowane podzielone na dwa etapy: paszporty służbowe i dyplomatyczne, a następnie paszporty zwykłe)</w:t>
            </w:r>
          </w:p>
          <w:p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 xml:space="preserve">Wariantem preferowanym jest </w:t>
            </w:r>
            <w:r>
              <w:rPr>
                <w:rFonts w:ascii="Tahoma" w:hAnsi="Tahoma"/>
                <w:b/>
                <w:noProof/>
                <w:sz w:val="20"/>
              </w:rPr>
              <w:t>podejście ukierunkowane obejmujące bodźce zniechęcające</w:t>
            </w:r>
            <w:r>
              <w:rPr>
                <w:rFonts w:ascii="Tahoma" w:hAnsi="Tahoma"/>
                <w:noProof/>
                <w:sz w:val="20"/>
              </w:rPr>
              <w:t>.</w:t>
            </w:r>
          </w:p>
        </w:tc>
      </w:tr>
      <w:tr>
        <w:tc>
          <w:tcPr>
            <w:tcW w:w="10188" w:type="dxa"/>
            <w:shd w:val="clear" w:color="auto" w:fill="E6E6E6"/>
          </w:tcPr>
          <w:p>
            <w:pPr>
              <w:pStyle w:val="Default"/>
              <w:spacing w:before="20" w:after="20"/>
              <w:jc w:val="both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lastRenderedPageBreak/>
              <w:t xml:space="preserve">Jakie są opinie poszczególnych zainteresowanych stron? Jak kształtuje się poparcie dla poszczególnych wariantów? </w:t>
            </w:r>
          </w:p>
        </w:tc>
      </w:tr>
      <w:tr>
        <w:trPr>
          <w:trHeight w:val="1270"/>
        </w:trPr>
        <w:tc>
          <w:tcPr>
            <w:tcW w:w="10188" w:type="dxa"/>
            <w:shd w:val="clear" w:color="auto" w:fill="auto"/>
          </w:tcPr>
          <w:p>
            <w:pPr>
              <w:spacing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 xml:space="preserve">Przeprowadzono ukierunkowane konsultacje (państwa członkowskie, stowarzyszenia z branży turystyki, podróży i transportu morskiego itp.) oraz otwarte konsultacje publiczne. Państwa członkowskie wyraźnie popierają podniesienie opłaty wizowej, jak również wprowadzenie powiązania prawnego między polityką wizową a readmisją migrantów o nieuregulowanym statusie. Stowarzyszenia turystyczne i biznesowe podkreślają negatywne skutki wielokrotnych procedur wizowych dla często podróżujących obywateli i opowiadają się za bardziej systemowym i zharmonizowanym wydawaniem wiz wielokrotnego wjazdu o długiej ważności.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C. Skutki wdrożenia preferowanego wariantu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pStyle w:val="Default"/>
              <w:jc w:val="both"/>
              <w:rPr>
                <w:rFonts w:ascii="Tahoma" w:hAnsi="Tahoma" w:cs="Tahoma"/>
                <w:noProof/>
                <w:color w:val="auto"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color w:val="auto"/>
                <w:sz w:val="20"/>
              </w:rPr>
              <w:t xml:space="preserve">Jakie korzyści przyniesie wdrożenie preferowanego wariantu? </w:t>
            </w:r>
          </w:p>
        </w:tc>
      </w:tr>
      <w:tr>
        <w:trPr>
          <w:trHeight w:val="1042"/>
        </w:trP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 xml:space="preserve">- </w:t>
            </w:r>
            <w:r>
              <w:rPr>
                <w:rFonts w:ascii="Tahoma" w:hAnsi="Tahoma"/>
                <w:noProof/>
                <w:sz w:val="20"/>
                <w:u w:val="single"/>
              </w:rPr>
              <w:t>Wspólna opłata wizowa wynosząca 80 EUR</w:t>
            </w:r>
            <w:r>
              <w:rPr>
                <w:rFonts w:ascii="Tahoma" w:hAnsi="Tahoma"/>
                <w:noProof/>
                <w:sz w:val="20"/>
              </w:rPr>
              <w:t xml:space="preserve"> zapewni dodatkowy dochód dla państw członkowskich w wysokości 205 mln EUR (+26 %), a zatem więcej zasobów finansowych na rozpatrywanie wniosków wizowych, personel i szkolenia – szybsze procedury i większe bezpieczeństwo w strefie Schengen.</w:t>
            </w:r>
          </w:p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 xml:space="preserve">- Wprowadzenie </w:t>
            </w:r>
            <w:r>
              <w:rPr>
                <w:rFonts w:ascii="Tahoma" w:hAnsi="Tahoma"/>
                <w:noProof/>
                <w:sz w:val="20"/>
                <w:u w:val="single"/>
              </w:rPr>
              <w:t>ogólnego i krajowego kaskadowego systemu wydawania wiz wielokrotnego wjazdu</w:t>
            </w:r>
            <w:r>
              <w:rPr>
                <w:rFonts w:ascii="Tahoma" w:hAnsi="Tahoma"/>
                <w:noProof/>
                <w:sz w:val="20"/>
              </w:rPr>
              <w:t xml:space="preserve"> pozwoli na wydawanie wyższej liczby tych wiz, co zapewni osobom często podróżującym większą elastyczność podróżowania; rozwiązanie to przyczyni się do obniżenia kosztów ponoszonych przez osoby ubiegające się o wizę i konsulaty ze względu na mniejszą liczbę procedur wizowych oraz do zwiększenia liczby podróży do Unii Europejskiej, co przyniesie z kolei pozytywne skutki dla unijnej branży turystycznej (konkurencyjność i zatrudnienie). </w:t>
            </w:r>
          </w:p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 xml:space="preserve">- </w:t>
            </w:r>
            <w:r>
              <w:rPr>
                <w:rFonts w:ascii="Tahoma" w:hAnsi="Tahoma"/>
                <w:noProof/>
                <w:sz w:val="20"/>
                <w:u w:val="single"/>
              </w:rPr>
              <w:t>Bodźce zniechęcające w polityce wizowej (z zastosowaniem podejścia ukierunkowanego)</w:t>
            </w:r>
            <w:r>
              <w:rPr>
                <w:rFonts w:ascii="Tahoma" w:hAnsi="Tahoma"/>
                <w:noProof/>
                <w:sz w:val="20"/>
              </w:rPr>
              <w:t xml:space="preserve"> powinny</w:t>
            </w:r>
            <w:r>
              <w:rPr>
                <w:rFonts w:ascii="Tahoma" w:hAnsi="Tahoma"/>
                <w:noProof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noProof/>
                <w:sz w:val="20"/>
              </w:rPr>
              <w:t xml:space="preserve">przyczynić się do zwiększenia liczby migrantów o nieuregulowanym statusie powracających do państw trzecich, które były wcześniej niechętne współpracy, obniżenia kosztów ponoszonych przez państwa członkowskie z tytułu zakwaterowania, żywności i niższych wydatków administracyjnych, oraz, bardziej ogólnie, do zwiększonego poziomu bezpieczeństwa, zwiększonej akceptacji unijnej polityki migracyjnej i pojawienia się środka zniechęcającego przyszłych potencjalnych migrantów o nieuregulowanym statusie.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pStyle w:val="Default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Jakie są koszty preferowanego wariantu? </w:t>
            </w:r>
          </w:p>
        </w:tc>
      </w:tr>
      <w:tr>
        <w:trPr>
          <w:trHeight w:val="1198"/>
        </w:trP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u w:val="single"/>
              </w:rPr>
              <w:t>Podniesienie wspólnej opłaty wizowej wynoszącej 80 EUR</w:t>
            </w:r>
            <w:r>
              <w:rPr>
                <w:rFonts w:ascii="Tahoma" w:hAnsi="Tahoma"/>
                <w:noProof/>
                <w:sz w:val="20"/>
              </w:rPr>
              <w:t xml:space="preserve"> oznaczałoby dodatkowe koszty dla osób ubiegających się o wizę (odpowiadające dodatkowym dochodom państw członkowskich); ze względu na podniesienie tej opłaty w rozsądnych granicach nie oczekuje się jednak negatywnego wpływu na zachowania podróżnych. Wprowadzenie </w:t>
            </w:r>
            <w:r>
              <w:rPr>
                <w:rFonts w:ascii="Tahoma" w:hAnsi="Tahoma"/>
                <w:noProof/>
                <w:sz w:val="20"/>
                <w:u w:val="single"/>
              </w:rPr>
              <w:t>ogólnego i krajowego kaskadowego systemu wydawania wiz wielokrotnego wjazdu nie pociąga za sobą</w:t>
            </w:r>
            <w:r>
              <w:rPr>
                <w:rFonts w:ascii="Tahoma" w:hAnsi="Tahoma"/>
                <w:noProof/>
                <w:sz w:val="20"/>
              </w:rPr>
              <w:t xml:space="preserve"> kosztów. </w:t>
            </w:r>
            <w:r>
              <w:rPr>
                <w:rFonts w:ascii="Tahoma" w:hAnsi="Tahoma"/>
                <w:noProof/>
                <w:sz w:val="20"/>
                <w:u w:val="single"/>
              </w:rPr>
              <w:t>Stosowanie bodźców zniechęcających w polityce wizowej (podejście ukierunkowane)</w:t>
            </w:r>
            <w:r>
              <w:rPr>
                <w:rFonts w:ascii="Tahoma" w:hAnsi="Tahoma"/>
                <w:noProof/>
                <w:sz w:val="20"/>
              </w:rPr>
              <w:t xml:space="preserve"> może mieć negatywny wpływ na stosunki zewnętrzne UE i jej wizerunek na świecie.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pStyle w:val="Default"/>
              <w:keepNext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Jakie są skutki dla MŚP i konkurencyjności? </w:t>
            </w:r>
          </w:p>
        </w:tc>
      </w:tr>
      <w:tr>
        <w:trPr>
          <w:trHeight w:val="613"/>
        </w:trP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Żaden z preferowanych wariantów polityki nie ma bezpośredniego wpływu na małe i średnie przedsiębiorstwa i konkurencyjność. Łatwiejszy dostęp do wiz wielokrotnego wjazdu o długim okresie ważności i wynikająca z tego zwiększona liczba podróży do UE przyczynią się do zwiększenia konkurencyjności unijnej branży turystyki i podróży.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pStyle w:val="Default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Czy przewiduje się znaczące skutki dla budżetów i administracji krajowych? </w:t>
            </w:r>
          </w:p>
        </w:tc>
      </w:tr>
      <w:tr>
        <w:trPr>
          <w:trHeight w:val="826"/>
        </w:trPr>
        <w:tc>
          <w:tcPr>
            <w:tcW w:w="10188" w:type="dxa"/>
            <w:shd w:val="clear" w:color="auto" w:fill="auto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 xml:space="preserve">Wszystkie warianty mogą przynieść pozytywne skutki: dodatkowe dochody z tytułu pobierania wyższej opłaty wizowej za rozpatrywanie wniosków wizowych; oszczędności wynikające z mniejszej liczby procedur wizowych ze względu na wydawanie większej liczby wiz wielokrotnego wjazdu o długim okresie ważności; obniżenie kosztów zakwaterowania i żywności dla migrantów o nieuregulowanym statusie oraz wydatków administracyjnych z nimi związanych.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pStyle w:val="Default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Czy wystąpią inne znaczące skutki? </w:t>
            </w:r>
          </w:p>
        </w:tc>
      </w:tr>
      <w:tr>
        <w:trPr>
          <w:trHeight w:val="190"/>
        </w:trP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Poza wymienionymi wyżej skutkami nie przewiduje się innych znaczących skutków.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pStyle w:val="Default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Proporcjonalność? </w:t>
            </w:r>
          </w:p>
        </w:tc>
      </w:tr>
      <w:tr>
        <w:trPr>
          <w:trHeight w:val="826"/>
        </w:trPr>
        <w:tc>
          <w:tcPr>
            <w:tcW w:w="10188" w:type="dxa"/>
            <w:shd w:val="clear" w:color="auto" w:fill="auto"/>
          </w:tcPr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Wszystkie trzy warianty preferowane są zgodne z zasadą proporcjonalności i nie wykraczają poza to, co jest konieczne do osiągnięcia tego celu. Podniesienie opłaty wizowej jest proporcjonalne i spójne ze stopą inflacji w okresie od 2006 r. Zaproponowane podejście obejmujące wydawanie wiz wielokrotnego wjazdu o długim okresie ważności przyczyni się do poprawy obecnej sytuacji, przy czym nie zmieni radykalnie praktyk stosowanych obecnie przez państwa członkowskie. Bodźce zniechęcające służące nakłonieniu państw trzecich do współpracy w zakresie readmisji będą wymierzane w rząd, a dopiero potem – w ogół społeczeństwa.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0C0C0"/>
          </w:tcPr>
          <w:p>
            <w:pPr>
              <w:spacing w:before="60" w:after="60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D. Działania następcze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pStyle w:val="Default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Kiedy nastąpi przegląd przyjętej polityki? </w:t>
            </w:r>
          </w:p>
        </w:tc>
      </w:tr>
      <w:tr>
        <w:trPr>
          <w:trHeight w:val="790"/>
        </w:trP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 xml:space="preserve">Komisja powinna przedstawić sprawozdanie z oceny w terminie </w:t>
            </w:r>
            <w:r>
              <w:rPr>
                <w:rFonts w:ascii="Tahoma" w:hAnsi="Tahoma"/>
                <w:b/>
                <w:noProof/>
                <w:sz w:val="20"/>
              </w:rPr>
              <w:t>trzech lat od rozpoczęcia stosowania</w:t>
            </w:r>
            <w:r>
              <w:rPr>
                <w:rFonts w:ascii="Tahoma" w:hAnsi="Tahoma"/>
                <w:noProof/>
                <w:sz w:val="20"/>
              </w:rPr>
              <w:t xml:space="preserve"> zmienionego rozporządzenia (to jest trzy i pół roku po jego wejściu w życie). W sprawozdaniu tym należy ocenić postępy w zakresie trzech głównych obszarów problemowych i wskazanych celów polityki.</w:t>
            </w:r>
          </w:p>
        </w:tc>
      </w:tr>
    </w:tbl>
    <w:p>
      <w:pPr>
        <w:rPr>
          <w:rFonts w:ascii="Tahoma" w:hAnsi="Tahoma" w:cs="Tahoma"/>
          <w:noProof/>
          <w:sz w:val="20"/>
          <w:szCs w:val="20"/>
        </w:rPr>
      </w:pPr>
    </w:p>
    <w:sectPr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276" w:right="567" w:bottom="720" w:left="1134" w:header="284" w:footer="259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307112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1">
    <w:p/>
  </w:footnote>
  <w:footnote w:id="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Uzgodnione podejście określające liczbę wydanych uprzednio wiz/odbytych uprzednio podróży kwalifikującą wnioskodawcę do wydania mu wizy wielokrotnego wjazdu o długiej ważności oraz sposób, w jaki zwiększałaby się długość okresu ważności każdej kolejnej wizy.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238"/>
    <w:multiLevelType w:val="hybridMultilevel"/>
    <w:tmpl w:val="94784248"/>
    <w:lvl w:ilvl="0" w:tplc="7AA0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215C2"/>
    <w:multiLevelType w:val="hybridMultilevel"/>
    <w:tmpl w:val="96EE8E42"/>
    <w:lvl w:ilvl="0" w:tplc="FD5A1C2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319D"/>
    <w:multiLevelType w:val="hybridMultilevel"/>
    <w:tmpl w:val="A2DC4CEC"/>
    <w:lvl w:ilvl="0" w:tplc="7AA0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C79F9"/>
    <w:multiLevelType w:val="hybridMultilevel"/>
    <w:tmpl w:val="56C685BE"/>
    <w:lvl w:ilvl="0" w:tplc="59881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C39EA"/>
    <w:multiLevelType w:val="hybridMultilevel"/>
    <w:tmpl w:val="A3F2E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F5080"/>
    <w:multiLevelType w:val="hybridMultilevel"/>
    <w:tmpl w:val="78DAB0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47B4F"/>
    <w:multiLevelType w:val="hybridMultilevel"/>
    <w:tmpl w:val="C800535E"/>
    <w:lvl w:ilvl="0" w:tplc="7AA0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33951"/>
    <w:multiLevelType w:val="hybridMultilevel"/>
    <w:tmpl w:val="77906B06"/>
    <w:lvl w:ilvl="0" w:tplc="7AA0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91069"/>
    <w:multiLevelType w:val="hybridMultilevel"/>
    <w:tmpl w:val="4AC61AF4"/>
    <w:lvl w:ilvl="0" w:tplc="32F68C0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C177A"/>
    <w:multiLevelType w:val="hybridMultilevel"/>
    <w:tmpl w:val="08621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0689C"/>
    <w:multiLevelType w:val="hybridMultilevel"/>
    <w:tmpl w:val="CFC06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40CA1"/>
    <w:multiLevelType w:val="hybridMultilevel"/>
    <w:tmpl w:val="77AA1EC0"/>
    <w:lvl w:ilvl="0" w:tplc="7AA0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A22A8"/>
    <w:multiLevelType w:val="hybridMultilevel"/>
    <w:tmpl w:val="CE38DE9E"/>
    <w:lvl w:ilvl="0" w:tplc="F94C9E9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771725"/>
    <w:multiLevelType w:val="hybridMultilevel"/>
    <w:tmpl w:val="114A8280"/>
    <w:lvl w:ilvl="0" w:tplc="C90456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001B5"/>
    <w:multiLevelType w:val="hybridMultilevel"/>
    <w:tmpl w:val="37A8A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12FA4"/>
    <w:multiLevelType w:val="multilevel"/>
    <w:tmpl w:val="5F407CF8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  <w:rPr>
        <w:b w:val="0"/>
        <w:i w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9C328A4"/>
    <w:multiLevelType w:val="hybridMultilevel"/>
    <w:tmpl w:val="AC6C2E10"/>
    <w:lvl w:ilvl="0" w:tplc="7AA0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02B09"/>
    <w:multiLevelType w:val="hybridMultilevel"/>
    <w:tmpl w:val="68AE5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6516B"/>
    <w:multiLevelType w:val="hybridMultilevel"/>
    <w:tmpl w:val="5BDA153C"/>
    <w:lvl w:ilvl="0" w:tplc="59881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22610"/>
    <w:multiLevelType w:val="hybridMultilevel"/>
    <w:tmpl w:val="A9C80F9E"/>
    <w:lvl w:ilvl="0" w:tplc="869A374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7"/>
  </w:num>
  <w:num w:numId="5">
    <w:abstractNumId w:val="18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15"/>
  </w:num>
  <w:num w:numId="11">
    <w:abstractNumId w:val="15"/>
  </w:num>
  <w:num w:numId="12">
    <w:abstractNumId w:val="14"/>
  </w:num>
  <w:num w:numId="13">
    <w:abstractNumId w:val="10"/>
  </w:num>
  <w:num w:numId="14">
    <w:abstractNumId w:val="7"/>
  </w:num>
  <w:num w:numId="15">
    <w:abstractNumId w:val="6"/>
  </w:num>
  <w:num w:numId="16">
    <w:abstractNumId w:val="2"/>
  </w:num>
  <w:num w:numId="17">
    <w:abstractNumId w:val="0"/>
  </w:num>
  <w:num w:numId="18">
    <w:abstractNumId w:val="12"/>
  </w:num>
  <w:num w:numId="19">
    <w:abstractNumId w:val="11"/>
  </w:num>
  <w:num w:numId="20">
    <w:abstractNumId w:val="19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Towarzysz\u261?cy dokumentowi:"/>
    <w:docVar w:name="LW_CORRIGENDUM" w:val="&lt;UNUSED&gt;"/>
    <w:docVar w:name="LW_COVERPAGE_EXISTS" w:val="True"/>
    <w:docVar w:name="LW_COVERPAGE_GUID" w:val="99153AB2-3F7B-4FA1-A0F8-F870EBBEC80C"/>
    <w:docVar w:name="LW_COVERPAGE_TYPE" w:val="1"/>
    <w:docVar w:name="LW_CROSSREFERENCE" w:val="{COM(2018) 252 final}_x000b_{SWD(2018) 77 final}"/>
    <w:docVar w:name="LW_DocType" w:val="NORMAL"/>
    <w:docVar w:name="LW_EMISSION" w:val="14.3.2018"/>
    <w:docVar w:name="LW_EMISSION_ISODATE" w:val="2018-03-14"/>
    <w:docVar w:name="LW_EMISSION_LOCATION" w:val="BRX"/>
    <w:docVar w:name="LW_EMISSION_PREFIX" w:val="Bruksela, dnia "/>
    <w:docVar w:name="LW_EMISSION_SUFFIX" w:val=" r."/>
    <w:docVar w:name="LW_ID_DOCTYPE_NONLW" w:val="CP-027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OBJETACTEPRINCIPAL.CP" w:val="zmieniaj\u261?cego rozporz\u261?dzenie (WE) nr 810/2009 ustanawiaj\u261?ce Wspólnotowy Kodeks Wizowy (kodeks wizowy)"/>
    <w:docVar w:name="LW_PART_NBR" w:val="1"/>
    <w:docVar w:name="LW_PART_NBR_TOTAL" w:val="1"/>
    <w:docVar w:name="LW_REF.INST.NEW" w:val="SWD"/>
    <w:docVar w:name="LW_REF.INST.NEW_ADOPTED" w:val="final"/>
    <w:docVar w:name="LW_REF.INST.NEW_TEXT" w:val="(2018) 7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&lt;UNUSED&gt;"/>
    <w:docVar w:name="LW_TYPE.DOC.CP" w:val="DOKUMENT ROBOCZY S\u321?U\u379?B KOMISJI_x000b__x000b_STRESZCZENIE OCENY SKUTKÓW_x000b_"/>
    <w:docVar w:name="LW_TYPEACTEPRINCIPAL.CP" w:val="WNIOSEK DOTYCZ\u260?CY ROZPORZ\u260?DZENIA PARLAMENTU EUROPEJSKIEGO I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3"/>
      </w:numPr>
      <w:spacing w:before="360" w:after="120"/>
      <w:jc w:val="both"/>
      <w:outlineLvl w:val="0"/>
    </w:pPr>
    <w:rPr>
      <w:b/>
      <w:bCs/>
      <w:small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numPr>
        <w:ilvl w:val="1"/>
        <w:numId w:val="3"/>
      </w:numPr>
      <w:spacing w:before="120" w:after="120"/>
      <w:jc w:val="both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numPr>
        <w:ilvl w:val="2"/>
        <w:numId w:val="3"/>
      </w:numPr>
      <w:spacing w:before="120" w:after="120"/>
      <w:jc w:val="both"/>
      <w:outlineLvl w:val="2"/>
    </w:pPr>
    <w:rPr>
      <w:bCs/>
      <w:i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numPr>
        <w:ilvl w:val="3"/>
        <w:numId w:val="3"/>
      </w:numPr>
      <w:spacing w:before="120" w:after="120"/>
      <w:jc w:val="both"/>
      <w:outlineLvl w:val="3"/>
    </w:pPr>
    <w:rPr>
      <w:bCs/>
      <w:iCs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smallCaps/>
      <w:sz w:val="24"/>
      <w:szCs w:val="2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24"/>
      <w:szCs w:val="2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Cs/>
      <w:i/>
      <w:sz w:val="24"/>
      <w:lang w:eastAsia="pl-PL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Cs/>
      <w:iCs/>
      <w:sz w:val="24"/>
      <w:lang w:eastAsia="pl-PL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/>
      <w:jc w:val="both"/>
    </w:pPr>
    <w:rPr>
      <w:rFonts w:eastAsia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semiHidden/>
    <w:pPr>
      <w:ind w:left="720" w:hanging="720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classification">
    <w:name w:val="Declassification"/>
    <w:basedOn w:val="Normal"/>
    <w:next w:val="Normal"/>
    <w:pPr>
      <w:jc w:val="both"/>
    </w:pPr>
    <w:rPr>
      <w:rFonts w:eastAsiaTheme="minorHAnsi"/>
      <w:szCs w:val="22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Theme="minorHAnsi"/>
      <w:szCs w:val="2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3"/>
      </w:numPr>
      <w:spacing w:before="360" w:after="120"/>
      <w:jc w:val="both"/>
      <w:outlineLvl w:val="0"/>
    </w:pPr>
    <w:rPr>
      <w:b/>
      <w:bCs/>
      <w:small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numPr>
        <w:ilvl w:val="1"/>
        <w:numId w:val="3"/>
      </w:numPr>
      <w:spacing w:before="120" w:after="120"/>
      <w:jc w:val="both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numPr>
        <w:ilvl w:val="2"/>
        <w:numId w:val="3"/>
      </w:numPr>
      <w:spacing w:before="120" w:after="120"/>
      <w:jc w:val="both"/>
      <w:outlineLvl w:val="2"/>
    </w:pPr>
    <w:rPr>
      <w:bCs/>
      <w:i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numPr>
        <w:ilvl w:val="3"/>
        <w:numId w:val="3"/>
      </w:numPr>
      <w:spacing w:before="120" w:after="120"/>
      <w:jc w:val="both"/>
      <w:outlineLvl w:val="3"/>
    </w:pPr>
    <w:rPr>
      <w:bCs/>
      <w:iCs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smallCaps/>
      <w:sz w:val="24"/>
      <w:szCs w:val="2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24"/>
      <w:szCs w:val="2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Cs/>
      <w:i/>
      <w:sz w:val="24"/>
      <w:lang w:eastAsia="pl-PL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Cs/>
      <w:iCs/>
      <w:sz w:val="24"/>
      <w:lang w:eastAsia="pl-PL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/>
      <w:jc w:val="both"/>
    </w:pPr>
    <w:rPr>
      <w:rFonts w:eastAsia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semiHidden/>
    <w:pPr>
      <w:ind w:left="720" w:hanging="720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classification">
    <w:name w:val="Declassification"/>
    <w:basedOn w:val="Normal"/>
    <w:next w:val="Normal"/>
    <w:pPr>
      <w:jc w:val="both"/>
    </w:pPr>
    <w:rPr>
      <w:rFonts w:eastAsiaTheme="minorHAnsi"/>
      <w:szCs w:val="22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Theme="minorHAnsi"/>
      <w:szCs w:val="2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DocumentLanguage xmlns="e545963d-d22e-4b1c-8d50-a68973f4b290">EN</EC_Collab_DocumentLanguage>
    <_Status xmlns="http://schemas.microsoft.com/sharepoint/v3/fields">Not Started</_Status>
    <EC_Collab_Reference xmlns="e545963d-d22e-4b1c-8d50-a68973f4b290" xsi:nil="true"/>
    <EC_Collab_Status xmlns="e545963d-d22e-4b1c-8d50-a68973f4b290">Not Started</EC_Collab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B05BFFFB036732419014A7F8A6877929" ma:contentTypeVersion="0" ma:contentTypeDescription="Create a new document in this library." ma:contentTypeScope="" ma:versionID="95a7488c095bd3856ee5cc388d703a6c">
  <xsd:schema xmlns:xsd="http://www.w3.org/2001/XMLSchema" xmlns:xs="http://www.w3.org/2001/XMLSchema" xmlns:p="http://schemas.microsoft.com/office/2006/metadata/properties" xmlns:ns2="http://schemas.microsoft.com/sharepoint/v3/fields" xmlns:ns3="e545963d-d22e-4b1c-8d50-a68973f4b290" targetNamespace="http://schemas.microsoft.com/office/2006/metadata/properties" ma:root="true" ma:fieldsID="83ca508982b74dc8660f2e73dbe1713a" ns2:_="" ns3:_="">
    <xsd:import namespace="http://schemas.microsoft.com/sharepoint/v3/fields"/>
    <xsd:import namespace="e545963d-d22e-4b1c-8d50-a68973f4b290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5963d-d22e-4b1c-8d50-a68973f4b290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E34A0-25D7-4AA9-BE70-8DFE35B7CAB1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545963d-d22e-4b1c-8d50-a68973f4b290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F5E58C63-F68B-48AD-852F-A68E99729D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CCA36B-0B4D-426E-9FCE-23D21109B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e545963d-d22e-4b1c-8d50-a68973f4b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FA3DD9-7370-4A1F-AA75-DC04E907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1275</Words>
  <Characters>8598</Characters>
  <Application>Microsoft Office Word</Application>
  <DocSecurity>0</DocSecurity>
  <Lines>130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19</cp:revision>
  <cp:lastPrinted>2017-08-31T12:20:00Z</cp:lastPrinted>
  <dcterms:created xsi:type="dcterms:W3CDTF">2018-03-07T08:05:00Z</dcterms:created>
  <dcterms:modified xsi:type="dcterms:W3CDTF">2018-04-09T10:41:00Z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Level of sensitivity">
    <vt:lpwstr>Standard treatment</vt:lpwstr>
  </property>
  <property fmtid="{D5CDD505-2E9C-101B-9397-08002B2CF9AE}" pid="6" name="ContentTypeId">
    <vt:lpwstr>0x010100258AA79CEB83498886A3A0868112325000B05BFFFB036732419014A7F8A6877929</vt:lpwstr>
  </property>
</Properties>
</file>