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7F10F4C-7408-4544-AF35-10C13C1011A8" style="width:450.75pt;height:379.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0" w:line="240" w:lineRule="auto"/>
        <w:jc w:val="center"/>
        <w:rPr>
          <w:rFonts w:ascii="Times New Roman" w:eastAsia="Times New Roman" w:hAnsi="Times New Roman" w:cs="Times New Roman"/>
          <w:b/>
          <w:noProof/>
          <w:sz w:val="24"/>
          <w:szCs w:val="24"/>
          <w:u w:val="single"/>
        </w:rPr>
      </w:pPr>
      <w:bookmarkStart w:id="1" w:name="_GoBack"/>
      <w:bookmarkEnd w:id="1"/>
      <w:r>
        <w:rPr>
          <w:rFonts w:ascii="Times New Roman" w:hAnsi="Times New Roman"/>
          <w:b/>
          <w:noProof/>
          <w:sz w:val="24"/>
          <w:u w:val="single"/>
        </w:rPr>
        <w:lastRenderedPageBreak/>
        <w:t>BILAG 2 - Faciliteten for flygtninge i Tyrkiet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Fra et operationelt synspunkt var der ved udgangen af 2017 indgået forpligtelser og operationelle kontrakter</w:t>
      </w:r>
      <w:r>
        <w:rPr>
          <w:rStyle w:val="FootnoteReference"/>
          <w:rFonts w:ascii="Times New Roman" w:hAnsi="Times New Roman"/>
          <w:noProof/>
          <w:sz w:val="24"/>
        </w:rPr>
        <w:footnoteReference w:id="1"/>
      </w:r>
      <w:r>
        <w:rPr>
          <w:rFonts w:ascii="Times New Roman" w:hAnsi="Times New Roman"/>
          <w:noProof/>
          <w:sz w:val="24"/>
        </w:rPr>
        <w:t xml:space="preserve"> for den fulde beløbsramme under faciliteten – 3 mia. EUR – gennem 72 projekter. For alle disse kontrakter</w:t>
      </w:r>
      <w:r>
        <w:rPr>
          <w:rStyle w:val="FootnoteReference"/>
          <w:rFonts w:ascii="Times New Roman" w:hAnsi="Times New Roman"/>
          <w:noProof/>
          <w:sz w:val="24"/>
        </w:rPr>
        <w:footnoteReference w:id="2"/>
      </w:r>
      <w:r>
        <w:rPr>
          <w:rFonts w:ascii="Times New Roman" w:hAnsi="Times New Roman"/>
          <w:noProof/>
          <w:sz w:val="24"/>
        </w:rPr>
        <w:t xml:space="preserve"> er gennemførelsen i gang. Udbetalingerne nåede op på over 1,85 mia. EUR, eller 62 % af den samlede bevillingsramme, idet resten udbetales i løbet af gennemførelsen af projekterne under faciliteten. De endelige udbetalinger foretages dog senest ved udgangen af 2021. Yderligere detaljer kan ses i projekttabellen, der er tilgængelig online</w:t>
      </w:r>
      <w:r>
        <w:rPr>
          <w:rStyle w:val="FootnoteReference"/>
          <w:rFonts w:ascii="Times New Roman" w:hAnsi="Times New Roman"/>
          <w:noProof/>
          <w:sz w:val="24"/>
        </w:rPr>
        <w:footnoteReference w:id="3"/>
      </w:r>
      <w:r>
        <w:rPr>
          <w:rFonts w:ascii="Times New Roman" w:hAnsi="Times New Roman"/>
          <w:noProof/>
          <w:sz w:val="24"/>
        </w:rPr>
        <w:t xml:space="preserve"> og i den anden årlige rapport om faciliteten for flygtninge i Tyrkiet, der blev vedtaget den 13. marts 2018</w:t>
      </w:r>
      <w:r>
        <w:rPr>
          <w:rStyle w:val="FootnoteReference"/>
          <w:rFonts w:ascii="Times New Roman" w:hAnsi="Times New Roman"/>
          <w:noProof/>
          <w:sz w:val="24"/>
        </w:rPr>
        <w:footnoteReference w:id="4"/>
      </w:r>
      <w:r>
        <w:rPr>
          <w:rFonts w:ascii="Times New Roman" w:hAnsi="Times New Roman"/>
          <w:noProof/>
          <w:sz w:val="24"/>
        </w:rPr>
        <w:t>.</w:t>
      </w:r>
    </w:p>
    <w:p>
      <w:pPr>
        <w:widowControl w:val="0"/>
        <w:spacing w:after="0" w:line="240" w:lineRule="auto"/>
        <w:jc w:val="both"/>
        <w:rPr>
          <w:rFonts w:ascii="Times New Roman" w:eastAsia="Calibri" w:hAnsi="Times New Roman" w:cs="Times New Roman"/>
          <w:noProof/>
          <w:sz w:val="24"/>
          <w:szCs w:val="24"/>
        </w:rPr>
      </w:pPr>
    </w:p>
    <w:p>
      <w:pPr>
        <w:widowControl w:val="0"/>
        <w:spacing w:after="0" w:line="240" w:lineRule="auto"/>
        <w:jc w:val="both"/>
        <w:rPr>
          <w:rFonts w:ascii="Times New Roman" w:hAnsi="Times New Roman" w:cs="Times New Roman"/>
          <w:noProof/>
          <w:sz w:val="24"/>
          <w:szCs w:val="24"/>
        </w:rPr>
      </w:pPr>
      <w:r>
        <w:rPr>
          <w:rFonts w:ascii="Times New Roman" w:hAnsi="Times New Roman"/>
          <w:b/>
          <w:i/>
          <w:noProof/>
          <w:sz w:val="24"/>
        </w:rPr>
        <w:t>Humanitær bistand</w:t>
      </w:r>
      <w:r>
        <w:rPr>
          <w:rFonts w:ascii="Times New Roman" w:hAnsi="Times New Roman"/>
          <w:noProof/>
          <w:sz w:val="24"/>
          <w:vertAlign w:val="superscript"/>
        </w:rPr>
        <w:footnoteReference w:id="5"/>
      </w:r>
    </w:p>
    <w:p>
      <w:pPr>
        <w:widowControl w:val="0"/>
        <w:spacing w:after="0" w:line="240" w:lineRule="auto"/>
        <w:jc w:val="both"/>
        <w:rPr>
          <w:rFonts w:ascii="Times New Roman" w:hAnsi="Times New Roman" w:cs="Times New Roman"/>
          <w:noProof/>
          <w:sz w:val="24"/>
          <w:szCs w:val="24"/>
        </w:rPr>
      </w:pPr>
    </w:p>
    <w:p>
      <w:pPr>
        <w:widowControl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De kontrakter, der var undertegnet ved udgangen af 2017, omfattede bl.a. en videreførelse af det sociale krisesikkerhedsnet og projektet om betingede kontantoverførsler til uddannelse såvel som projekter om ikke-formel uddannelse og om sårbare flygtninges behov for beskyttelse. De vigtigste resultater indtil nu: </w:t>
      </w:r>
    </w:p>
    <w:p>
      <w:pPr>
        <w:widowControl w:val="0"/>
        <w:spacing w:after="0" w:line="240" w:lineRule="auto"/>
        <w:jc w:val="both"/>
        <w:rPr>
          <w:rFonts w:ascii="Times New Roman" w:hAnsi="Times New Roman" w:cs="Times New Roman"/>
          <w:noProof/>
          <w:sz w:val="24"/>
          <w:szCs w:val="24"/>
        </w:rPr>
      </w:pPr>
    </w:p>
    <w:p>
      <w:pPr>
        <w:pStyle w:val="ListParagraph"/>
        <w:widowControl w:val="0"/>
        <w:numPr>
          <w:ilvl w:val="0"/>
          <w:numId w:val="1"/>
        </w:numPr>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Pr. februar 2018 har det sociale krisesikkerhedsnet ydet støtte til næsten 1,2 millioner flygtninge i form af månedlige overførsler af kontanter. De betingede kontantoverførsler til uddannelse gør nu gavn i familierne til 260 000 flygtningebørn, der alle går regelmæssigt i skole. </w:t>
      </w:r>
    </w:p>
    <w:p>
      <w:pPr>
        <w:pStyle w:val="ListParagraph"/>
        <w:widowControl w:val="0"/>
        <w:numPr>
          <w:ilvl w:val="0"/>
          <w:numId w:val="1"/>
        </w:numPr>
        <w:spacing w:after="0" w:line="240" w:lineRule="auto"/>
        <w:ind w:left="360"/>
        <w:jc w:val="both"/>
        <w:rPr>
          <w:rFonts w:ascii="Times New Roman" w:hAnsi="Times New Roman" w:cs="Times New Roman"/>
          <w:noProof/>
          <w:sz w:val="24"/>
          <w:szCs w:val="24"/>
        </w:rPr>
      </w:pPr>
      <w:r>
        <w:rPr>
          <w:rFonts w:ascii="Times New Roman" w:hAnsi="Times New Roman"/>
          <w:noProof/>
          <w:sz w:val="24"/>
        </w:rPr>
        <w:t>Det sociale krisesikkerhedsnet og projektet om betingede kontantoverførsler suppleres af andre projekter på områder såsom sundhed, uddannelse, husly, der dækker grundlæggende behov og sikrer beskyttelse af sårbare flygtninge. I alt er der vedtaget 45 humanitære projekter under faciliteten.</w:t>
      </w:r>
    </w:p>
    <w:p>
      <w:pPr>
        <w:spacing w:after="0" w:line="240" w:lineRule="auto"/>
        <w:rPr>
          <w:rFonts w:ascii="Times New Roman" w:hAnsi="Times New Roman" w:cs="Times New Roman"/>
          <w:noProof/>
          <w:sz w:val="24"/>
          <w:szCs w:val="24"/>
        </w:rPr>
      </w:pPr>
    </w:p>
    <w:p>
      <w:pPr>
        <w:widowControl w:val="0"/>
        <w:spacing w:after="0" w:line="240" w:lineRule="auto"/>
        <w:jc w:val="both"/>
        <w:rPr>
          <w:rFonts w:ascii="Times New Roman" w:hAnsi="Times New Roman" w:cs="Times New Roman"/>
          <w:noProof/>
          <w:sz w:val="24"/>
          <w:szCs w:val="24"/>
        </w:rPr>
      </w:pPr>
      <w:r>
        <w:rPr>
          <w:rFonts w:ascii="Times New Roman" w:hAnsi="Times New Roman"/>
          <w:b/>
          <w:i/>
          <w:noProof/>
          <w:sz w:val="24"/>
        </w:rPr>
        <w:t>Ikke-humanitær bistand</w:t>
      </w:r>
    </w:p>
    <w:p>
      <w:pPr>
        <w:pStyle w:val="ListParagraph"/>
        <w:widowControl w:val="0"/>
        <w:spacing w:after="0" w:line="240" w:lineRule="auto"/>
        <w:ind w:left="0"/>
        <w:jc w:val="both"/>
        <w:rPr>
          <w:rFonts w:ascii="Times New Roman" w:hAnsi="Times New Roman" w:cs="Times New Roman"/>
          <w:noProof/>
          <w:sz w:val="24"/>
          <w:szCs w:val="24"/>
        </w:rPr>
      </w:pPr>
    </w:p>
    <w:p>
      <w:pPr>
        <w:pStyle w:val="ListParagraph"/>
        <w:widowControl w:val="0"/>
        <w:spacing w:after="0" w:line="240" w:lineRule="auto"/>
        <w:ind w:left="0"/>
        <w:jc w:val="both"/>
        <w:rPr>
          <w:rFonts w:ascii="Times New Roman" w:hAnsi="Times New Roman" w:cs="Times New Roman"/>
          <w:noProof/>
          <w:sz w:val="24"/>
          <w:szCs w:val="24"/>
        </w:rPr>
      </w:pPr>
      <w:r>
        <w:rPr>
          <w:rFonts w:ascii="Times New Roman" w:hAnsi="Times New Roman"/>
          <w:noProof/>
          <w:sz w:val="24"/>
        </w:rPr>
        <w:t>De kontrakter, der var undertegnet ved udgangen af 2017, har primært fokus på det langsigtede eksistensgrundlag samt social og økonomisk samhørighed. De skal gøre det nemmere at finde beskæftigelse og blive integreret på arbejdsmarkedet (ved hjælp af erhvervsuddannelse, kurser i tyrkisk, iværksætteri osv.) og er især målrettet sårbare grupper, herunder flygtninge fra andre steder end Syrien, asylansøgere og værtssamfund. Løbende aktiviteter finansieret under faciliteten har haft en betydelig indvirkning i praksis:</w:t>
      </w:r>
    </w:p>
    <w:p>
      <w:pPr>
        <w:pStyle w:val="ListParagraph"/>
        <w:widowControl w:val="0"/>
        <w:spacing w:after="0" w:line="240" w:lineRule="auto"/>
        <w:ind w:left="0"/>
        <w:jc w:val="both"/>
        <w:rPr>
          <w:rFonts w:ascii="Times New Roman" w:hAnsi="Times New Roman" w:cs="Times New Roman"/>
          <w:noProof/>
          <w:sz w:val="24"/>
          <w:szCs w:val="24"/>
        </w:rPr>
      </w:pPr>
    </w:p>
    <w:p>
      <w:pPr>
        <w:pStyle w:val="ListParagraph"/>
        <w:widowControl w:val="0"/>
        <w:numPr>
          <w:ilvl w:val="0"/>
          <w:numId w:val="1"/>
        </w:numPr>
        <w:spacing w:after="0" w:line="240" w:lineRule="auto"/>
        <w:ind w:left="360"/>
        <w:jc w:val="both"/>
        <w:rPr>
          <w:rFonts w:ascii="Times New Roman" w:hAnsi="Times New Roman" w:cs="Times New Roman"/>
          <w:noProof/>
          <w:sz w:val="24"/>
          <w:szCs w:val="24"/>
        </w:rPr>
      </w:pPr>
      <w:r>
        <w:rPr>
          <w:rFonts w:ascii="Times New Roman" w:hAnsi="Times New Roman"/>
          <w:noProof/>
          <w:sz w:val="24"/>
        </w:rPr>
        <w:t>Et direkte tilskud til det tyrkiske sundhedsministerium betyder, at 12 lægehuse for migranter nu er operationelle og er med til at forbedre de primære sundhedsydelser. Der er ansat 813 medarbejdere i disse lægehuse</w:t>
      </w:r>
      <w:r>
        <w:rPr>
          <w:noProof/>
        </w:rPr>
        <w:t xml:space="preserve"> </w:t>
      </w:r>
      <w:r>
        <w:rPr>
          <w:rFonts w:ascii="Times New Roman" w:hAnsi="Times New Roman"/>
          <w:noProof/>
          <w:sz w:val="24"/>
        </w:rPr>
        <w:t>og i de 86 andre lægehuse, der allerede var etableret. Der er gennemført 763 963 konsultationer vedrørende primær sundhedspleje for flygtninge, og 217 511 syriske flygtningebørn har fået alle almindelige vaccinationer</w:t>
      </w:r>
      <w:r>
        <w:rPr>
          <w:rStyle w:val="FootnoteReference"/>
          <w:rFonts w:ascii="Times New Roman" w:hAnsi="Times New Roman"/>
          <w:noProof/>
          <w:sz w:val="24"/>
        </w:rPr>
        <w:footnoteReference w:id="6"/>
      </w:r>
      <w:r>
        <w:rPr>
          <w:rFonts w:ascii="Times New Roman" w:hAnsi="Times New Roman"/>
          <w:noProof/>
          <w:sz w:val="24"/>
        </w:rPr>
        <w:t xml:space="preserve">. </w:t>
      </w:r>
      <w:r>
        <w:rPr>
          <w:rFonts w:ascii="Times New Roman" w:hAnsi="Times New Roman"/>
          <w:noProof/>
          <w:sz w:val="24"/>
        </w:rPr>
        <w:lastRenderedPageBreak/>
        <w:t>Derudover har man påbegyndt opførelsen af to hospitaler i Kilis og Hatay, der vil have en kapacitet på henholdsvis 300 og 250 sengepladser.</w:t>
      </w:r>
    </w:p>
    <w:p>
      <w:pPr>
        <w:pStyle w:val="ListParagraph"/>
        <w:widowControl w:val="0"/>
        <w:numPr>
          <w:ilvl w:val="0"/>
          <w:numId w:val="1"/>
        </w:numPr>
        <w:spacing w:after="0" w:line="240" w:lineRule="auto"/>
        <w:ind w:left="360"/>
        <w:jc w:val="both"/>
        <w:rPr>
          <w:rFonts w:ascii="Times New Roman" w:hAnsi="Times New Roman" w:cs="Times New Roman"/>
          <w:noProof/>
          <w:sz w:val="24"/>
          <w:szCs w:val="24"/>
        </w:rPr>
      </w:pPr>
      <w:r>
        <w:rPr>
          <w:rFonts w:ascii="Times New Roman" w:hAnsi="Times New Roman"/>
          <w:noProof/>
          <w:sz w:val="24"/>
        </w:rPr>
        <w:t>Et direkte tilskud til det tyrkiske uddannelsesministerium betyder, at 312 151 børn har fået undervisning i tyrkisk af 5 486 sprogundervisere, som det har været muligt at ansætte med hjælp fra faciliteten. Man er begyndt at uddele undervisningsmaterialer og -bøger til 500 000 elever og er gået i gang med byggeriet af 175 skoler.</w:t>
      </w:r>
    </w:p>
    <w:p>
      <w:pPr>
        <w:widowControl w:val="0"/>
        <w:spacing w:after="0" w:line="240" w:lineRule="auto"/>
        <w:jc w:val="both"/>
        <w:rPr>
          <w:rFonts w:ascii="Times New Roman" w:hAnsi="Times New Roman" w:cs="Times New Roman"/>
          <w:noProof/>
          <w:sz w:val="24"/>
          <w:szCs w:val="24"/>
        </w:rPr>
      </w:pPr>
    </w:p>
    <w:p>
      <w:pPr>
        <w:widowControl w:val="0"/>
        <w:spacing w:after="0" w:line="240" w:lineRule="auto"/>
        <w:jc w:val="both"/>
        <w:rPr>
          <w:noProof/>
        </w:rPr>
      </w:pPr>
      <w:r>
        <w:rPr>
          <w:rFonts w:ascii="Times New Roman" w:hAnsi="Times New Roman"/>
          <w:noProof/>
          <w:sz w:val="24"/>
        </w:rPr>
        <w:t>I erklæringen fra EU og Tyrkiet fra marts 2016 hedder det, at "når disse ressourcer næsten er udnyttet fuldt ud", vil EU "mobilisere yderligere finansiering …. på yderligere 3 mia. EUR frem til udgangen af 2018". EU forbereder nu udbetalingen af den næste rate på 3 mia. EUR. For at undgå at der opstår mangel på finansiering fra faciliteten, skal de første kontrakter under den næste rate underskrives i sommeren 2018.</w:t>
      </w: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444295"/>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I overensstemmelse med finansforordningen kan der indgås kontrakter om administrationsudgifter og teknisk støtte samt overvågning, evaluering og revision efter 2017.</w:t>
      </w: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Et projekt afventer stadig kontrasignatur.</w:t>
      </w:r>
    </w:p>
  </w:footnote>
  <w:footnote w:id="3">
    <w:p>
      <w:pPr>
        <w:pStyle w:val="FootnoteText"/>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https://ec.europa.eu/neighbourhood-enlargement/news_corner/migration_en.</w:t>
        </w:r>
      </w:hyperlink>
      <w:r>
        <w:rPr>
          <w:rStyle w:val="Hyperlink"/>
          <w:rFonts w:ascii="Times New Roman" w:hAnsi="Times New Roman"/>
        </w:rPr>
        <w:t xml:space="preserve"> </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91/3 final af 13.3.2018.</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Den humanitære bistand under faciliteten ydes fortsat i overensstemmelse med EU's regler om humanitær bistand og principperne i den europæiske konsensus om humanitær bistand.</w:t>
      </w:r>
    </w:p>
  </w:footnote>
  <w:footnote w:id="6">
    <w:p>
      <w:pPr>
        <w:pStyle w:val="FootnoteText"/>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Pr. 31. oktober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0B72"/>
    <w:multiLevelType w:val="hybridMultilevel"/>
    <w:tmpl w:val="B5CA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UTYSER Frederik (SG)">
    <w15:presenceInfo w15:providerId="None" w15:userId="SCHUTYSER Frederik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Red"/>
    <w:docVar w:name="LW_ACCOMPAGNANT.CP" w:val="til"/>
    <w:docVar w:name="LW_ANNEX_NBR_FIRST" w:val="2"/>
    <w:docVar w:name="LW_ANNEX_NBR_LAST" w:val="2"/>
    <w:docVar w:name="LW_ANNEX_UNIQUE" w:val="0"/>
    <w:docVar w:name="LW_CORRIGENDUM" w:val="&lt;UNUSED&gt;"/>
    <w:docVar w:name="LW_COVERPAGE_EXISTS" w:val="True"/>
    <w:docVar w:name="LW_COVERPAGE_GUID" w:val="37F10F4C-7408-4544-AF35-10C13C1011A8"/>
    <w:docVar w:name="LW_COVERPAGE_TYPE" w:val="1"/>
    <w:docVar w:name="LW_CROSSREFERENCE" w:val="&lt;UNUSED&gt;"/>
    <w:docVar w:name="LW_DocType" w:val="NORMAL"/>
    <w:docVar w:name="LW_EMISSION" w:val="14.3.2018"/>
    <w:docVar w:name="LW_EMISSION_ISODATE" w:val="2018-03-14"/>
    <w:docVar w:name="LW_EMISSION_LOCATION" w:val="BRX"/>
    <w:docVar w:name="LW_EMISSION_PREFIX" w:val="Bruxelles, den "/>
    <w:docVar w:name="LW_EMISSION_SUFFIX" w:val="&lt;EMPTY&gt;"/>
    <w:docVar w:name="LW_ID_DOCTYPE_NONLW" w:val="CP-039"/>
    <w:docVar w:name="LW_LANGUE" w:val="DA"/>
    <w:docVar w:name="LW_LEVEL_OF_SENSITIVITY" w:val="Standard treatment"/>
    <w:docVar w:name="LW_NOM.INST" w:val="EUROPA-KOMMISSIONEN"/>
    <w:docVar w:name="LW_NOM.INST_JOINTDOC" w:val="&lt;EMPTY&gt;"/>
    <w:docVar w:name="LW_OBJETACTEPRINCIPAL.CP" w:val="Statusrapport om gennemførelsen af den europæiske dagsorden for migration"/>
    <w:docVar w:name="LW_PART_NBR" w:val="1"/>
    <w:docVar w:name="LW_PART_NBR_TOTAL" w:val="1"/>
    <w:docVar w:name="LW_REF.INST.NEW" w:val="COM"/>
    <w:docVar w:name="LW_REF.INST.NEW_ADOPTED" w:val="final"/>
    <w:docVar w:name="LW_REF.INST.NEW_TEXT" w:val="(2018) 2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LAG_x000b_"/>
    <w:docVar w:name="LW_TYPEACTEPRINCIPAL.CP" w:val="MEDDELELSE FRA KOMMISSIONEN TIL EUROPA-PARLAMENTET, DET EUROPÆISKE RÅD OG RÅDE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uiPriority w:val="99"/>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
    <w:basedOn w:val="DefaultParagraphFont"/>
    <w:link w:val="BVIfnrChar1CharCharChar"/>
    <w:uiPriority w:val="99"/>
    <w:unhideWhenUsed/>
    <w:qFormat/>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pPr>
      <w:spacing w:after="160" w:line="240" w:lineRule="exact"/>
    </w:pPr>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basedOn w:val="DefaultParagraphFont"/>
    <w:link w:val="ListParagraph"/>
    <w:uiPriority w:val="34"/>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uiPriority w:val="99"/>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
    <w:basedOn w:val="DefaultParagraphFont"/>
    <w:link w:val="BVIfnrChar1CharCharChar"/>
    <w:uiPriority w:val="99"/>
    <w:unhideWhenUsed/>
    <w:qFormat/>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pPr>
      <w:spacing w:after="160" w:line="240" w:lineRule="exact"/>
    </w:pPr>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basedOn w:val="DefaultParagraphFont"/>
    <w:link w:val="ListParagraph"/>
    <w:uiPriority w:val="34"/>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neighbourhood-enlargement/news_corner/migr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519</Words>
  <Characters>2983</Characters>
  <Application>Microsoft Office Word</Application>
  <DocSecurity>0</DocSecurity>
  <Lines>56</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Jadot</dc:creator>
  <cp:lastModifiedBy>DIGIT/A3</cp:lastModifiedBy>
  <cp:revision>9</cp:revision>
  <dcterms:created xsi:type="dcterms:W3CDTF">2018-03-13T14:00:00Z</dcterms:created>
  <dcterms:modified xsi:type="dcterms:W3CDTF">2018-03-20T08:51:00Z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2</vt:lpwstr>
  </property>
  <property fmtid="{D5CDD505-2E9C-101B-9397-08002B2CF9AE}" pid="4" name="Last annex">
    <vt:lpwstr>2</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