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C29460E-2192-45E5-8586-23D24DD7D521" style="width:450.6pt;height:392.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eastAsia="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ΠΑΡΑΡΤΗΜΑ 2 - Διευκόλυνση για τους πρόσφυγες στην Τουρκία</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Από επιχειρησιακής απόψεως, το πλήρες κονδύλιο της Διευκόλυνσης –3 δισ. EUR– είχε δεσμευτεί και ανατεθεί</w:t>
      </w:r>
      <w:r>
        <w:rPr>
          <w:rStyle w:val="FootnoteReference"/>
          <w:rFonts w:ascii="Times New Roman" w:hAnsi="Times New Roman"/>
          <w:noProof/>
          <w:sz w:val="24"/>
        </w:rPr>
        <w:footnoteReference w:id="1"/>
      </w:r>
      <w:r>
        <w:rPr>
          <w:rFonts w:ascii="Times New Roman" w:hAnsi="Times New Roman"/>
          <w:noProof/>
          <w:sz w:val="24"/>
        </w:rPr>
        <w:t xml:space="preserve"> επιχειρησιακά στο τέλος του 2017 μέσω 72 έργων. Η εφαρμογή όλων αυτών των συμβάσεων</w:t>
      </w:r>
      <w:r>
        <w:rPr>
          <w:rStyle w:val="FootnoteReference"/>
          <w:rFonts w:ascii="Times New Roman" w:hAnsi="Times New Roman"/>
          <w:noProof/>
          <w:sz w:val="24"/>
        </w:rPr>
        <w:footnoteReference w:id="2"/>
      </w:r>
      <w:r>
        <w:rPr>
          <w:rFonts w:ascii="Times New Roman" w:hAnsi="Times New Roman"/>
          <w:noProof/>
          <w:sz w:val="24"/>
        </w:rPr>
        <w:t xml:space="preserve"> έχει δρομολογηθεί. Οι εκταμιεύσεις υπερέβησαν το ποσό των 1,85 δισ. EUR, ή το 62 % του συνολικού κονδυλίου, με το υπόλοιπο να καταβάλλεται κατά τη διάρκεια της υλοποίησης των έργων στο πλαίσιο της Διευκόλυνσης, ενώ οι τελικές πληρωμές θα γίνουν το αργότερο μέχρι το τέλος του 2021. Περισσότερες πληροφορίες υπάρχουν στον διαδικτυακό πίνακα έργων</w:t>
      </w:r>
      <w:r>
        <w:rPr>
          <w:rStyle w:val="FootnoteReference"/>
          <w:rFonts w:ascii="Times New Roman" w:hAnsi="Times New Roman"/>
          <w:noProof/>
          <w:sz w:val="24"/>
        </w:rPr>
        <w:footnoteReference w:id="3"/>
      </w:r>
      <w:r>
        <w:rPr>
          <w:rFonts w:ascii="Times New Roman" w:hAnsi="Times New Roman"/>
          <w:noProof/>
          <w:sz w:val="24"/>
        </w:rPr>
        <w:t xml:space="preserve"> και στη δεύτερη ετήσια έκθεση σχετικά με τη Διευκόλυνση για τους Πρόσφυγες στην Τουρκία που εκδόθηκε στις 13 Μαρτίου 2018</w:t>
      </w:r>
      <w:r>
        <w:rPr>
          <w:rStyle w:val="FootnoteReference"/>
          <w:rFonts w:ascii="Times New Roman" w:hAnsi="Times New Roman"/>
          <w:noProof/>
          <w:sz w:val="24"/>
        </w:rPr>
        <w:footnoteReference w:id="4"/>
      </w:r>
      <w:r>
        <w:rPr>
          <w:rFonts w:ascii="Times New Roman" w:hAnsi="Times New Roman"/>
          <w:noProof/>
          <w:sz w:val="24"/>
        </w:rPr>
        <w:t>.</w:t>
      </w:r>
    </w:p>
    <w:p>
      <w:pPr>
        <w:widowControl w:val="0"/>
        <w:spacing w:after="0" w:line="240" w:lineRule="auto"/>
        <w:jc w:val="both"/>
        <w:rPr>
          <w:rFonts w:ascii="Times New Roman" w:eastAsia="Calibri"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Ανθρωπιστική βοήθεια</w:t>
      </w:r>
      <w:r>
        <w:rPr>
          <w:rFonts w:ascii="Times New Roman" w:hAnsi="Times New Roman"/>
          <w:noProof/>
          <w:sz w:val="24"/>
          <w:vertAlign w:val="superscript"/>
        </w:rPr>
        <w:footnoteReference w:id="5"/>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Οι συμβάσεις που υπεγράφησαν στο τέλος του 2017 περιελάμβαναν τη διατήρηση του κοινωνικού διχτυού ασφαλείας έκτακτης ανάγκης και την Υπό Όρους Μεταβίβαση Μετρητών για Έργα Εκπαίδευσης, καθώς και για έργα που εστιάζουν στην άτυπη εκπαίδευση και τις ανάγκες προστασίας των ευάλωτων προσφύγων. Τα κυριότερα επιτεύγματα μέχρι σήμερα: </w:t>
      </w:r>
    </w:p>
    <w:p>
      <w:pPr>
        <w:widowControl w:val="0"/>
        <w:spacing w:after="0" w:line="240" w:lineRule="auto"/>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Στο πλαίσιο του κοινωνικού διχτυού ασφαλείας έκτακτης ανάγκης, χορηγήθηκαν μηνιαίες μεταβιβάσεις μετρητών μέσω του προγράμματος σε σχεδόν 1,2 εκατ. πρόσφυγες τον Φεβρουάριο του 2018. Η υπό όρους μεταβίβαση μετρητών για έργα εκπαίδευσης ωφελεί επί του παρόντος τις οικογένειες 260 000 παιδιών μεταναστών που παρακολουθούν μαθήματα σε τακτική βάση. </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Το κοινωνικό δίχτυ ασφαλείας έκτακτης ανάγκης και η υπό όρους μεταβίβαση μετρητών για έργα εκπαίδευσης συμπληρώνονται από άλλα έργα που εστιάζουν στους τομείς της υγείας, της εκπαίδευσης, της στέγασης, της κάλυψης βασικών αναγκών και στην προστασία των ευάλωτων προσφύγων. Συνολικά, 45 ανθρωπιστικά έργα έχουν συμφωνηθεί στο πλαίσιο της Διευκόλυνσης.</w:t>
      </w:r>
    </w:p>
    <w:p>
      <w:pPr>
        <w:spacing w:after="0" w:line="240" w:lineRule="auto"/>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Μη ανθρωπιστική βοήθεια</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spacing w:after="0" w:line="240" w:lineRule="auto"/>
        <w:ind w:left="0"/>
        <w:jc w:val="both"/>
        <w:rPr>
          <w:rFonts w:ascii="Times New Roman" w:hAnsi="Times New Roman" w:cs="Times New Roman"/>
          <w:noProof/>
          <w:sz w:val="24"/>
          <w:szCs w:val="24"/>
        </w:rPr>
      </w:pPr>
      <w:r>
        <w:rPr>
          <w:rFonts w:ascii="Times New Roman" w:hAnsi="Times New Roman"/>
          <w:noProof/>
          <w:sz w:val="24"/>
        </w:rPr>
        <w:t>Οι συμβάσεις που υπεγράφησαν στα τέλη του 2017 αφορούσαν ιδίως τα μακροπρόθεσμα μέσα διαβίωσης και την κοινωνική και οικονομική συνοχή. Υποστηρίζουν την απασχολησιμότητα και την ένταξη στην αγορά εργασίας (επαγγελματική κατάρτιση, μαθήματα τουρκικής γλώσσας, επιχειρηματικότητα, κλπ.) και δίνουν ιδιαίτερη προσοχή στις ευάλωτες ομάδες, συμπεριλαμβανομένων των μη Σύριων προσφύγων, των αιτούντων άσυλο και των κοινοτήτων υποδοχής. Οι τρέχουσες δράσεις που χρηματοδοτούνται από τη Διευκόλυνση είχαν σημαντικό αντίκτυπο επί τόπου:</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Στο πλαίσιο της άμεσης επιχορήγησης προς το Υπουργείο Υγείας, 12 κέντρα υγείας για μετανάστες βρίσκονται σήμερα σε λειτουργία και συμβάλλουν στη βελτίωση των υπηρεσιών πρωτοβάθμιας υγειονομικής περίθαλψης. 813 άτομα απασχολούνται στα εν λόγω κέντρα και σε 86 άλλα κέντρα που έχουν ήδη δημιουργηθεί. Οι πρόσφυγες πραγματοποίησαν 763.963 επισκέψεις σε κέντρα πρωτοβάθμιας υγειονομικής περίθαλψης και 217.511 βρέφη Σύριων προσφύγων εμβολιάστηκαν πλήρως</w:t>
      </w:r>
      <w:r>
        <w:rPr>
          <w:rStyle w:val="FootnoteReference"/>
          <w:rFonts w:ascii="Times New Roman" w:hAnsi="Times New Roman"/>
          <w:noProof/>
          <w:sz w:val="24"/>
        </w:rPr>
        <w:footnoteReference w:id="6"/>
      </w:r>
      <w:r>
        <w:rPr>
          <w:rFonts w:ascii="Times New Roman" w:hAnsi="Times New Roman"/>
          <w:noProof/>
          <w:sz w:val="24"/>
        </w:rPr>
        <w:t>. Επιπλέον, άρχισε η δημιουργία δύο νοσοκομείων στο Kilis και στο Hatay, με ικανότητα 300 και 250 κλινών αντίστοιχα.</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Στο πλαίσιο της άμεσης επιχορήγησης προς το Υπουργείο Εθνικής Παιδείας, 312.151 παιδιά παρακολούθησαν μαθήματα τουρκικής γλώσσας από 5.486 καθηγητές τουρκικών που βρήκαν απασχόληση χάρη στη Διευκόλυνση. Η διανομή χαρτικών και διδακτικών βιβλίων για 500.000 σπουδαστές και η κατασκευή 175 σχολείων έχουν αρχίσει.</w:t>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noProof/>
        </w:rPr>
      </w:pPr>
      <w:r>
        <w:rPr>
          <w:rFonts w:ascii="Times New Roman" w:hAnsi="Times New Roman"/>
          <w:noProof/>
          <w:sz w:val="24"/>
        </w:rPr>
        <w:t>Η δήλωση ΕΕ-Τουρκίας του Μαρτίου 2016, προβλέπει ότι «Όταν θα έχουν σχεδόν εξαντληθεί οι πόροι αυτοί », η ΕΕ θα κινητοποιήσει συμπληρωματική χρηματοδότηση [...] ύψους 3 δισεκατομμυρίων ευρώ μέχρι το τέλος του 2018». Η ΕΕ προετοιμάζεται τώρα για την επόμενη δόση ύψους 3 δισ. EUR. Για την αποφυγή οιωνδήποτε κενών στη χρηματοδότηση της Διευκόλυνσης, οι πρώτες συμβάσεις στο πλαίσιο της επόμενης δόσης θα πρέπει να υπογραφούν κατά τη διάρκεια του καλοκαιριού του 2018.</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429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Σύμφωνα με τον δημοσιονομικό κανονισμό, οι διοικητικές δαπάνες και η τεχνική υποστήριξη, καθώς και η παρακολούθηση, η αξιολόγηση και ο έλεγχος μπορούν να ανατεθούν μέσω συμβάσεων και μετά το 2017.</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Για ένα έργο εκκρεμεί ακόμη υπογραφή.</w:t>
      </w:r>
    </w:p>
  </w:footnote>
  <w:footnote w:id="3">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https://ec.europa.eu/neighbourhood-enlargement/news_corner/migration_en</w:t>
        </w:r>
      </w:hyperlink>
      <w:r>
        <w:rPr>
          <w:rStyle w:val="Hyperlink"/>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91/3 final της 13.3.2018.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Η παροχή ανθρωπιστικής βοήθειας στο πλαίσιο της Διευκόλυνσης εξακολουθεί να υλοποιείται σύμφωνα με τη ενωσιακή νομοθεσία για την ανθρωπιστική βοήθεια και με βάση τις αρχές της ευρωπαϊκής κοινής αντίληψης για την ανθρωπιστική βοήθεια.</w:t>
      </w:r>
    </w:p>
  </w:footnote>
  <w:footnote w:id="6">
    <w:p>
      <w:pPr>
        <w:pStyle w:val="FootnoteText"/>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Κατάσταση στις 31 Οκτωβρίου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72"/>
    <w:multiLevelType w:val="hybridMultilevel"/>
    <w:tmpl w:val="B5C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hideSpellingErrors/>
  <w:hideGrammaticalErrors/>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2"/>
    <w:docVar w:name="LW_ANNEX_NBR_LAST" w:val="2"/>
    <w:docVar w:name="LW_ANNEX_UNIQUE" w:val="0"/>
    <w:docVar w:name="LW_CORRIGENDUM" w:val="&lt;UNUSED&gt;"/>
    <w:docVar w:name="LW_COVERPAGE_EXISTS" w:val="True"/>
    <w:docVar w:name="LW_COVERPAGE_GUID" w:val="4C29460E-2192-45E5-8586-23D24DD7D521"/>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Βρυξέλλες, "/>
    <w:docVar w:name="LW_EMISSION_SUFFIX" w:val="&lt;EMPTY&gt;"/>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04?\u954?\u952?\u949?\u963?\u951? \u960?\u961?\u959?\u972?\u948?\u959?\u965? \u963?\u967?\u949?\u964?\u953?\u954?\u940? \u956?\u949? \u964?\u951?\u957? \u965?\u955?\u959?\u960?\u959?\u943?\u951?\u963?\u951? \u964?\u959?\u965? \u917?\u965?\u961?\u969?\u960?\u945?\u970?\u954?\u959?\u973? \u920?\u949?\u956?\u945?\u964?\u959?\u955?\u959?\u947?\u943?\u959?\u965? \u947?\u953?\u945? \u964?\u951? \u924?\u949?\u964?\u945?\u957?\u940?\u963?\u964?\u949?\u965?\u963?\u951?"/>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3157</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Jadot</dc:creator>
  <cp:lastModifiedBy>DIGIT/A3</cp:lastModifiedBy>
  <cp:revision>9</cp:revision>
  <dcterms:created xsi:type="dcterms:W3CDTF">2018-03-13T14:00:00Z</dcterms:created>
  <dcterms:modified xsi:type="dcterms:W3CDTF">2018-03-20T08:52:00Z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