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4944A96-C91D-403B-9FA3-AD108B14ADE4" style="width:450.35pt;height:352.5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u w:val="none"/>
        </w:rPr>
      </w:pPr>
      <w:bookmarkStart w:id="0" w:name="_GoBack"/>
      <w:bookmarkEnd w:id="0"/>
      <w:r>
        <w:rPr>
          <w:noProof/>
          <w:u w:val="none"/>
        </w:rPr>
        <w:lastRenderedPageBreak/>
        <w:t>PASKAIDROJUMA RAKSTS</w:t>
      </w:r>
    </w:p>
    <w:p>
      <w:pPr>
        <w:pStyle w:val="ManualHeading1"/>
        <w:rPr>
          <w:noProof/>
        </w:rPr>
      </w:pPr>
      <w:r>
        <w:t>1.</w:t>
      </w:r>
      <w:r>
        <w:tab/>
      </w:r>
      <w:r>
        <w:rPr>
          <w:noProof/>
        </w:rPr>
        <w:t>Priekšlikuma konteksts</w:t>
      </w:r>
    </w:p>
    <w:p>
      <w:pPr>
        <w:pBdr>
          <w:top w:val="nil"/>
          <w:left w:val="nil"/>
          <w:bottom w:val="nil"/>
          <w:right w:val="nil"/>
          <w:between w:val="nil"/>
          <w:bar w:val="nil"/>
        </w:pBdr>
        <w:spacing w:before="0" w:after="240"/>
        <w:rPr>
          <w:rFonts w:eastAsia="Arial Unicode MS"/>
          <w:noProof/>
        </w:rPr>
      </w:pPr>
      <w:r>
        <w:rPr>
          <w:noProof/>
        </w:rPr>
        <w:t>Šā priekšlikuma mērķis ir, izdarot grozījumus Padomes Regulā (EEK, Euratom) Nr. 1553/89</w:t>
      </w:r>
      <w:r>
        <w:rPr>
          <w:rStyle w:val="FootnoteReference"/>
          <w:noProof/>
        </w:rPr>
        <w:footnoteReference w:id="2"/>
      </w:r>
      <w:r>
        <w:rPr>
          <w:noProof/>
        </w:rPr>
        <w:t xml:space="preserve">, ievērojami vienkāršot pievienotās vērtības nodokļa pašu resursu aspektus: galvenā uzmanība ir pārorientēta uz piegādēm, kurām piemēro pamatlikmi (tādējādi vidējā svērtā likme nebūs vajadzīga), savukārt korekciju skaits ir samazināts līdz absolūtam minimumam un finansiālās kompensācijas — atceltas. Turklāt ir ierosināta kopēja procentuālā attiecība, kas pamatojas uz dalībvalstu jaunākajiem fiskālajiem datiem. </w:t>
      </w:r>
    </w:p>
    <w:p>
      <w:pPr>
        <w:pBdr>
          <w:top w:val="nil"/>
          <w:left w:val="nil"/>
          <w:bottom w:val="nil"/>
          <w:right w:val="nil"/>
          <w:between w:val="nil"/>
          <w:bar w:val="nil"/>
        </w:pBdr>
        <w:spacing w:before="0" w:after="240"/>
        <w:rPr>
          <w:rFonts w:eastAsia="Arial Unicode MS"/>
          <w:noProof/>
        </w:rPr>
      </w:pPr>
      <w:r>
        <w:rPr>
          <w:noProof/>
        </w:rPr>
        <w:t>Šis priekšlikums ir neatņemama daļa no pašu resursu sistēmas reformas, kas izklāstīta priekšlikumā Padomes Lēmumam par Eiropas Savienības pašu resursu sistēmu</w:t>
      </w:r>
      <w:r>
        <w:rPr>
          <w:rStyle w:val="FootnoteReference"/>
          <w:noProof/>
        </w:rPr>
        <w:footnoteReference w:id="3"/>
      </w:r>
      <w:r>
        <w:rPr>
          <w:noProof/>
        </w:rPr>
        <w:t>. Minētā reforma atbilst ieteikumiem, kurus ierosinājusi Augsta līmeņa grupa pašu resursu jautājumos, kas 2016. gada decembrī publicēja savu nobeiguma ziņojumu</w:t>
      </w:r>
      <w:r>
        <w:rPr>
          <w:rStyle w:val="FootnoteReference"/>
          <w:noProof/>
        </w:rPr>
        <w:footnoteReference w:id="4"/>
      </w:r>
      <w:r>
        <w:rPr>
          <w:noProof/>
        </w:rPr>
        <w:t xml:space="preserve">. </w:t>
      </w:r>
    </w:p>
    <w:p>
      <w:pPr>
        <w:pBdr>
          <w:top w:val="nil"/>
          <w:left w:val="nil"/>
          <w:bottom w:val="nil"/>
          <w:right w:val="nil"/>
          <w:between w:val="nil"/>
          <w:bar w:val="nil"/>
        </w:pBdr>
        <w:spacing w:before="0" w:after="240"/>
        <w:rPr>
          <w:noProof/>
        </w:rPr>
      </w:pPr>
      <w:r>
        <w:rPr>
          <w:noProof/>
        </w:rPr>
        <w:t>Šā priekšlikuma pamatā ir pašu resursu pārvaldībā gūtā pieredze, un tā mērķis ir vienkāršot pievienotās vērtības nodokļa pašu resursu aprēķināšanu. Tas arī racionalizē praktisko kārtību. Sīkāks izskaidrojums dots 5. iedaļā.</w:t>
      </w:r>
    </w:p>
    <w:p>
      <w:pPr>
        <w:pBdr>
          <w:top w:val="nil"/>
          <w:left w:val="nil"/>
          <w:bottom w:val="nil"/>
          <w:right w:val="nil"/>
          <w:between w:val="nil"/>
          <w:bar w:val="nil"/>
        </w:pBdr>
        <w:spacing w:before="0" w:after="240"/>
        <w:rPr>
          <w:noProof/>
        </w:rPr>
      </w:pPr>
      <w:r>
        <w:rPr>
          <w:noProof/>
        </w:rPr>
        <w:t xml:space="preserve">Ņemot vērā pašu resursu būtību, to pārvaldība balstās uz citu Savienības politikas virzienu, jo īpaši iekšējā tirgus un nodokļu politikas, pareizu piemērošanu. </w:t>
      </w:r>
    </w:p>
    <w:p>
      <w:pPr>
        <w:pStyle w:val="ManualHeading1"/>
        <w:rPr>
          <w:noProof/>
        </w:rPr>
      </w:pPr>
      <w:r>
        <w:t>2.</w:t>
      </w:r>
      <w:r>
        <w:tab/>
      </w:r>
      <w:r>
        <w:rPr>
          <w:noProof/>
        </w:rPr>
        <w:t xml:space="preserve">Juridiskais pamats, subsidiaritāte un proporcionalitāte </w:t>
      </w:r>
    </w:p>
    <w:p>
      <w:pPr>
        <w:rPr>
          <w:noProof/>
        </w:rPr>
      </w:pPr>
      <w:r>
        <w:rPr>
          <w:noProof/>
        </w:rPr>
        <w:t>Ierosinātās regulas juridiskais pamats ir Līguma par Eiropas Savienības darbību 322. panta 2. punkts. Padomes Lēmuma 2014/335/ES, Euratom</w:t>
      </w:r>
      <w:r>
        <w:rPr>
          <w:rStyle w:val="FootnoteReference"/>
          <w:noProof/>
        </w:rPr>
        <w:footnoteReference w:id="5"/>
      </w:r>
      <w:r>
        <w:rPr>
          <w:noProof/>
        </w:rPr>
        <w:t xml:space="preserve"> 8. panta 2. punktā un ierosinātā Lēmuma par pašu resursiem 6. panta 3. punktā teikts, ka dalībvalstis resursus dara pieejamus Komisijai “saskaņā ar regulām”, kas pieņemtas atbilstīgi Līguma par Eiropas Savienības darbību 322. panta 2. punktam. Turklāt, tā kā ar šo regulu groza spēkā esošu regulu, ir lietderīgi izmantot to pašu juridiskā instrumenta veidu. </w:t>
      </w:r>
    </w:p>
    <w:p>
      <w:pPr>
        <w:rPr>
          <w:rFonts w:eastAsia="Arial Unicode MS"/>
          <w:noProof/>
        </w:rPr>
      </w:pPr>
      <w:r>
        <w:rPr>
          <w:noProof/>
        </w:rPr>
        <w:t>Ņemot vērā Savienības budžeta un tā ieņēmumu daļā esošo pašu resursu būtību, pašu resursu sistēma un to pieejamība jāpārvalda no Savienības perspektīvas un to nav iespējams izdarīt dalībvalstu līmenī.</w:t>
      </w:r>
    </w:p>
    <w:p>
      <w:pPr>
        <w:rPr>
          <w:noProof/>
        </w:rPr>
      </w:pPr>
      <w:r>
        <w:rPr>
          <w:noProof/>
        </w:rPr>
        <w:t>Šis regulas priekšlikums papildina esošos noteikumus par resursu pieejamību, jo īpaši Regulu (ES, Euratom) Nr. 609/2014</w:t>
      </w:r>
      <w:r>
        <w:rPr>
          <w:rStyle w:val="FootnoteReference"/>
          <w:noProof/>
        </w:rPr>
        <w:footnoteReference w:id="6"/>
      </w:r>
      <w:r>
        <w:rPr>
          <w:noProof/>
        </w:rPr>
        <w:t xml:space="preserve">. </w:t>
      </w:r>
    </w:p>
    <w:p>
      <w:pPr>
        <w:rPr>
          <w:noProof/>
        </w:rPr>
      </w:pPr>
      <w:r>
        <w:rPr>
          <w:noProof/>
        </w:rPr>
        <w:t>Savienības un tās dalībvalstu interesēs ir nodrošināt, ka pašu resursu sistēma darbojas labi, un regulas priekšlikums ir izstrādāts, lai veicinātu sadarbību starp tām.</w:t>
      </w:r>
    </w:p>
    <w:p>
      <w:pPr>
        <w:pStyle w:val="ManualHeading1"/>
        <w:rPr>
          <w:noProof/>
        </w:rPr>
      </w:pPr>
      <w:r>
        <w:lastRenderedPageBreak/>
        <w:t>3.</w:t>
      </w:r>
      <w:r>
        <w:tab/>
      </w:r>
      <w:r>
        <w:rPr>
          <w:i/>
          <w:noProof/>
        </w:rPr>
        <w:t>Ex post</w:t>
      </w:r>
      <w:r>
        <w:rPr>
          <w:noProof/>
        </w:rPr>
        <w:t xml:space="preserve"> izvērtējumu, apspriešanās ar ieinteresētajām personām un ietekmes novērtējumu rezultāti</w:t>
      </w:r>
    </w:p>
    <w:p>
      <w:pPr>
        <w:rPr>
          <w:noProof/>
        </w:rPr>
      </w:pPr>
      <w:r>
        <w:rPr>
          <w:noProof/>
        </w:rPr>
        <w:t>Šis priekšlikums ir daļa no tiesību aktu paketes par pašu resursiem 2021.–2027. gadam. Lai vienkāršotu pievienotās vērtības nodokļa pašu resursus, būtu jāgroza pašreizējā Pievienotās vērtības nodokļa pašu resursu regula.</w:t>
      </w:r>
    </w:p>
    <w:p>
      <w:pPr>
        <w:rPr>
          <w:noProof/>
        </w:rPr>
      </w:pPr>
      <w:r>
        <w:rPr>
          <w:noProof/>
        </w:rPr>
        <w:t>Paskaidrojuma rakstā par priekšlikumu jaunam Lēmumam par pašu resursiem sniegta plašāka informācija par nesenajiem ziņojumiem un dokumentiem, kuros analizēta vajadzība reformēt pašu resursu sistēmu.</w:t>
      </w:r>
    </w:p>
    <w:p>
      <w:pPr>
        <w:rPr>
          <w:noProof/>
        </w:rPr>
      </w:pPr>
      <w:r>
        <w:rPr>
          <w:noProof/>
        </w:rPr>
        <w:t>Šis priekšlikums nav saistīts ar Normatīvās atbilstības programmu. Tā mērķgrupa ir dalībvalstis, nevis mikrouzņēmumi, mazie un vidējie uzņēmumi vai citas ieinteresētās personas. Principā tas ir neitrāls attiecībā uz Savienības nozaru konkurētspēju un starptautisko tirdzniecību. Priekšlikumam nav ietekmes uz pamattiesību aizsardzību.</w:t>
      </w:r>
    </w:p>
    <w:p>
      <w:pPr>
        <w:pStyle w:val="ManualHeading1"/>
        <w:rPr>
          <w:noProof/>
        </w:rPr>
      </w:pPr>
      <w:r>
        <w:t>4.</w:t>
      </w:r>
      <w:r>
        <w:tab/>
      </w:r>
      <w:r>
        <w:rPr>
          <w:noProof/>
        </w:rPr>
        <w:t>Ietekme uz budžetu</w:t>
      </w:r>
    </w:p>
    <w:p>
      <w:pPr>
        <w:pBdr>
          <w:top w:val="nil"/>
          <w:left w:val="nil"/>
          <w:bottom w:val="nil"/>
          <w:right w:val="nil"/>
          <w:between w:val="nil"/>
          <w:bar w:val="nil"/>
        </w:pBdr>
        <w:spacing w:before="0" w:after="240"/>
        <w:rPr>
          <w:noProof/>
        </w:rPr>
      </w:pPr>
      <w:r>
        <w:rPr>
          <w:noProof/>
        </w:rPr>
        <w:t>Tas, kāda ietekme uz budžetu ir šim priekšlikumam un tiesību aktu paketei par pašu resursiem, sīki izklāstīts priekšlikumam par jaunu Pašu resursu pieejamības regulu</w:t>
      </w:r>
      <w:r>
        <w:rPr>
          <w:rStyle w:val="FootnoteReference"/>
          <w:noProof/>
        </w:rPr>
        <w:footnoteReference w:id="7"/>
      </w:r>
      <w:r>
        <w:rPr>
          <w:noProof/>
        </w:rPr>
        <w:t xml:space="preserve"> pievienotajā tiesību akta finanšu pārskatā. Reformēto pašu resursu sistēmu, tostarp reformēto pievienotās vērtības nodokļa sistēmu, var īstenot ar tāda paša līmeņa administratīvajām apropriācijām un cilvēkresursiem kā pašreizējo sistēmu. </w:t>
      </w:r>
    </w:p>
    <w:p>
      <w:pPr>
        <w:pStyle w:val="ManualHeading1"/>
        <w:rPr>
          <w:noProof/>
        </w:rPr>
      </w:pPr>
      <w:r>
        <w:t>5.</w:t>
      </w:r>
      <w:r>
        <w:tab/>
      </w:r>
      <w:r>
        <w:rPr>
          <w:noProof/>
        </w:rPr>
        <w:t>Citi elementi</w:t>
      </w:r>
    </w:p>
    <w:p>
      <w:pPr>
        <w:rPr>
          <w:noProof/>
          <w:color w:val="000000"/>
        </w:rPr>
      </w:pPr>
      <w:r>
        <w:rPr>
          <w:noProof/>
          <w:color w:val="000000"/>
        </w:rPr>
        <w:t>Šīs regulas piemērošana, tāpat kā patlaban, tiks regulāri apspriesta Padomdevējā komitejā pašu resursu jautājumos.</w:t>
      </w:r>
    </w:p>
    <w:p>
      <w:pPr>
        <w:rPr>
          <w:noProof/>
          <w:color w:val="000000"/>
        </w:rPr>
      </w:pPr>
      <w:r>
        <w:rPr>
          <w:noProof/>
          <w:color w:val="000000"/>
        </w:rPr>
        <w:t>Komisijas priekšlikuma kopsavilkums ir šāds.</w:t>
      </w:r>
    </w:p>
    <w:p>
      <w:pPr>
        <w:keepNext/>
        <w:spacing w:before="240"/>
        <w:rPr>
          <w:noProof/>
          <w:color w:val="000000"/>
        </w:rPr>
      </w:pPr>
      <w:r>
        <w:rPr>
          <w:noProof/>
          <w:color w:val="000000"/>
        </w:rPr>
        <w:t>Ar priekšlikuma 1. panta 1. punktu atceļ Regulas (EEK, Euratom) Nr. 1553/89 iepriekšējo iedalījumu 6 sadaļās.</w:t>
      </w:r>
    </w:p>
    <w:p>
      <w:pPr>
        <w:spacing w:before="240"/>
        <w:rPr>
          <w:b/>
          <w:noProof/>
          <w:color w:val="000000"/>
        </w:rPr>
      </w:pPr>
      <w:r>
        <w:rPr>
          <w:noProof/>
        </w:rPr>
        <w:t>Ar priekšlikuma 1. panta 2. punktu Regulas (EEK, Euratom) Nr. 1553/89 1. pantu groza šādi.</w:t>
      </w:r>
    </w:p>
    <w:p>
      <w:pPr>
        <w:pStyle w:val="Tiret0"/>
        <w:numPr>
          <w:ilvl w:val="0"/>
          <w:numId w:val="13"/>
        </w:numPr>
        <w:ind w:left="851"/>
        <w:rPr>
          <w:noProof/>
        </w:rPr>
      </w:pPr>
      <w:r>
        <w:rPr>
          <w:noProof/>
        </w:rPr>
        <w:t>Regulas 1. pantu atjaunina, lai atspoguļotu to, ka, aprēķinot pievienotās vērtības nodokļa pašu resursus, galvenā uzmanība jāpievērš piegādēm galapatēriņam, kurām piemēro pamatlikmi. Tajā arī dota atsauce uz vienoto piesaistīšanas likmi, kas minēta ierosinātajā jaunajā Lēmumā par pašu resursiem. Pievienotās vērtības nodokļa pamatlikme būtu jāsaprot kā pievienotās vērtības nodokļa likme, kas minēta Padomes Direktīvas 2006/112/EK par kopējo pievienotās vērtības nodokļa sistēmu</w:t>
      </w:r>
      <w:r>
        <w:rPr>
          <w:rStyle w:val="FootnoteReference"/>
          <w:noProof/>
        </w:rPr>
        <w:footnoteReference w:id="8"/>
      </w:r>
      <w:r>
        <w:rPr>
          <w:noProof/>
        </w:rPr>
        <w:t xml:space="preserve"> 96. pantā.</w:t>
      </w:r>
    </w:p>
    <w:p>
      <w:pPr>
        <w:rPr>
          <w:noProof/>
        </w:rPr>
      </w:pPr>
      <w:r>
        <w:rPr>
          <w:noProof/>
        </w:rPr>
        <w:t xml:space="preserve">Ar priekšlikuma 1. panta 3. punktu svītro Regulas (EEK, Euratom) Nr. 1553/89 2. pantu. </w:t>
      </w:r>
    </w:p>
    <w:p>
      <w:pPr>
        <w:pStyle w:val="Tiret0"/>
        <w:rPr>
          <w:noProof/>
        </w:rPr>
      </w:pPr>
      <w:r>
        <w:rPr>
          <w:noProof/>
        </w:rPr>
        <w:t>Normatīvā daļa pārcelta uz 3. pantu, savukārt nenormatīvie noteikumi, kas nosaka satvaru, tagad ir ietverti apsvērumos.</w:t>
      </w:r>
    </w:p>
    <w:p>
      <w:pPr>
        <w:spacing w:before="240"/>
        <w:rPr>
          <w:b/>
          <w:noProof/>
          <w:color w:val="000000"/>
        </w:rPr>
      </w:pPr>
      <w:r>
        <w:rPr>
          <w:noProof/>
        </w:rPr>
        <w:t>Ar priekšlikuma 1. panta 4. punktu Regulas (EEK, Euratom) Nr. 1553/89 3. un 4. pantu aizstāj šādi.</w:t>
      </w:r>
    </w:p>
    <w:p>
      <w:pPr>
        <w:pStyle w:val="Tiret0"/>
        <w:numPr>
          <w:ilvl w:val="0"/>
          <w:numId w:val="5"/>
        </w:numPr>
        <w:rPr>
          <w:noProof/>
        </w:rPr>
      </w:pPr>
      <w:r>
        <w:rPr>
          <w:noProof/>
        </w:rPr>
        <w:t>Regulas 3. panta 1. punkts: lai nodrošinātu neapšaubāmu un uzticamu datu avotu, uz pievienotās vērtības nodokļa pamatlikmes pamatoto pašu resursu bāze aprēķināma no kopējiem pievienotās vērtības nodokļa tīrajiem ieņēmumiem, kurus katra dalībvalsts iekasējusi kalendārā gada laikā un kuri koriģēti, ņemot vērā konkrētus teritoriālus aspektus, kas uzskaitīti Pievienotās vērtības nodokļa direktīvā.</w:t>
      </w:r>
    </w:p>
    <w:p>
      <w:pPr>
        <w:pStyle w:val="Tiret0"/>
        <w:numPr>
          <w:ilvl w:val="0"/>
          <w:numId w:val="5"/>
        </w:numPr>
        <w:rPr>
          <w:noProof/>
        </w:rPr>
      </w:pPr>
      <w:r>
        <w:rPr>
          <w:noProof/>
        </w:rPr>
        <w:t>Regulas 3. panta 2. punkts: lai iegūtu piegādes galapatēriņam, kurām piemēro pamatlikmi, koriģētos tīros ieņēmumus reizina ar kopējo Savienības daļu.</w:t>
      </w:r>
    </w:p>
    <w:p>
      <w:pPr>
        <w:pStyle w:val="Tiret0"/>
        <w:numPr>
          <w:ilvl w:val="0"/>
          <w:numId w:val="5"/>
        </w:numPr>
        <w:rPr>
          <w:noProof/>
        </w:rPr>
      </w:pPr>
      <w:r>
        <w:rPr>
          <w:noProof/>
        </w:rPr>
        <w:t>Regulas 3. panta 3. punkts: tā kā dalībvalstis piemēro dažādas pamatlikmes, ieņēmumus nevar izmantot, lai piemērotu vienoto piesaistīšanas likmi. Tāpēc piegādes galapatēriņam, kurām piemēro pamatlikmi, būtu jādala ar dalībvalsts pamatlikmi, lai tādējādi iegūtu uz pievienotās vērtības nodokļa pamatlikmes pamatoto bāzi.</w:t>
      </w:r>
    </w:p>
    <w:p>
      <w:pPr>
        <w:pStyle w:val="Tiret0"/>
        <w:numPr>
          <w:ilvl w:val="0"/>
          <w:numId w:val="5"/>
        </w:numPr>
        <w:rPr>
          <w:noProof/>
        </w:rPr>
      </w:pPr>
      <w:r>
        <w:rPr>
          <w:noProof/>
        </w:rPr>
        <w:t>Regulas 3. panta 4. punkts: lai iegūtu uz pievienotās vērtības nodokļa pamatlikmes pamatotos pašu resursus, kas uzkrājas ES budžetā, uz pievienotās vērtības nodokļa pamatlikmes pamatotajai bāzei piemēro vienoto piesaistīšanas likmi.</w:t>
      </w:r>
    </w:p>
    <w:p>
      <w:pPr>
        <w:pStyle w:val="Tiret0"/>
        <w:numPr>
          <w:ilvl w:val="0"/>
          <w:numId w:val="5"/>
        </w:numPr>
        <w:rPr>
          <w:noProof/>
        </w:rPr>
      </w:pPr>
      <w:r>
        <w:rPr>
          <w:noProof/>
        </w:rPr>
        <w:t>Regulas 3. panta 5. punkts: ja dalībvalsts pārkāpj Pievienotās vērtības nodokļa direktīvu, iekasētie pievienotās vērtības nodokļa tīrie ieņēmumi būtu jākoriģē, lai nodrošinātu vienādu attieksmi pret dalībvalstīm.</w:t>
      </w:r>
    </w:p>
    <w:p>
      <w:pPr>
        <w:pStyle w:val="Tiret0"/>
        <w:numPr>
          <w:ilvl w:val="0"/>
          <w:numId w:val="5"/>
        </w:numPr>
        <w:rPr>
          <w:noProof/>
        </w:rPr>
      </w:pPr>
      <w:r>
        <w:rPr>
          <w:noProof/>
        </w:rPr>
        <w:t xml:space="preserve">Regulas 4. pants: ja dalībvalsts, ievērojot pareizu procedūru, izlemj mainīt savu pievienotās vērtības nodokļa pamatlikmi, 4. pantā paredzēta standarta metode, kuras mērķis ir ņemt vērā šīs izmaiņas. Metode ņem vērā likmes pirms un pēc izmaiņām. </w:t>
      </w:r>
    </w:p>
    <w:p>
      <w:pPr>
        <w:spacing w:before="240"/>
        <w:rPr>
          <w:b/>
          <w:noProof/>
          <w:color w:val="000000"/>
        </w:rPr>
      </w:pPr>
      <w:r>
        <w:rPr>
          <w:noProof/>
        </w:rPr>
        <w:t>Ar priekšlikuma 1. panta 5. punktu svītro Regulas (EEK, Euratom) Nr. 1553/89 5. un 6. pantu.</w:t>
      </w:r>
    </w:p>
    <w:p>
      <w:pPr>
        <w:pStyle w:val="Tiret0"/>
        <w:numPr>
          <w:ilvl w:val="0"/>
          <w:numId w:val="5"/>
        </w:numPr>
        <w:rPr>
          <w:noProof/>
        </w:rPr>
      </w:pPr>
      <w:r>
        <w:rPr>
          <w:noProof/>
        </w:rPr>
        <w:t xml:space="preserve">Regulas 5. un 6. pantu svītro, jo priekšlikums paredz korekcijas izmantot minimāli un neparedz kompensācijas. </w:t>
      </w:r>
    </w:p>
    <w:p>
      <w:pPr>
        <w:spacing w:before="240"/>
        <w:rPr>
          <w:b/>
          <w:noProof/>
          <w:color w:val="000000"/>
        </w:rPr>
      </w:pPr>
      <w:bookmarkStart w:id="1" w:name="_CopyToNewDocument_"/>
      <w:bookmarkEnd w:id="1"/>
      <w:r>
        <w:rPr>
          <w:noProof/>
        </w:rPr>
        <w:t>Ar priekšlikuma 1. panta 6. punktu Regulas (EEK, Euratom) Nr. 1553/89 7. pantu groza šādi.</w:t>
      </w:r>
    </w:p>
    <w:p>
      <w:pPr>
        <w:pStyle w:val="Tiret0"/>
        <w:numPr>
          <w:ilvl w:val="0"/>
          <w:numId w:val="5"/>
        </w:numPr>
        <w:rPr>
          <w:noProof/>
        </w:rPr>
      </w:pPr>
      <w:r>
        <w:rPr>
          <w:noProof/>
        </w:rPr>
        <w:t xml:space="preserve">Regulas 7. pants gandrīz nav mainīts. Angļu valodas redakcijā 1. punkta sākumā vārds “before” aizstāts ar vārdu “by”, bet latviešu valodas redakcija paliek bez izmaiņām, jo tekstā jau ir teikts “līdz 31. jūlijam”. Panta 2. punktā konsekvences labad ietvertas izmaiņas, kas saistītas ar 5. un 6. panta svītrošanu un 11. panta pārcelšanu uz Padomes Regulas (ES, Euratom) Nr. 20xx/xxxx 4. panta 7. punktu. </w:t>
      </w:r>
    </w:p>
    <w:p>
      <w:pPr>
        <w:spacing w:before="240"/>
        <w:rPr>
          <w:b/>
          <w:noProof/>
          <w:color w:val="000000"/>
        </w:rPr>
      </w:pPr>
      <w:r>
        <w:rPr>
          <w:noProof/>
        </w:rPr>
        <w:t>Ar priekšlikuma 1. panta 7. punktu aizstāj Regulas (EEK, Euratom) Nr. 1553/89 8. pantu.</w:t>
      </w:r>
    </w:p>
    <w:p>
      <w:pPr>
        <w:pStyle w:val="Tiret0"/>
        <w:numPr>
          <w:ilvl w:val="0"/>
          <w:numId w:val="5"/>
        </w:numPr>
        <w:rPr>
          <w:noProof/>
        </w:rPr>
      </w:pPr>
      <w:r>
        <w:rPr>
          <w:noProof/>
        </w:rPr>
        <w:t>Regulas 8. pants būtībā nav mainīts. Termins “PVN resursu bāze” tiek aizstāts ar terminu “uz pievienotās vērtības nodokļa pamatlikmes pamatotā resursu bāze”.</w:t>
      </w:r>
    </w:p>
    <w:p>
      <w:pPr>
        <w:spacing w:before="240"/>
        <w:rPr>
          <w:noProof/>
        </w:rPr>
      </w:pPr>
      <w:r>
        <w:rPr>
          <w:noProof/>
        </w:rPr>
        <w:t>Ar priekšlikuma 1. panta 8. punktu aizstāj Regulas (EEK, Euratom) Nr. 1553/89 10. pantu.</w:t>
      </w:r>
    </w:p>
    <w:p>
      <w:pPr>
        <w:pStyle w:val="Tiret0"/>
        <w:numPr>
          <w:ilvl w:val="0"/>
          <w:numId w:val="5"/>
        </w:numPr>
        <w:rPr>
          <w:noProof/>
        </w:rPr>
      </w:pPr>
      <w:r>
        <w:rPr>
          <w:noProof/>
        </w:rPr>
        <w:t>Regulas 10. pants būtībā nav mainīts, bet tiek grozīts, lai atspoguļotu šā priekšlikuma darbības jomu. Atsauces uz 5. un 6. pantu ir svītrotas, jo ir ierosināts vairs neizmantot kompensācijas un dažas korekcijas. Lai vienkāršotu procedūru, 10. panta 2. punktā frāze “Komisija [..] pārbauda [..]” aizstāta ar frāzi “Komisija var pieņemt [..]”.</w:t>
      </w:r>
    </w:p>
    <w:p>
      <w:pPr>
        <w:spacing w:before="240"/>
        <w:rPr>
          <w:noProof/>
        </w:rPr>
      </w:pPr>
      <w:r>
        <w:rPr>
          <w:noProof/>
        </w:rPr>
        <w:t>Ar priekšlikuma 1. panta 9. punktu Regulas (EEK, Euratom) Nr. 1553/89 11. pantu groza šādi.</w:t>
      </w:r>
    </w:p>
    <w:p>
      <w:pPr>
        <w:pStyle w:val="Tiret0"/>
        <w:numPr>
          <w:ilvl w:val="0"/>
          <w:numId w:val="5"/>
        </w:numPr>
        <w:rPr>
          <w:noProof/>
        </w:rPr>
      </w:pPr>
      <w:r>
        <w:rPr>
          <w:noProof/>
        </w:rPr>
        <w:t>Regulas 11. pants: 11. panta 1. punkts ir pārcelts uz Padomes Regulas (ES, Euratom) Nr. 20xx/xxxx 4. panta 7. punktu. Pārceltais teksts principā nav mainīts, bet ir pielāgots, lai atspoguļotu to, ka vidējā svērtā likme šajā priekšlikumā nav iekļauta. 11. panta 3. punkts ir pārformulēts, lai atspoguļotu kontroles noteikumu pārcelšanu uz Padomes Regulu (ES, Euratom) Nr. 20xx/xxxx.</w:t>
      </w:r>
    </w:p>
    <w:p>
      <w:pPr>
        <w:spacing w:before="240"/>
        <w:rPr>
          <w:noProof/>
        </w:rPr>
      </w:pPr>
      <w:r>
        <w:rPr>
          <w:noProof/>
        </w:rPr>
        <w:t>Ar priekšlikuma 1. panta 10. punktu Regulas (EEK, Euratom) Nr. 1553/89 12. pantu groza šādi.</w:t>
      </w:r>
    </w:p>
    <w:p>
      <w:pPr>
        <w:pStyle w:val="Tiret0"/>
        <w:numPr>
          <w:ilvl w:val="0"/>
          <w:numId w:val="5"/>
        </w:numPr>
        <w:rPr>
          <w:noProof/>
        </w:rPr>
      </w:pPr>
      <w:r>
        <w:rPr>
          <w:noProof/>
        </w:rPr>
        <w:t>Regulas 12. pants būtībā nav mainīts, bet ir grozīts, lai atspoguļotu priekšlikuma darbības jomu. Dalībvalstīm ir izvirzīta prasība informāciju par pievienotās vērtības nodokļa iekasēšanu sniegt vispārīgākā veidā un tikai par būtiskām izmaiņām pievienotās vērtības nodokļa iekasēšanas administratīvajos procesos un procedūrās. Laikposms, kurā sniedzams ziņojums Komisijai, ir saskaņots ar citiem laikposmiem, kas noteikti citās nodokļu jomas regulās un direktīvās. Lai novērtētu pievienotās vērtības nodokļa iekasēšanas procedūru efektivitāti, svarīgāk ir ziņot, nevis par pašām procedūrām, bet gan par uzlabojumiem, ko dalībvalstis panākušas pievienotās vērtības nodokļa iekasēšanā. Teksts ir attiecīgi grozīts.</w:t>
      </w:r>
    </w:p>
    <w:p>
      <w:pPr>
        <w:spacing w:before="240"/>
        <w:rPr>
          <w:noProof/>
        </w:rPr>
      </w:pPr>
      <w:r>
        <w:rPr>
          <w:noProof/>
        </w:rPr>
        <w:t>Ar priekšlikuma 1. panta 11. punktu aizstāj Regulas (EEK, Euratom) Nr. 1553/89 13. pantu.</w:t>
      </w:r>
    </w:p>
    <w:p>
      <w:pPr>
        <w:pStyle w:val="Tiret0"/>
        <w:numPr>
          <w:ilvl w:val="0"/>
          <w:numId w:val="5"/>
        </w:numPr>
        <w:rPr>
          <w:noProof/>
        </w:rPr>
      </w:pPr>
      <w:r>
        <w:rPr>
          <w:noProof/>
        </w:rPr>
        <w:t>Regulas 13. pants: šis pants ir grozīts, lai atspoguļotu priekšlikuma darbības jomu. Tas ir panākts, svītrojot atsauces uz “atļauju”.</w:t>
      </w:r>
    </w:p>
    <w:p>
      <w:pPr>
        <w:spacing w:before="240"/>
        <w:rPr>
          <w:b/>
          <w:noProof/>
          <w:color w:val="000000"/>
        </w:rPr>
      </w:pPr>
      <w:r>
        <w:rPr>
          <w:noProof/>
        </w:rPr>
        <w:t>Priekšlikuma 2. pants attiecas uz regulas stāšanos spēkā, piemērošanu un piemērošanu ar atpakaļejošu spēku, kā arī tās ietekmi uz pievienotās vērtības nodokļa pašu resursu režīmu.</w:t>
      </w:r>
    </w:p>
    <w:p>
      <w:pPr>
        <w:rPr>
          <w:noProof/>
        </w:rPr>
      </w:pPr>
      <w:r>
        <w:rPr>
          <w:noProof/>
        </w:rPr>
        <w:t>Šai regulai būtu jāstājas spēkā vienlaicīgi ar jauno Lēmumu par pašu resursiem. Plānots, ka jauno pievienotās vērtības nodokļa pašu resursu režīmu piemēros ar atpakaļejošu spēku no perioda sākuma, t. i., no 2021. gada 1. janvāra, tādējādi, koriģējot pirms minētā datuma sagatavotos pārskatus, tiks ievēroti tajā laikā spēkā esošie noteikumi.</w:t>
      </w:r>
    </w:p>
    <w:p>
      <w:pPr>
        <w:rPr>
          <w:noProof/>
        </w:rPr>
      </w:pPr>
      <w:r>
        <w:rPr>
          <w:noProof/>
        </w:rPr>
        <w:t>Visbeidzot, ir veiktas vispārējas terminoloģijas izmaiņas, proti, termins “PVN resursi” mainīts uz terminu “pievienotās vērtības nodokļa pašu resursi”.</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2018/0133 (NLE)</w:t>
      </w:r>
    </w:p>
    <w:p>
      <w:pPr>
        <w:pStyle w:val="Statut"/>
        <w:rPr>
          <w:noProof/>
        </w:rPr>
      </w:pPr>
      <w:r>
        <w:rPr>
          <w:noProof/>
        </w:rPr>
        <w:t>Priekšlikums</w:t>
      </w:r>
    </w:p>
    <w:p>
      <w:pPr>
        <w:pStyle w:val="Typedudocument"/>
        <w:rPr>
          <w:noProof/>
        </w:rPr>
      </w:pPr>
      <w:r>
        <w:rPr>
          <w:noProof/>
        </w:rPr>
        <w:t>PADOMES REGULA,</w:t>
      </w:r>
    </w:p>
    <w:p>
      <w:pPr>
        <w:pStyle w:val="Titreobjet"/>
        <w:rPr>
          <w:noProof/>
        </w:rPr>
      </w:pPr>
      <w:r>
        <w:rPr>
          <w:noProof/>
        </w:rPr>
        <w:t>ar ko izdara grozījumus Regulā (EEK, Euratom) Nr. 1553/89 par galīgajiem vienotajiem pasākumiem, lai iekasētu pašu resursus, ko veido pievienotās vērtības nodokļi</w:t>
      </w:r>
    </w:p>
    <w:p>
      <w:pPr>
        <w:pStyle w:val="Institutionquiagit"/>
        <w:rPr>
          <w:noProof/>
        </w:rPr>
      </w:pPr>
      <w:r>
        <w:rPr>
          <w:noProof/>
        </w:rPr>
        <w:t>EIROPAS SAVIENĪBAS PADOME,</w:t>
      </w:r>
    </w:p>
    <w:p>
      <w:pPr>
        <w:rPr>
          <w:noProof/>
        </w:rPr>
      </w:pPr>
      <w:r>
        <w:rPr>
          <w:noProof/>
        </w:rPr>
        <w:t>ņemot vērā Līgumu par Eiropas Savienības darbību un jo īpaši tā 322. panta 2. punktu,</w:t>
      </w:r>
    </w:p>
    <w:p>
      <w:pPr>
        <w:rPr>
          <w:noProof/>
        </w:rPr>
      </w:pPr>
      <w:r>
        <w:rPr>
          <w:noProof/>
        </w:rPr>
        <w:t>ņemot vērā Eiropas Atomenerģijas kopienas dibināšanas līgumu un jo īpaši tā 106.a pantu,</w:t>
      </w:r>
    </w:p>
    <w:p>
      <w:pPr>
        <w:rPr>
          <w:noProof/>
        </w:rPr>
      </w:pPr>
      <w:r>
        <w:rPr>
          <w:noProof/>
        </w:rPr>
        <w:t>ņemot vērā Eiropas Komisijas priekšlikumu,</w:t>
      </w:r>
    </w:p>
    <w:p>
      <w:pPr>
        <w:rPr>
          <w:noProof/>
        </w:rPr>
      </w:pPr>
      <w:r>
        <w:rPr>
          <w:noProof/>
        </w:rPr>
        <w:t>ņemot vērā Eiropas Parlamenta atzinumu</w:t>
      </w:r>
      <w:r>
        <w:rPr>
          <w:rStyle w:val="FootnoteReference"/>
          <w:noProof/>
        </w:rPr>
        <w:footnoteReference w:id="9"/>
      </w:r>
      <w:r>
        <w:rPr>
          <w:noProof/>
        </w:rPr>
        <w:t>,</w:t>
      </w:r>
    </w:p>
    <w:p>
      <w:pPr>
        <w:rPr>
          <w:noProof/>
        </w:rPr>
      </w:pPr>
      <w:r>
        <w:rPr>
          <w:noProof/>
        </w:rPr>
        <w:t>ņemot vērā Eiropas Revīzijas palātas atzinumu</w:t>
      </w:r>
      <w:r>
        <w:rPr>
          <w:rStyle w:val="FootnoteReference"/>
          <w:noProof/>
        </w:rPr>
        <w:footnoteReference w:id="10"/>
      </w:r>
      <w:r>
        <w:rPr>
          <w:noProof/>
        </w:rPr>
        <w:t>,</w:t>
      </w:r>
    </w:p>
    <w:p>
      <w:pPr>
        <w:rPr>
          <w:noProof/>
        </w:rPr>
      </w:pPr>
      <w:r>
        <w:rPr>
          <w:noProof/>
        </w:rPr>
        <w:t>tā kā:</w:t>
      </w:r>
    </w:p>
    <w:p>
      <w:pPr>
        <w:pStyle w:val="ManualConsidrant"/>
        <w:rPr>
          <w:noProof/>
        </w:rPr>
      </w:pPr>
      <w:r>
        <w:t>(1)</w:t>
      </w:r>
      <w:r>
        <w:tab/>
      </w:r>
      <w:r>
        <w:rPr>
          <w:noProof/>
        </w:rPr>
        <w:t>Savienības pašu resursus, kuru pamatā ir daļa no pievienotās vērtības nodokļa un kuri minēti Padomes Lēmuma 20xx/xxxx/ES, Euratom</w:t>
      </w:r>
      <w:r>
        <w:rPr>
          <w:rStyle w:val="FootnoteReference"/>
          <w:noProof/>
        </w:rPr>
        <w:footnoteReference w:id="11"/>
      </w:r>
      <w:r>
        <w:rPr>
          <w:noProof/>
        </w:rPr>
        <w:t xml:space="preserve"> 2. panta 1. punkta b) apakšpunktā (“uz pievienotās vērtības nodokļa pamatlikmes pamatotie pašu resursi”), vajadzētu darīt pieejamus Savienībai ar iespējami vislabākajiem nosacījumiem. Tādēļ būtu jāparedz noteikumi, saskaņā ar kuriem dalībvalstis šos resursus dara pieejamus Savienības budžetam.</w:t>
      </w:r>
    </w:p>
    <w:p>
      <w:pPr>
        <w:pStyle w:val="ManualConsidrant"/>
        <w:rPr>
          <w:noProof/>
        </w:rPr>
      </w:pPr>
      <w:r>
        <w:t>(2)</w:t>
      </w:r>
      <w:r>
        <w:tab/>
      </w:r>
      <w:r>
        <w:rPr>
          <w:noProof/>
        </w:rPr>
        <w:t>Vienkāršības un pārredzamības labad un lai samazinātu administratīvo slogu, uz pievienotās vērtības nodokļa pamatlikmes pamatotie pašu resursi būtu jāaprēķina, balstoties uz kopēju Savienības daļu no darījumiem, kuriem piemēro pamatlikmi. Minētajai daļai vajadzētu būt vidējam rādītājam, kas aplēsts no tādu piegāžu galapatēriņam, kurām piemēro pamatlikmi, mazākajām daļām dalībvalstīs piecu gadu laikposmā, kas aprēķinātas, izmantojot nacionālos kontus un fiskālos datus, kurus apstiprinājusi Padomdevēja komiteja pašu resursu jautājumos.</w:t>
      </w:r>
    </w:p>
    <w:p>
      <w:pPr>
        <w:pStyle w:val="ManualConsidrant"/>
        <w:rPr>
          <w:noProof/>
        </w:rPr>
      </w:pPr>
      <w:r>
        <w:t>(3)</w:t>
      </w:r>
      <w:r>
        <w:tab/>
      </w:r>
      <w:r>
        <w:rPr>
          <w:noProof/>
        </w:rPr>
        <w:t xml:space="preserve">Kārtība, kādā aprēķina uz pievienotās vērtības nodokļa pamatlikmes pamatoto pašu resursu bāzi, būtu jānosaka vienādi, sākot no faktiski iekasētajiem ieņēmumiem katrā attiecīgajā kalendārajā gadā, kā vienīgā galīgā metode, ar ko nosaka uz pievienotās vērtības nodokļa pamatlikmes pamatoto pašu resursu bāzi. </w:t>
      </w:r>
    </w:p>
    <w:p>
      <w:pPr>
        <w:pStyle w:val="ManualConsidrant"/>
        <w:rPr>
          <w:noProof/>
        </w:rPr>
      </w:pPr>
      <w:r>
        <w:t>(4)</w:t>
      </w:r>
      <w:r>
        <w:tab/>
      </w:r>
      <w:r>
        <w:rPr>
          <w:noProof/>
        </w:rPr>
        <w:t>Tāpēc ir lietderīgi attiecīgi grozīt Regulu (EEK, Euratom) Nr. 1553/89.</w:t>
      </w:r>
    </w:p>
    <w:p>
      <w:pPr>
        <w:pStyle w:val="ManualConsidrant"/>
        <w:rPr>
          <w:noProof/>
        </w:rPr>
      </w:pPr>
      <w:r>
        <w:t>(5)</w:t>
      </w:r>
      <w:r>
        <w:tab/>
      </w:r>
      <w:r>
        <w:rPr>
          <w:noProof/>
        </w:rPr>
        <w:t>Konsekvences labad šai regulai būtu jāstājas spēkā tajā pašā dienā, kad stājas spēkā Lēmums 20xx/xxxx/ES, Euratom, un tā būtu jāpiemēro no 2021. gada 1. janvāra. Tomēr Regulas (EEK, Euratom) Nr. 1553/89 grozījumi nebūtu jāpiemēro, lai koriģētu pārskatus par pievienotās vērtības nodokļa pašu resursu bāzi attiecībā uz finanšu gadiem pirms 2021. gada,</w:t>
      </w:r>
    </w:p>
    <w:p>
      <w:pPr>
        <w:pStyle w:val="Formuledadoption"/>
        <w:rPr>
          <w:noProof/>
        </w:rPr>
      </w:pPr>
      <w:r>
        <w:rPr>
          <w:noProof/>
        </w:rPr>
        <w:t>IR PIEŅĒMUSI ŠO REGULU.</w:t>
      </w:r>
    </w:p>
    <w:p>
      <w:pPr>
        <w:pStyle w:val="Titrearticle"/>
        <w:rPr>
          <w:noProof/>
        </w:rPr>
      </w:pPr>
      <w:r>
        <w:rPr>
          <w:noProof/>
        </w:rPr>
        <w:t>1. pants</w:t>
      </w:r>
    </w:p>
    <w:p>
      <w:pPr>
        <w:rPr>
          <w:noProof/>
        </w:rPr>
      </w:pPr>
      <w:r>
        <w:rPr>
          <w:noProof/>
        </w:rPr>
        <w:t>Regulu (EEK, Euratom) Nr. 1553/89 groza šādi:</w:t>
      </w:r>
    </w:p>
    <w:p>
      <w:pPr>
        <w:pStyle w:val="Point0number"/>
        <w:numPr>
          <w:ilvl w:val="0"/>
          <w:numId w:val="15"/>
        </w:numPr>
        <w:rPr>
          <w:noProof/>
        </w:rPr>
      </w:pPr>
      <w:r>
        <w:rPr>
          <w:noProof/>
        </w:rPr>
        <w:t>šādas apakšiedaļas un to virsrakstus svītro:</w:t>
      </w:r>
    </w:p>
    <w:p>
      <w:pPr>
        <w:pStyle w:val="Point1letter"/>
        <w:rPr>
          <w:noProof/>
        </w:rPr>
      </w:pPr>
      <w:r>
        <w:rPr>
          <w:noProof/>
        </w:rPr>
        <w:t>“I sadaļa. Vispārīgi noteikumi”;</w:t>
      </w:r>
    </w:p>
    <w:p>
      <w:pPr>
        <w:pStyle w:val="Point1letter"/>
        <w:rPr>
          <w:noProof/>
        </w:rPr>
      </w:pPr>
      <w:r>
        <w:rPr>
          <w:noProof/>
        </w:rPr>
        <w:t>“II sadaļa. Joma”;</w:t>
      </w:r>
    </w:p>
    <w:p>
      <w:pPr>
        <w:pStyle w:val="Point1letter"/>
        <w:rPr>
          <w:noProof/>
        </w:rPr>
      </w:pPr>
      <w:r>
        <w:rPr>
          <w:noProof/>
        </w:rPr>
        <w:t>“III sadaļa. Aprēķinu metode”;</w:t>
      </w:r>
    </w:p>
    <w:p>
      <w:pPr>
        <w:pStyle w:val="Point1letter"/>
        <w:rPr>
          <w:noProof/>
        </w:rPr>
      </w:pPr>
      <w:r>
        <w:rPr>
          <w:noProof/>
        </w:rPr>
        <w:t>“IV sadaļa. Noteikumi par pašu resursu uzskaiti un pieejamību”;</w:t>
      </w:r>
    </w:p>
    <w:p>
      <w:pPr>
        <w:pStyle w:val="Point1letter"/>
        <w:rPr>
          <w:noProof/>
        </w:rPr>
      </w:pPr>
      <w:r>
        <w:rPr>
          <w:noProof/>
        </w:rPr>
        <w:t>“V sadaļa. Noteikumi par kontroli”;</w:t>
      </w:r>
    </w:p>
    <w:p>
      <w:pPr>
        <w:pStyle w:val="Point1letter"/>
        <w:rPr>
          <w:noProof/>
        </w:rPr>
      </w:pPr>
      <w:r>
        <w:rPr>
          <w:noProof/>
        </w:rPr>
        <w:t>“VI sadaļa. Nobeiguma noteikumi”;</w:t>
      </w:r>
    </w:p>
    <w:p>
      <w:pPr>
        <w:pStyle w:val="Point0number"/>
        <w:rPr>
          <w:noProof/>
        </w:rPr>
      </w:pPr>
      <w:r>
        <w:rPr>
          <w:noProof/>
        </w:rPr>
        <w:t>regulas 1. pantu aizstāj ar šādu:</w:t>
      </w:r>
    </w:p>
    <w:p>
      <w:pPr>
        <w:pStyle w:val="Titrearticle"/>
        <w:rPr>
          <w:noProof/>
        </w:rPr>
      </w:pPr>
      <w:r>
        <w:rPr>
          <w:noProof/>
        </w:rPr>
        <w:t>“1. pants</w:t>
      </w:r>
    </w:p>
    <w:p>
      <w:pPr>
        <w:rPr>
          <w:noProof/>
        </w:rPr>
      </w:pPr>
      <w:r>
        <w:rPr>
          <w:noProof/>
        </w:rPr>
        <w:t>Uz pievienotās vērtības nodokļa pamatlikmes pamatotos pašu resursus aprēķina, vienoto piesaistīšanas likmi, kas noteikta saskaņā ar Padomes Lēmumu 20xx/xxxx/ES*, piemērojot uz pievienotās vērtības nodokļa pamatlikmes pamatoto pašu resursu bāzei, kas noteikta saskaņā ar šo regulu.</w:t>
      </w:r>
    </w:p>
    <w:p>
      <w:pPr>
        <w:pBdr>
          <w:bottom w:val="single" w:sz="6" w:space="1" w:color="auto"/>
        </w:pBdr>
        <w:rPr>
          <w:noProof/>
        </w:rPr>
      </w:pPr>
      <w:r>
        <w:rPr>
          <w:noProof/>
        </w:rPr>
        <w:t>Pievienotās vērtības nodokļa pamatlikme ir pievienotās vērtības nodokļa likme, kas minēta Padomes Direktīvas 2006/112/EK** 96. pantā.</w:t>
      </w:r>
    </w:p>
    <w:p>
      <w:pPr>
        <w:rPr>
          <w:noProof/>
        </w:rPr>
      </w:pPr>
      <w:r>
        <w:rPr>
          <w:noProof/>
        </w:rPr>
        <w:t>* Padomes [DATUMS] Lēmums 20xx/xxxx/ES, Euratom par Eiropas Savienības pašu resursu sistēmu (OV L [...], [...], [...]. lpp.).</w:t>
      </w:r>
    </w:p>
    <w:p>
      <w:pPr>
        <w:rPr>
          <w:noProof/>
        </w:rPr>
      </w:pPr>
      <w:r>
        <w:rPr>
          <w:noProof/>
        </w:rPr>
        <w:t>** Padomes Direktīva 2006/112/EK par kopējo pievienotās vērtības nodokļa sistēmu (OV L 347, 11.12.2006., 1. lpp.).”;</w:t>
      </w:r>
    </w:p>
    <w:p>
      <w:pPr>
        <w:pStyle w:val="Point0number"/>
        <w:rPr>
          <w:noProof/>
        </w:rPr>
      </w:pPr>
      <w:r>
        <w:rPr>
          <w:noProof/>
        </w:rPr>
        <w:t>regulas 2. pantu svītro;</w:t>
      </w:r>
    </w:p>
    <w:p>
      <w:pPr>
        <w:pStyle w:val="Point0number"/>
        <w:rPr>
          <w:noProof/>
        </w:rPr>
      </w:pPr>
      <w:r>
        <w:rPr>
          <w:noProof/>
        </w:rPr>
        <w:t>regulas 3. un 4. pantu aizstāj ar šādiem:</w:t>
      </w:r>
    </w:p>
    <w:p>
      <w:pPr>
        <w:pStyle w:val="Titrearticle"/>
        <w:rPr>
          <w:noProof/>
        </w:rPr>
      </w:pPr>
      <w:r>
        <w:rPr>
          <w:noProof/>
        </w:rPr>
        <w:t>“3. pants</w:t>
      </w:r>
    </w:p>
    <w:p>
      <w:pPr>
        <w:pStyle w:val="ManualNumPar1"/>
        <w:rPr>
          <w:noProof/>
        </w:rPr>
      </w:pPr>
      <w:r>
        <w:t>1.</w:t>
      </w:r>
      <w:r>
        <w:tab/>
      </w:r>
      <w:r>
        <w:rPr>
          <w:noProof/>
        </w:rPr>
        <w:t xml:space="preserve">Uz pievienotās vērtības nodokļa pamatlikmes pamatoto pašu resursu bāzi attiecīgajam kalendārajam gadam katra dalībvalsts aprēķina no kopējiem pievienotās vērtības nodokļa tīrajiem ieņēmumiem, kurus attiecīgā dalībvalsts tajā pašā kalendārajā gadā iekasējusi no Direktīvas 2006/112/EK 2. pantā minētajiem ar nodokli apliekamajiem darījumiem. Šo summu koriģē, lai ņemtu vērā šādas summas: </w:t>
      </w:r>
    </w:p>
    <w:p>
      <w:pPr>
        <w:pStyle w:val="Point1letter"/>
        <w:numPr>
          <w:ilvl w:val="3"/>
          <w:numId w:val="7"/>
        </w:numPr>
        <w:rPr>
          <w:noProof/>
        </w:rPr>
      </w:pPr>
      <w:r>
        <w:rPr>
          <w:noProof/>
        </w:rPr>
        <w:t>visas summas, kas pašu resursu vajadzībām uzskatāmas par darījumiem, kas sākas vai beidzas dalībvalstī, lai gan tie sākušies vai beigušies teritorijā, kas minēta Direktīvas 2006/112/EK 6. pantā;</w:t>
      </w:r>
    </w:p>
    <w:p>
      <w:pPr>
        <w:pStyle w:val="Point1letter"/>
        <w:rPr>
          <w:noProof/>
        </w:rPr>
      </w:pPr>
      <w:r>
        <w:rPr>
          <w:noProof/>
        </w:rPr>
        <w:t>visas summas, kas uzkrājušās kādā no Direktīvas 2006/112/EK 7. pantā minētajām teritorijām, ciktāl dalībvalstis var pierādīt, ka ieņēmumi ir pārskaitīti uz minēto teritoriju.</w:t>
      </w:r>
    </w:p>
    <w:p>
      <w:pPr>
        <w:pStyle w:val="ManualNumPar1"/>
        <w:rPr>
          <w:noProof/>
        </w:rPr>
      </w:pPr>
      <w:r>
        <w:t>2.</w:t>
      </w:r>
      <w:r>
        <w:tab/>
      </w:r>
      <w:r>
        <w:rPr>
          <w:noProof/>
        </w:rPr>
        <w:t>Summu, kas iegūta saskaņā ar 1. punktu, reizina ar 45 %.</w:t>
      </w:r>
    </w:p>
    <w:p>
      <w:pPr>
        <w:pStyle w:val="ManualNumPar1"/>
        <w:rPr>
          <w:noProof/>
        </w:rPr>
      </w:pPr>
      <w:r>
        <w:t>3.</w:t>
      </w:r>
      <w:r>
        <w:tab/>
      </w:r>
      <w:r>
        <w:rPr>
          <w:noProof/>
        </w:rPr>
        <w:t xml:space="preserve">Summu, kas iegūta saskaņā ar 2. punktu, dala ar pievienotās vērtības nodokļa pamatlikmi, ko attiecīgajā dalībvalstī saskaņā ar Direktīvu 2006/112/EK piemēroja tajā gadā, kad iekasēti pievienotās vērtības nodokļa ieņēmumi. </w:t>
      </w:r>
    </w:p>
    <w:p>
      <w:pPr>
        <w:pStyle w:val="ManualNumPar1"/>
        <w:rPr>
          <w:noProof/>
        </w:rPr>
      </w:pPr>
      <w:r>
        <w:t>4.</w:t>
      </w:r>
      <w:r>
        <w:tab/>
      </w:r>
      <w:r>
        <w:rPr>
          <w:noProof/>
        </w:rPr>
        <w:t>Lai iegūtu uz pievienotās vērtības nodokļa pamatlikmes pamatotos pašu resursus, kas jādara pieejami Savienības budžetam, summu, kas iegūta saskaņā ar 3. punktu, reizina ar vienoto piesaistīšanas likmi, kas minēta Padomes Regulas (ES, Euratom) Nr. 20xx/xxxx* 1. panta 1. punktā.</w:t>
      </w:r>
    </w:p>
    <w:p>
      <w:pPr>
        <w:pStyle w:val="ManualNumPar1"/>
        <w:rPr>
          <w:noProof/>
        </w:rPr>
      </w:pPr>
      <w:r>
        <w:t>5.</w:t>
      </w:r>
      <w:r>
        <w:tab/>
      </w:r>
      <w:r>
        <w:rPr>
          <w:noProof/>
        </w:rPr>
        <w:t>Ja noticis Direktīvas 2006/112/EK pārkāpums un tā rezultātā uz pievienotās vērtības nodokļa pamatlikmes pamatotie Savienības pašu resursi ir samazinājušies, Savienībai ir tiesības saņemt visu attiecīgo pašu resursu summu, pieskaitot procentus par kavējumu saskaņā ar Padomes Regulas (ES, Euratom) Nr. 609/2014** 12. pantu.</w:t>
      </w:r>
    </w:p>
    <w:p>
      <w:pPr>
        <w:pStyle w:val="Titrearticle"/>
        <w:rPr>
          <w:noProof/>
        </w:rPr>
      </w:pPr>
      <w:r>
        <w:rPr>
          <w:noProof/>
        </w:rPr>
        <w:t>4. pants</w:t>
      </w:r>
    </w:p>
    <w:p>
      <w:pPr>
        <w:pStyle w:val="ManualNumPar1"/>
        <w:rPr>
          <w:noProof/>
        </w:rPr>
      </w:pPr>
      <w:r>
        <w:t>1.</w:t>
      </w:r>
      <w:r>
        <w:tab/>
      </w:r>
      <w:r>
        <w:rPr>
          <w:noProof/>
        </w:rPr>
        <w:t xml:space="preserve">Uz pievienotās vērtības nodokļa pamatlikmes pamatoto pašu resursu bāzi aprēķina, pamatojoties uz kalendārajiem gadiem. </w:t>
      </w:r>
    </w:p>
    <w:p>
      <w:pPr>
        <w:pStyle w:val="ManualNumPar1"/>
        <w:rPr>
          <w:noProof/>
        </w:rPr>
      </w:pPr>
      <w:r>
        <w:t>2.</w:t>
      </w:r>
      <w:r>
        <w:tab/>
      </w:r>
      <w:r>
        <w:rPr>
          <w:noProof/>
        </w:rPr>
        <w:t xml:space="preserve">Ja dalībvalsts maina pievienotās vērtības nodokļa pamatlikmi, pārskatīto likmi piemēro no tā mēneša pirmās dienas, kas seko mēnesim, kurā stājās spēkā jaunā pamatlikme. 3. panta 3. punktā minēto aprēķinu vajadzībām izskaitļo abu likmju </w:t>
      </w:r>
      <w:r>
        <w:rPr>
          <w:i/>
          <w:noProof/>
        </w:rPr>
        <w:t>pro rata temporis</w:t>
      </w:r>
      <w:r>
        <w:rPr>
          <w:noProof/>
        </w:rPr>
        <w:t>.</w:t>
      </w:r>
    </w:p>
    <w:p>
      <w:pPr>
        <w:rPr>
          <w:noProof/>
        </w:rPr>
      </w:pPr>
      <w:r>
        <w:rPr>
          <w:noProof/>
        </w:rPr>
        <w:t>* Padomes [DATUMS] Regula (ES, Euratom) Nr. 20xx/xxxx, ar ko nosaka Eiropas Savienības pašu resursu sistēmas īstenošanas pasākumus (OV L [...], [...], [...]. lpp.).</w:t>
      </w:r>
    </w:p>
    <w:p>
      <w:pPr>
        <w:rPr>
          <w:noProof/>
        </w:rPr>
      </w:pPr>
      <w:r>
        <w:rPr>
          <w:noProof/>
        </w:rPr>
        <w:t>** Padomes 2014. gada 26. maija Regula (ES, Euratom) Nr. 609/2014 par metodēm un procedūru, lai darītu pieejamus tradicionālos, PVN un NKI pašu resursus, un par pasākumiem, lai izpildītu kases vajadzības (OV L 168, 7.6.2014., 39. lpp.).”;</w:t>
      </w:r>
    </w:p>
    <w:p>
      <w:pPr>
        <w:pStyle w:val="Point0number"/>
        <w:rPr>
          <w:noProof/>
        </w:rPr>
      </w:pPr>
      <w:r>
        <w:rPr>
          <w:noProof/>
        </w:rPr>
        <w:t>regulas 5. un 6. pantu svītro;</w:t>
      </w:r>
    </w:p>
    <w:p>
      <w:pPr>
        <w:pStyle w:val="Point0number"/>
        <w:rPr>
          <w:noProof/>
        </w:rPr>
      </w:pPr>
      <w:r>
        <w:rPr>
          <w:noProof/>
        </w:rPr>
        <w:t>regulas 7. panta 1. un 2. punktu aizstāj ar šādiem:</w:t>
      </w:r>
    </w:p>
    <w:p>
      <w:pPr>
        <w:rPr>
          <w:noProof/>
        </w:rPr>
      </w:pPr>
      <w:r>
        <w:rPr>
          <w:noProof/>
        </w:rPr>
        <w:t>“1.</w:t>
      </w:r>
      <w:r>
        <w:rPr>
          <w:noProof/>
        </w:rPr>
        <w:tab/>
        <w:t>Dalībvalstis līdz 31. jūlijam nosūta Komisijai pārskatu, kurā norādīta uz pievienotās vērtības nodokļa pamatlikmes pamatoto pašu resursu bāzes kopsumma iepriekšējā kalendārajā gadā, kas aprēķināta saskaņā ar 3. pantu un kurai piemērota 1. pantā minētā likme.</w:t>
      </w:r>
    </w:p>
    <w:p>
      <w:pPr>
        <w:rPr>
          <w:noProof/>
        </w:rPr>
      </w:pPr>
      <w:r>
        <w:rPr>
          <w:noProof/>
        </w:rPr>
        <w:t>2.</w:t>
      </w:r>
      <w:r>
        <w:rPr>
          <w:noProof/>
        </w:rPr>
        <w:tab/>
        <w:t>Šajā pārskatā iekļauj visus bāzes noteikšanai izmantotos datus, kas vajadzīgi Regulas (ES, Euratom) Nr. 20xx/xxxx 4. panta 7. punktā minētajām pārbaudēm.”;</w:t>
      </w:r>
    </w:p>
    <w:p>
      <w:pPr>
        <w:pStyle w:val="Point0number"/>
        <w:rPr>
          <w:noProof/>
        </w:rPr>
      </w:pPr>
      <w:r>
        <w:rPr>
          <w:noProof/>
        </w:rPr>
        <w:t>regulas 8. pantu aizstāj ar šādu:</w:t>
      </w:r>
    </w:p>
    <w:p>
      <w:pPr>
        <w:pStyle w:val="Titrearticle"/>
        <w:rPr>
          <w:noProof/>
        </w:rPr>
      </w:pPr>
      <w:r>
        <w:rPr>
          <w:noProof/>
        </w:rPr>
        <w:t>“8. pants</w:t>
      </w:r>
    </w:p>
    <w:p>
      <w:pPr>
        <w:rPr>
          <w:noProof/>
        </w:rPr>
      </w:pPr>
      <w:r>
        <w:rPr>
          <w:noProof/>
        </w:rPr>
        <w:t>Dalībvalstis līdz katra gada 15. aprīlim nosūta Komisijai uz pievienotās vērtības nodokļa pamatlikmes pamatoto pašu resursu bāzes aplēsi nākamajam finanšu gadam.”;</w:t>
      </w:r>
    </w:p>
    <w:p>
      <w:pPr>
        <w:pStyle w:val="Point0number"/>
        <w:rPr>
          <w:noProof/>
        </w:rPr>
      </w:pPr>
      <w:r>
        <w:rPr>
          <w:noProof/>
        </w:rPr>
        <w:t>regulas 10. pantu aizstāj ar šādu:</w:t>
      </w:r>
    </w:p>
    <w:p>
      <w:pPr>
        <w:pStyle w:val="Titrearticle"/>
        <w:rPr>
          <w:noProof/>
        </w:rPr>
      </w:pPr>
      <w:r>
        <w:rPr>
          <w:noProof/>
        </w:rPr>
        <w:t>“10. pants</w:t>
      </w:r>
    </w:p>
    <w:p>
      <w:pPr>
        <w:pStyle w:val="ManualNumPar1"/>
        <w:rPr>
          <w:noProof/>
        </w:rPr>
      </w:pPr>
      <w:r>
        <w:t>1.</w:t>
      </w:r>
      <w:r>
        <w:tab/>
      </w:r>
      <w:r>
        <w:rPr>
          <w:noProof/>
        </w:rPr>
        <w:t xml:space="preserve">Dalībvalstis līdz katra finanšu gada 30. aprīlim informē Komisiju par risinājumiem un attiecīgajiem grozījumiem, kurus tās ierosina pieņemt, lai noteiktu 3. panta 1. punktā minēto summu. Ierosinātajā risinājumā attiecīgā gadījumā norāda datu veidu, ko tās uzskata par atbilstošu, un bāzes vērtības aplēsi katrai no šīm korekcijām. </w:t>
      </w:r>
    </w:p>
    <w:p>
      <w:pPr>
        <w:pStyle w:val="Text1"/>
        <w:rPr>
          <w:noProof/>
        </w:rPr>
      </w:pPr>
      <w:r>
        <w:rPr>
          <w:noProof/>
        </w:rPr>
        <w:t>Komisija līdz 31. maijam nosūta pārējām dalībvalstīm pirmajā daļā minēto informāciju, ko tā saņēmusi no katras dalībvalsts.</w:t>
      </w:r>
    </w:p>
    <w:p>
      <w:pPr>
        <w:pStyle w:val="ManualNumPar1"/>
        <w:rPr>
          <w:noProof/>
        </w:rPr>
      </w:pPr>
      <w:r>
        <w:t>2.</w:t>
      </w:r>
      <w:r>
        <w:tab/>
      </w:r>
      <w:r>
        <w:rPr>
          <w:noProof/>
        </w:rPr>
        <w:t>Komisija var pieņemt īstenošanas aktus par risinājumiem, ko dalībvalstis ierosinājušas saskaņā ar 1. punktu. Minētos īstenošanas aktus pieņem saskaņā ar 13. panta 2. punktā minēto konsultēšanās procedūru.”;</w:t>
      </w:r>
    </w:p>
    <w:p>
      <w:pPr>
        <w:pStyle w:val="Point0number"/>
        <w:rPr>
          <w:noProof/>
        </w:rPr>
      </w:pPr>
      <w:r>
        <w:rPr>
          <w:noProof/>
        </w:rPr>
        <w:t>regulas 11. pantu groza šādi:</w:t>
      </w:r>
    </w:p>
    <w:p>
      <w:pPr>
        <w:pStyle w:val="Point1letter"/>
        <w:rPr>
          <w:noProof/>
        </w:rPr>
      </w:pPr>
      <w:r>
        <w:rPr>
          <w:noProof/>
        </w:rPr>
        <w:t>panta 1. punktu svītro;</w:t>
      </w:r>
    </w:p>
    <w:p>
      <w:pPr>
        <w:pStyle w:val="Point1letter"/>
        <w:rPr>
          <w:noProof/>
        </w:rPr>
      </w:pPr>
      <w:r>
        <w:rPr>
          <w:noProof/>
        </w:rPr>
        <w:t>panta 3. punktu aizstāj ar šādu:</w:t>
      </w:r>
    </w:p>
    <w:p>
      <w:pPr>
        <w:rPr>
          <w:noProof/>
        </w:rPr>
      </w:pPr>
      <w:r>
        <w:rPr>
          <w:noProof/>
        </w:rPr>
        <w:t>“Pēc Regulas (ES, Euratom) Nr. 20xx/xxxx 4. panta 7. punktā minētajām pārbaudēm gada pārskatu par attiecīgo finanšu gadu koriģē tā, kā noteikts 9. pantā.”;</w:t>
      </w:r>
    </w:p>
    <w:p>
      <w:pPr>
        <w:pStyle w:val="Point0number"/>
        <w:rPr>
          <w:noProof/>
        </w:rPr>
      </w:pPr>
      <w:r>
        <w:rPr>
          <w:noProof/>
        </w:rPr>
        <w:t xml:space="preserve">regulas 12. pantu aizstāj ar šādu: </w:t>
      </w:r>
    </w:p>
    <w:p>
      <w:pPr>
        <w:pStyle w:val="Titrearticle"/>
        <w:rPr>
          <w:noProof/>
        </w:rPr>
      </w:pPr>
      <w:r>
        <w:rPr>
          <w:noProof/>
        </w:rPr>
        <w:t>“12. pants</w:t>
      </w:r>
    </w:p>
    <w:p>
      <w:pPr>
        <w:pStyle w:val="ManualNumPar1"/>
        <w:rPr>
          <w:noProof/>
        </w:rPr>
      </w:pPr>
      <w:r>
        <w:t>1.</w:t>
      </w:r>
      <w:r>
        <w:tab/>
      </w:r>
      <w:r>
        <w:rPr>
          <w:noProof/>
        </w:rPr>
        <w:t>Dalībvalstis katru gadu sniedz Komisijai informāciju par visām attiecīgajām izmaiņām administratīvajos procesos un procedūrās, ko tās piemēro pievienotās vērtības nodokļa iekasēšanai.</w:t>
      </w:r>
    </w:p>
    <w:p>
      <w:pPr>
        <w:pStyle w:val="ManualNumPar1"/>
        <w:rPr>
          <w:noProof/>
        </w:rPr>
      </w:pPr>
      <w:r>
        <w:t>2.</w:t>
      </w:r>
      <w:r>
        <w:tab/>
      </w:r>
      <w:r>
        <w:rPr>
          <w:noProof/>
        </w:rPr>
        <w:t>Komisija kopā ar attiecīgo dalībvalsti apsver, vai ir iespējams iecerēt šo procesu un procedūru uzlabojumus to efektivitātes sekmēšanai.</w:t>
      </w:r>
    </w:p>
    <w:p>
      <w:pPr>
        <w:pStyle w:val="ManualNumPar1"/>
        <w:rPr>
          <w:noProof/>
        </w:rPr>
      </w:pPr>
      <w:r>
        <w:t>3.</w:t>
      </w:r>
      <w:r>
        <w:tab/>
      </w:r>
      <w:r>
        <w:rPr>
          <w:noProof/>
        </w:rPr>
        <w:t>Komisija ik pēc pieciem gadiem sagatavo ziņojumu par dalībvalstu veiktajiem pasākumiem un gūtajiem panākumiem pievienotās vērtības nodokļa iekasēšanā, kā arī par visiem iecerētajiem uzlabojumiem.</w:t>
      </w:r>
    </w:p>
    <w:p>
      <w:pPr>
        <w:pStyle w:val="Text1"/>
        <w:rPr>
          <w:noProof/>
        </w:rPr>
      </w:pPr>
      <w:r>
        <w:rPr>
          <w:noProof/>
        </w:rPr>
        <w:t>Pirmoreiz Komisija šādu ziņojumu Eiropas Parlamentam un Padomei iesniedz līdz 2023. gada 31. decembrim.”;</w:t>
      </w:r>
    </w:p>
    <w:p>
      <w:pPr>
        <w:pStyle w:val="Point0number"/>
        <w:rPr>
          <w:noProof/>
        </w:rPr>
      </w:pPr>
      <w:r>
        <w:rPr>
          <w:noProof/>
        </w:rPr>
        <w:t>regulas 13. pantu aizstāj ar šādu:</w:t>
      </w:r>
    </w:p>
    <w:p>
      <w:pPr>
        <w:pStyle w:val="Titrearticle"/>
        <w:rPr>
          <w:noProof/>
        </w:rPr>
      </w:pPr>
      <w:r>
        <w:rPr>
          <w:noProof/>
        </w:rPr>
        <w:t>“13. pants</w:t>
      </w:r>
    </w:p>
    <w:p>
      <w:pPr>
        <w:pStyle w:val="ManualNumPar1"/>
        <w:rPr>
          <w:noProof/>
        </w:rPr>
      </w:pPr>
      <w:r>
        <w:t>1.</w:t>
      </w:r>
      <w:r>
        <w:tab/>
      </w:r>
      <w:r>
        <w:rPr>
          <w:noProof/>
        </w:rPr>
        <w:t>Komisijai palīdz Padomdevēja komiteja pašu resursu jautājumos, kas izveidota ar Regulas (ES, Euratom) Nr. 20xx/xxxx 9. pantu. Minētā komiteja ir komiteja Eiropas Parlamenta un Padomes Regulas (ES) Nr. 182/2011* nozīmē.</w:t>
      </w:r>
    </w:p>
    <w:p>
      <w:pPr>
        <w:pStyle w:val="ManualNumPar1"/>
        <w:rPr>
          <w:noProof/>
        </w:rPr>
      </w:pPr>
      <w:r>
        <w:t>2.</w:t>
      </w:r>
      <w:r>
        <w:tab/>
      </w:r>
      <w:r>
        <w:rPr>
          <w:noProof/>
        </w:rPr>
        <w:t>Ja ir atsauce uz šo punktu, piemēro Regulas (ES) Nr. 182/2011 4. pantu.</w:t>
      </w:r>
    </w:p>
    <w:p>
      <w:pPr>
        <w:rPr>
          <w:noProof/>
        </w:rPr>
      </w:pPr>
      <w:r>
        <w:rPr>
          <w:noProof/>
        </w:rPr>
        <w:t>* Eiropas Parlamenta un Padomes 2011. gada 16. februāra Regula (ES) Nr. 182/2011, ar ko nosaka normas un vispārīgus principus par dalībvalstu kontroles mehānismiem, kuri attiecas uz Komisijas īstenošanas pilnvaru izmantošanu (OV L 55, 28.2.2011., 13. lpp.)."</w:t>
      </w:r>
    </w:p>
    <w:p>
      <w:pPr>
        <w:pStyle w:val="Titrearticle"/>
        <w:rPr>
          <w:noProof/>
        </w:rPr>
      </w:pPr>
      <w:r>
        <w:rPr>
          <w:noProof/>
        </w:rPr>
        <w:t>2. pants</w:t>
      </w:r>
    </w:p>
    <w:p>
      <w:pPr>
        <w:rPr>
          <w:noProof/>
        </w:rPr>
      </w:pPr>
      <w:r>
        <w:rPr>
          <w:noProof/>
        </w:rPr>
        <w:t>Šī regula stājas spēkā dienā, kad stājas spēkā Lēmums 20xx/xxxx/ES, Euratom.</w:t>
      </w:r>
    </w:p>
    <w:p>
      <w:pPr>
        <w:rPr>
          <w:noProof/>
        </w:rPr>
      </w:pPr>
      <w:r>
        <w:rPr>
          <w:noProof/>
        </w:rPr>
        <w:t>To piemēro no 2021. gada 1. janvāra.</w:t>
      </w:r>
    </w:p>
    <w:p>
      <w:pPr>
        <w:rPr>
          <w:noProof/>
        </w:rPr>
      </w:pPr>
      <w:r>
        <w:rPr>
          <w:noProof/>
        </w:rPr>
        <w:t>Tomēr 1. pantu nepiemēro, lai koriģētu pārskatus par pievienotās vērtības nodokļa pašu resursu bāzi attiecībā uz finanšu gadiem pirms 2021. gada.</w:t>
      </w:r>
    </w:p>
    <w:p>
      <w:pPr>
        <w:pStyle w:val="Applicationdirecte"/>
        <w:keepNext/>
        <w:keepLines/>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BFF3B" w16cid:durableId="1E77C242"/>
  <w16cid:commentId w16cid:paraId="233524B3" w16cid:durableId="1E77C2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Padomes 1989. gada 29. maija Regula (EEK, Euratom) Nr. 1553/89 par galīgajiem vienotajiem pasākumiem, lai iekasētu pašu resursus, ko veido pievienotās vērtības nodokļi (OV L 155, 7.6.1989., 9. lpp.).</w:t>
      </w:r>
    </w:p>
  </w:footnote>
  <w:footnote w:id="3">
    <w:p>
      <w:pPr>
        <w:pStyle w:val="FootnoteText"/>
      </w:pPr>
      <w:r>
        <w:rPr>
          <w:rStyle w:val="FootnoteReference"/>
        </w:rPr>
        <w:footnoteRef/>
      </w:r>
      <w:r>
        <w:tab/>
        <w:t xml:space="preserve">COM(2018) 325 </w:t>
      </w:r>
      <w:r>
        <w:rPr>
          <w:i/>
        </w:rPr>
        <w:t>final</w:t>
      </w:r>
      <w:r>
        <w:t>, 2.5.2018.</w:t>
      </w:r>
    </w:p>
  </w:footnote>
  <w:footnote w:id="4">
    <w:p>
      <w:pPr>
        <w:pStyle w:val="FootnoteText"/>
      </w:pPr>
      <w:r>
        <w:rPr>
          <w:rStyle w:val="FootnoteReference"/>
        </w:rPr>
        <w:footnoteRef/>
      </w:r>
      <w:r>
        <w:tab/>
        <w:t>ES turpmākā finansēšana. Augsta līmeņa grupas pašu resursu jautājumos nobeiguma ziņojums un ieteikumi. 2016. gada decembris.</w:t>
      </w:r>
    </w:p>
  </w:footnote>
  <w:footnote w:id="5">
    <w:p>
      <w:pPr>
        <w:pStyle w:val="FootnoteText"/>
      </w:pPr>
      <w:r>
        <w:rPr>
          <w:rStyle w:val="FootnoteReference"/>
        </w:rPr>
        <w:footnoteRef/>
      </w:r>
      <w:r>
        <w:tab/>
        <w:t>Padomes 2014. gada 26. maija Lēmums par Eiropas Savienības pašu resursu sistēmu (2014/335/ES, Euratom) (OV L 168, 7.6.2014., 105. lpp.).</w:t>
      </w:r>
    </w:p>
  </w:footnote>
  <w:footnote w:id="6">
    <w:p>
      <w:pPr>
        <w:pStyle w:val="FootnoteText"/>
      </w:pPr>
      <w:r>
        <w:rPr>
          <w:rStyle w:val="FootnoteReference"/>
        </w:rPr>
        <w:footnoteRef/>
      </w:r>
      <w:r>
        <w:tab/>
        <w:t>Padomes 2014. gada 26. maija Regula (ES, Euratom) Nr. 609/2014 par metodēm un procedūru, lai darītu pieejamus tradicionālos, PVN un NKI pašu resursus, un par pasākumiem, lai izpildītu kases vajadzības (OV L 168, 7.6.2014., 39. lpp.).</w:t>
      </w:r>
    </w:p>
  </w:footnote>
  <w:footnote w:id="7">
    <w:p>
      <w:pPr>
        <w:pStyle w:val="FootnoteText"/>
      </w:pPr>
      <w:r>
        <w:rPr>
          <w:rStyle w:val="FootnoteReference"/>
        </w:rPr>
        <w:footnoteRef/>
      </w:r>
      <w:r>
        <w:tab/>
        <w:t xml:space="preserve">COM(2018) 326 </w:t>
      </w:r>
      <w:r>
        <w:rPr>
          <w:i/>
        </w:rPr>
        <w:t>final</w:t>
      </w:r>
      <w:r>
        <w:t>, 2.5.2018.</w:t>
      </w:r>
    </w:p>
  </w:footnote>
  <w:footnote w:id="8">
    <w:p>
      <w:pPr>
        <w:pStyle w:val="FootnoteText"/>
      </w:pPr>
      <w:r>
        <w:rPr>
          <w:rStyle w:val="FootnoteReference"/>
        </w:rPr>
        <w:footnoteRef/>
      </w:r>
      <w:r>
        <w:tab/>
        <w:t>Padomes 2006. gada 28. novembra Direktīva 2006/112/EK par kopējo pievienotās vērtības nodokļa sistēmu (OV L 347, 11.12.2006., 1. lpp.).</w:t>
      </w:r>
    </w:p>
  </w:footnote>
  <w:footnote w:id="9">
    <w:p>
      <w:pPr>
        <w:pStyle w:val="FootnoteText"/>
        <w:rPr>
          <w:lang w:val="nn-NO"/>
        </w:rPr>
      </w:pPr>
      <w:r>
        <w:rPr>
          <w:rStyle w:val="FootnoteReference"/>
        </w:rPr>
        <w:footnoteRef/>
      </w:r>
      <w:r>
        <w:tab/>
        <w:t>OV C [...], [...], [...]. lpp.</w:t>
      </w:r>
    </w:p>
  </w:footnote>
  <w:footnote w:id="10">
    <w:p>
      <w:pPr>
        <w:pStyle w:val="FootnoteText"/>
        <w:rPr>
          <w:lang w:val="nn-NO"/>
        </w:rPr>
      </w:pPr>
      <w:r>
        <w:rPr>
          <w:rStyle w:val="FootnoteReference"/>
        </w:rPr>
        <w:footnoteRef/>
      </w:r>
      <w:r>
        <w:tab/>
        <w:t>OV C [...], [...], [...]. lpp.</w:t>
      </w:r>
    </w:p>
  </w:footnote>
  <w:footnote w:id="11">
    <w:p>
      <w:pPr>
        <w:pStyle w:val="FootnoteText"/>
        <w:rPr>
          <w:lang w:val="pl-PL"/>
        </w:rPr>
      </w:pPr>
      <w:r>
        <w:rPr>
          <w:rStyle w:val="FootnoteReference"/>
        </w:rPr>
        <w:footnoteRef/>
      </w:r>
      <w:r>
        <w:tab/>
        <w:t>OV L […], […], […]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7C01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AC07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92B5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2265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80452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EF8631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38B8B6"/>
    <w:lvl w:ilvl="0">
      <w:start w:val="1"/>
      <w:numFmt w:val="decimal"/>
      <w:pStyle w:val="ListNumber"/>
      <w:lvlText w:val="%1."/>
      <w:lvlJc w:val="left"/>
      <w:pPr>
        <w:tabs>
          <w:tab w:val="num" w:pos="360"/>
        </w:tabs>
        <w:ind w:left="360" w:hanging="360"/>
      </w:pPr>
    </w:lvl>
  </w:abstractNum>
  <w:abstractNum w:abstractNumId="7">
    <w:nsid w:val="FFFFFF89"/>
    <w:multiLevelType w:val="singleLevel"/>
    <w:tmpl w:val="BAE8DC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21"/>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
  </w:num>
  <w:num w:numId="19">
    <w:abstractNumId w:val="0"/>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6:20: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4944A96-C91D-403B-9FA3-AD108B14ADE4"/>
    <w:docVar w:name="LW_COVERPAGE_TYPE" w:val="1"/>
    <w:docVar w:name="LW_CROSSREFERENCE" w:val="&lt;UNUSED&gt;"/>
    <w:docVar w:name="LW_DocType" w:val="COM"/>
    <w:docVar w:name="LW_EMISSION" w:val="2.5.2018"/>
    <w:docVar w:name="LW_EMISSION_ISODATE" w:val="2018-05-02"/>
    <w:docVar w:name="LW_EMISSION_LOCATION" w:val="BRX"/>
    <w:docVar w:name="LW_EMISSION_PREFIX" w:val="Briselē,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133"/>
    <w:docVar w:name="LW_REF.II.NEW.CP_YEAR" w:val="2018"/>
    <w:docVar w:name="LW_REF.INST.NEW" w:val="COM"/>
    <w:docVar w:name="LW_REF.INST.NEW_ADOPTED" w:val="final"/>
    <w:docVar w:name="LW_REF.INST.NEW_TEXT" w:val="(2018) 3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izdara groz\u299?jumus Regul\u257? (EEK, Euratom) Nr. 1553/89 par gal\u299?gajiem vienotajiem pas\u257?kumiem, lai iekas\u275?tu pa\u353?u resursus, ko veido pievienot\u257?s v\u275?rt\u299?bas nodok\u316?i"/>
    <w:docVar w:name="LW_TYPE.DOC.CP" w:val="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odyText">
    <w:name w:val="Body Text"/>
    <w:basedOn w:val="Normal"/>
    <w:link w:val="BodyTextChar"/>
    <w:uiPriority w:val="1"/>
    <w:qFormat/>
    <w:pPr>
      <w:widowControl w:val="0"/>
      <w:autoSpaceDE w:val="0"/>
      <w:autoSpaceDN w:val="0"/>
      <w:spacing w:before="0" w:after="0"/>
      <w:jc w:val="left"/>
    </w:pPr>
    <w:rPr>
      <w:rFonts w:eastAsia="Times New Roman"/>
      <w:sz w:val="19"/>
      <w:szCs w:val="19"/>
    </w:rPr>
  </w:style>
  <w:style w:type="character" w:customStyle="1" w:styleId="BodyTextChar">
    <w:name w:val="Body Text Char"/>
    <w:basedOn w:val="DefaultParagraphFont"/>
    <w:link w:val="BodyText"/>
    <w:uiPriority w:val="1"/>
    <w:rPr>
      <w:rFonts w:ascii="Times New Roman" w:eastAsia="Times New Roman" w:hAnsi="Times New Roman" w:cs="Times New Roman"/>
      <w:sz w:val="19"/>
      <w:szCs w:val="19"/>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odyText">
    <w:name w:val="Body Text"/>
    <w:basedOn w:val="Normal"/>
    <w:link w:val="BodyTextChar"/>
    <w:uiPriority w:val="1"/>
    <w:qFormat/>
    <w:pPr>
      <w:widowControl w:val="0"/>
      <w:autoSpaceDE w:val="0"/>
      <w:autoSpaceDN w:val="0"/>
      <w:spacing w:before="0" w:after="0"/>
      <w:jc w:val="left"/>
    </w:pPr>
    <w:rPr>
      <w:rFonts w:eastAsia="Times New Roman"/>
      <w:sz w:val="19"/>
      <w:szCs w:val="19"/>
    </w:rPr>
  </w:style>
  <w:style w:type="character" w:customStyle="1" w:styleId="BodyTextChar">
    <w:name w:val="Body Text Char"/>
    <w:basedOn w:val="DefaultParagraphFont"/>
    <w:link w:val="BodyText"/>
    <w:uiPriority w:val="1"/>
    <w:rPr>
      <w:rFonts w:ascii="Times New Roman" w:eastAsia="Times New Roman" w:hAnsi="Times New Roman" w:cs="Times New Roman"/>
      <w:sz w:val="19"/>
      <w:szCs w:val="19"/>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5666">
      <w:bodyDiv w:val="1"/>
      <w:marLeft w:val="0"/>
      <w:marRight w:val="0"/>
      <w:marTop w:val="0"/>
      <w:marBottom w:val="0"/>
      <w:divBdr>
        <w:top w:val="none" w:sz="0" w:space="0" w:color="auto"/>
        <w:left w:val="none" w:sz="0" w:space="0" w:color="auto"/>
        <w:bottom w:val="none" w:sz="0" w:space="0" w:color="auto"/>
        <w:right w:val="none" w:sz="0" w:space="0" w:color="auto"/>
      </w:divBdr>
    </w:div>
    <w:div w:id="378746415">
      <w:bodyDiv w:val="1"/>
      <w:marLeft w:val="0"/>
      <w:marRight w:val="0"/>
      <w:marTop w:val="0"/>
      <w:marBottom w:val="0"/>
      <w:divBdr>
        <w:top w:val="none" w:sz="0" w:space="0" w:color="auto"/>
        <w:left w:val="none" w:sz="0" w:space="0" w:color="auto"/>
        <w:bottom w:val="none" w:sz="0" w:space="0" w:color="auto"/>
        <w:right w:val="none" w:sz="0" w:space="0" w:color="auto"/>
      </w:divBdr>
    </w:div>
    <w:div w:id="749738167">
      <w:bodyDiv w:val="1"/>
      <w:marLeft w:val="0"/>
      <w:marRight w:val="0"/>
      <w:marTop w:val="0"/>
      <w:marBottom w:val="0"/>
      <w:divBdr>
        <w:top w:val="none" w:sz="0" w:space="0" w:color="auto"/>
        <w:left w:val="none" w:sz="0" w:space="0" w:color="auto"/>
        <w:bottom w:val="none" w:sz="0" w:space="0" w:color="auto"/>
        <w:right w:val="none" w:sz="0" w:space="0" w:color="auto"/>
      </w:divBdr>
    </w:div>
    <w:div w:id="1361396332">
      <w:bodyDiv w:val="1"/>
      <w:marLeft w:val="0"/>
      <w:marRight w:val="0"/>
      <w:marTop w:val="0"/>
      <w:marBottom w:val="0"/>
      <w:divBdr>
        <w:top w:val="none" w:sz="0" w:space="0" w:color="auto"/>
        <w:left w:val="none" w:sz="0" w:space="0" w:color="auto"/>
        <w:bottom w:val="none" w:sz="0" w:space="0" w:color="auto"/>
        <w:right w:val="none" w:sz="0" w:space="0" w:color="auto"/>
      </w:divBdr>
    </w:div>
    <w:div w:id="1659915713">
      <w:bodyDiv w:val="1"/>
      <w:marLeft w:val="0"/>
      <w:marRight w:val="0"/>
      <w:marTop w:val="0"/>
      <w:marBottom w:val="0"/>
      <w:divBdr>
        <w:top w:val="none" w:sz="0" w:space="0" w:color="auto"/>
        <w:left w:val="none" w:sz="0" w:space="0" w:color="auto"/>
        <w:bottom w:val="none" w:sz="0" w:space="0" w:color="auto"/>
        <w:right w:val="none" w:sz="0" w:space="0" w:color="auto"/>
      </w:divBdr>
    </w:div>
    <w:div w:id="1692028307">
      <w:bodyDiv w:val="1"/>
      <w:marLeft w:val="0"/>
      <w:marRight w:val="0"/>
      <w:marTop w:val="0"/>
      <w:marBottom w:val="0"/>
      <w:divBdr>
        <w:top w:val="none" w:sz="0" w:space="0" w:color="auto"/>
        <w:left w:val="none" w:sz="0" w:space="0" w:color="auto"/>
        <w:bottom w:val="none" w:sz="0" w:space="0" w:color="auto"/>
        <w:right w:val="none" w:sz="0" w:space="0" w:color="auto"/>
      </w:divBdr>
    </w:div>
    <w:div w:id="1958684149">
      <w:bodyDiv w:val="1"/>
      <w:marLeft w:val="0"/>
      <w:marRight w:val="0"/>
      <w:marTop w:val="0"/>
      <w:marBottom w:val="0"/>
      <w:divBdr>
        <w:top w:val="none" w:sz="0" w:space="0" w:color="auto"/>
        <w:left w:val="none" w:sz="0" w:space="0" w:color="auto"/>
        <w:bottom w:val="none" w:sz="0" w:space="0" w:color="auto"/>
        <w:right w:val="none" w:sz="0" w:space="0" w:color="auto"/>
      </w:divBdr>
      <w:divsChild>
        <w:div w:id="661662048">
          <w:marLeft w:val="0"/>
          <w:marRight w:val="0"/>
          <w:marTop w:val="0"/>
          <w:marBottom w:val="0"/>
          <w:divBdr>
            <w:top w:val="none" w:sz="0" w:space="0" w:color="auto"/>
            <w:left w:val="none" w:sz="0" w:space="0" w:color="auto"/>
            <w:bottom w:val="none" w:sz="0" w:space="0" w:color="auto"/>
            <w:right w:val="none" w:sz="0" w:space="0" w:color="auto"/>
          </w:divBdr>
        </w:div>
        <w:div w:id="1598978085">
          <w:marLeft w:val="0"/>
          <w:marRight w:val="0"/>
          <w:marTop w:val="0"/>
          <w:marBottom w:val="0"/>
          <w:divBdr>
            <w:top w:val="none" w:sz="0" w:space="0" w:color="auto"/>
            <w:left w:val="none" w:sz="0" w:space="0" w:color="auto"/>
            <w:bottom w:val="none" w:sz="0" w:space="0" w:color="auto"/>
            <w:right w:val="none" w:sz="0" w:space="0" w:color="auto"/>
          </w:divBdr>
        </w:div>
        <w:div w:id="1519346848">
          <w:marLeft w:val="0"/>
          <w:marRight w:val="0"/>
          <w:marTop w:val="0"/>
          <w:marBottom w:val="0"/>
          <w:divBdr>
            <w:top w:val="none" w:sz="0" w:space="0" w:color="auto"/>
            <w:left w:val="none" w:sz="0" w:space="0" w:color="auto"/>
            <w:bottom w:val="none" w:sz="0" w:space="0" w:color="auto"/>
            <w:right w:val="none" w:sz="0" w:space="0" w:color="auto"/>
          </w:divBdr>
        </w:div>
        <w:div w:id="1902250250">
          <w:marLeft w:val="0"/>
          <w:marRight w:val="0"/>
          <w:marTop w:val="0"/>
          <w:marBottom w:val="0"/>
          <w:divBdr>
            <w:top w:val="none" w:sz="0" w:space="0" w:color="auto"/>
            <w:left w:val="none" w:sz="0" w:space="0" w:color="auto"/>
            <w:bottom w:val="none" w:sz="0" w:space="0" w:color="auto"/>
            <w:right w:val="none" w:sz="0" w:space="0" w:color="auto"/>
          </w:divBdr>
        </w:div>
        <w:div w:id="1572959300">
          <w:marLeft w:val="0"/>
          <w:marRight w:val="0"/>
          <w:marTop w:val="0"/>
          <w:marBottom w:val="0"/>
          <w:divBdr>
            <w:top w:val="none" w:sz="0" w:space="0" w:color="auto"/>
            <w:left w:val="none" w:sz="0" w:space="0" w:color="auto"/>
            <w:bottom w:val="none" w:sz="0" w:space="0" w:color="auto"/>
            <w:right w:val="none" w:sz="0" w:space="0" w:color="auto"/>
          </w:divBdr>
        </w:div>
      </w:divsChild>
    </w:div>
    <w:div w:id="20854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F62F566B6F5A54B836441EDBF78D9E4" ma:contentTypeVersion="1" ma:contentTypeDescription="Create a new document in this library." ma:contentTypeScope="" ma:versionID="090cbd4403d3e637825df014b956ea67">
  <xsd:schema xmlns:xsd="http://www.w3.org/2001/XMLSchema" xmlns:xs="http://www.w3.org/2001/XMLSchema" xmlns:p="http://schemas.microsoft.com/office/2006/metadata/properties" xmlns:ns3="4b000966-a7c4-4b01-8bf4-80f725bfe09b" targetNamespace="http://schemas.microsoft.com/office/2006/metadata/properties" ma:root="true" ma:fieldsID="bb0e027ce7901fc0c7391a5a3b57f750" ns3:_="">
    <xsd:import namespace="4b000966-a7c4-4b01-8bf4-80f725bfe09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0966-a7c4-4b01-8bf4-80f725bfe09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4b000966-a7c4-4b01-8bf4-80f725bfe09b">Not Started</EC_Collab_Status>
    <EC_Collab_Reference xmlns="4b000966-a7c4-4b01-8bf4-80f725bfe09b" xsi:nil="true"/>
    <EC_Collab_DocumentLanguage xmlns="4b000966-a7c4-4b01-8bf4-80f725bfe09b">EN</EC_Collab_DocumentLanguag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6DB7B25-527B-4B92-ABF4-19BA4EA7D771}">
  <ds:schemaRefs>
    <ds:schemaRef ds:uri="http://schemas.microsoft.com/sharepoint/v3/contenttype/forms"/>
  </ds:schemaRefs>
</ds:datastoreItem>
</file>

<file path=customXml/itemProps2.xml><?xml version="1.0" encoding="utf-8"?>
<ds:datastoreItem xmlns:ds="http://schemas.openxmlformats.org/officeDocument/2006/customXml" ds:itemID="{1727B1C2-BF42-4A15-BF6D-09E6A8F97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0966-a7c4-4b01-8bf4-80f725bf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D1E09-D0D0-46FE-93FB-937F09A4D77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4b000966-a7c4-4b01-8bf4-80f725bfe09b"/>
    <ds:schemaRef ds:uri="http://schemas.microsoft.com/office/2006/metadata/properties"/>
  </ds:schemaRefs>
</ds:datastoreItem>
</file>

<file path=customXml/itemProps4.xml><?xml version="1.0" encoding="utf-8"?>
<ds:datastoreItem xmlns:ds="http://schemas.openxmlformats.org/officeDocument/2006/customXml" ds:itemID="{14644081-B864-4379-B5FD-D1B65D0F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2628</Words>
  <Characters>16432</Characters>
  <Application>Microsoft Office Word</Application>
  <DocSecurity>0</DocSecurity>
  <Lines>293</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2018-04-19T21:17:00Z</cp:lastPrinted>
  <dcterms:created xsi:type="dcterms:W3CDTF">2018-05-04T12:33:00Z</dcterms:created>
  <dcterms:modified xsi:type="dcterms:W3CDTF">2018-05-04T14:20:00Z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0x010100258AA79CEB83498886A3A0868112325000DF62F566B6F5A54B836441EDBF78D9E4</vt:lpwstr>
  </property>
  <property fmtid="{D5CDD505-2E9C-101B-9397-08002B2CF9AE}" pid="11" name="DQCStatus">
    <vt:lpwstr>Green (DQC version 03)</vt:lpwstr>
  </property>
</Properties>
</file>