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350304CD-8AEB-4EEF-8841-5CE1D20D12D7" style="width:450.4pt;height:351.55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INDOKOLÁS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A javaslat háttere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 javaslat célja, hogy az 1553/89/EGK, Euratom tanácsi rendelet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módosításával jelentősen egyszerűsítse a hozzáadottérték-adó sajátforrás-vonatkozásait: a hangsúly az általános héamérték alá tartozó forgalomra helyeződik (így a súlyozott átlagos mértékre nem lesz szükség), míg a korrekciók száma minimálisra csökken, és a pénzügyi kompenzációk megszűnnek. Emellett a Bizottság a tagállamok legfrissebb fiskális adatain alapuló közös százalékos arányt javasol.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Ez a javaslat szerves részét képezi az Európai Unió saját forrásainak rendszeréről szóló tanácsi határozatra irányuló javaslatban meghatározott, megreformált sajátforrás-rendszernek</w:t>
      </w:r>
      <w:r>
        <w:rPr>
          <w:rStyle w:val="FootnoteReference"/>
          <w:noProof/>
        </w:rPr>
        <w:footnoteReference w:id="3"/>
      </w:r>
      <w:r>
        <w:rPr>
          <w:noProof/>
        </w:rPr>
        <w:t>. A reform követi a saját forrásokkal foglalkozó magas szintű munkacsoport 2016 decemberében közzétett zárójelentésében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megfogalmazott ajánlásokat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javaslat a saját források kezelésével kapcsolatos múltbeli tapasztalatokra épít, és célja a hozzáadottértékadó-alapú saját források kiszámításának egyszerűsítése. A javaslat a gyakorlati intézkedéseket is észszerűsíti. A javaslat részletes magyarázata az alábbi 5. szakaszban található.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saját források jellege miatt kezelésük nagyban függ más uniós szakpolitikák, különösen a belső piaci politika és az adópolitika helyes végrehajtásától.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Jogalap, szubszidiaritás és arányosság</w:t>
      </w:r>
    </w:p>
    <w:p>
      <w:pPr>
        <w:rPr>
          <w:noProof/>
        </w:rPr>
      </w:pPr>
      <w:r>
        <w:rPr>
          <w:noProof/>
        </w:rPr>
        <w:t>A javasolt rendelet jogalapja az Európai Unió működéséről szóló szerződés 322. cikkének (2) bekezdése. A 2014/335/EU tanácsi határozat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8. cikkének (2) bekezdése, valamint a saját forrásokról szóló javasolt határozat 6. cikkének (3) bekezdése megemlíti, hogy a tagállamok a forrásokat az Európai Unió működéséről szóló szerződés 322. cikkének (2) bekezdése szerint elfogadott rendeletekkel összhangban bocsátják a Bizottság rendelkezésére. Ezen túlmenően, mivel ez a rendelet egy meglévő rendeletet módosít, helyénvaló ugyanazt a típusú eszközt használni.</w:t>
      </w:r>
    </w:p>
    <w:p>
      <w:pPr>
        <w:rPr>
          <w:rFonts w:eastAsia="Arial Unicode MS"/>
          <w:noProof/>
        </w:rPr>
      </w:pPr>
      <w:r>
        <w:rPr>
          <w:noProof/>
        </w:rPr>
        <w:t>Az uniós költségvetés és annak bevételi oldalát alkotó saját források jellegéből adódóan a saját források rendszerét és azok rendelkezésre bocsátását uniós szempontból kell kezelni, és ezt a tagállamok nem tudják megvalósítani.</w:t>
      </w:r>
    </w:p>
    <w:p>
      <w:pPr>
        <w:rPr>
          <w:noProof/>
        </w:rPr>
      </w:pPr>
      <w:r>
        <w:rPr>
          <w:noProof/>
        </w:rPr>
        <w:t>Ez a rendeletjavaslat kiegészíti a már meglévő „rendelkezésre bocsátási” rendelkezéseket, különösen a 609/2014/EU, Euratom rendeletet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lastRenderedPageBreak/>
        <w:t>A saját források rendszerének jó működése az Uniónak és a tagállamoknak is érdeke, ezért e rendeletjavaslat igyekszik megkönnyíteni együttműködésüket.</w:t>
      </w: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Az utólagos értékelések, az érdekelt felekkel folytatott konzultációk és a hatásvizsgálatok eredményei</w:t>
      </w:r>
    </w:p>
    <w:p>
      <w:pPr>
        <w:rPr>
          <w:noProof/>
        </w:rPr>
      </w:pPr>
      <w:r>
        <w:rPr>
          <w:noProof/>
        </w:rPr>
        <w:t>Ez a javaslat a 2021–2027 közötti időszakra vonatkozó, a saját forrásokról szóló jogalkotási csomag részét képezi. A hozzáadottértékadó-alapú saját forrás egyszerűsítése érdekében módosítani kell a hozzáadottértékadó-alapú saját forrásról szóló jelenlegi rendeletet.</w:t>
      </w:r>
    </w:p>
    <w:p>
      <w:pPr>
        <w:rPr>
          <w:noProof/>
        </w:rPr>
      </w:pPr>
      <w:r>
        <w:rPr>
          <w:noProof/>
        </w:rPr>
        <w:t>Az új sajátforrás-határozatra irányuló javaslat indokolása nagyobb áttekintést ad a sajátforrás-rendszer reformjának szükségességét elemző közelmúltbeli jelentésekről és dokumentumokról.</w:t>
      </w:r>
    </w:p>
    <w:p>
      <w:pPr>
        <w:rPr>
          <w:noProof/>
        </w:rPr>
      </w:pPr>
      <w:r>
        <w:rPr>
          <w:noProof/>
        </w:rPr>
        <w:t>Ez a javaslat nem kötődik a Célravezető és hatásos szabályozás programhoz. Nem a mikrovállalkozásokat, a kis- és középvállalkozásokat vagy az egyéb érdekelteket érinti, hanem a tagállamokat. A javaslat elvben nincs hatással az uniós ágazatok versenyképességére és a nemzetközi kereskedelemre. A javaslat nem érinti az alapjogok védelmét.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Költségvetési vonzatok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E javaslat és a saját forrásokra vonatkozó jogalkotási csomag költségvetési vonzatait az új saját források rendelkezésre bocsátásáról szóló rendeletjavaslathoz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csatolt pénzügyi kimutatás ismerteti. A megreformált sajátforrás-rendszer, beleértve a hozzáadottérték-adó új rendszerét, a jelenlegivel azonos szintű igazgatási előirányzatokat és személyzeti erőforrásokat igényel.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Egyéb elemek</w:t>
      </w:r>
    </w:p>
    <w:p>
      <w:pPr>
        <w:rPr>
          <w:noProof/>
          <w:color w:val="000000"/>
        </w:rPr>
      </w:pPr>
      <w:r>
        <w:rPr>
          <w:noProof/>
          <w:color w:val="000000"/>
        </w:rPr>
        <w:t>E rendelet alkalmazását, a jelenlegi gyakorlathoz hasonlóan, rendszeresen megvitatja majd a saját forrásokkal foglalkozó tanácsadó bizottság.</w:t>
      </w:r>
    </w:p>
    <w:p>
      <w:pPr>
        <w:rPr>
          <w:noProof/>
          <w:color w:val="000000"/>
        </w:rPr>
      </w:pPr>
      <w:r>
        <w:rPr>
          <w:noProof/>
          <w:color w:val="000000"/>
        </w:rPr>
        <w:t>A Bizottság javaslatai a következőként foglalhatók össze:</w:t>
      </w:r>
    </w:p>
    <w:p>
      <w:pPr>
        <w:keepNext/>
        <w:spacing w:before="240"/>
        <w:rPr>
          <w:noProof/>
          <w:color w:val="000000"/>
        </w:rPr>
      </w:pPr>
      <w:r>
        <w:rPr>
          <w:noProof/>
          <w:color w:val="000000"/>
        </w:rPr>
        <w:t>A javaslat 1. cikkének (1) bekezdése elhagyja az 1553/89/EGK, Euratom rendelet korábbi hat címre történő szakaszolását.</w:t>
      </w:r>
    </w:p>
    <w:p>
      <w:pPr>
        <w:spacing w:before="240"/>
        <w:rPr>
          <w:b/>
          <w:noProof/>
          <w:color w:val="000000"/>
        </w:rPr>
      </w:pPr>
      <w:r>
        <w:rPr>
          <w:noProof/>
        </w:rPr>
        <w:t>A javaslat 1. cikkének (2) bekezdése a következőképpen módosítja az 1553/89/EGK, Euratom rendelet 1. cikkét:</w:t>
      </w:r>
    </w:p>
    <w:p>
      <w:pPr>
        <w:pStyle w:val="Tiret0"/>
        <w:numPr>
          <w:ilvl w:val="0"/>
          <w:numId w:val="7"/>
        </w:numPr>
        <w:ind w:left="851"/>
        <w:rPr>
          <w:noProof/>
        </w:rPr>
      </w:pPr>
      <w:r>
        <w:rPr>
          <w:noProof/>
        </w:rPr>
        <w:t>naprakésszé teszi az 1. cikket a tekintetben, hogy az tükrözze a tényt, miszerint a hozzáadottértékadó-alapú saját forrás fókuszában az általános héamérték alá tartozó, végső fogyasztásra szánt forgalom áll. Hivatkozik továbbá a javasolt új sajátforrás-határozatban említett egységes lehívási mértékre. Az általános héamérték a hozzáadottérték-adónak a közös hozzáadottértékadó-rendszerről szóló 2006/112/EK tanácsi irányelv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96. cikkében említett mértéke.</w:t>
      </w:r>
    </w:p>
    <w:p>
      <w:pPr>
        <w:rPr>
          <w:noProof/>
        </w:rPr>
      </w:pPr>
      <w:r>
        <w:rPr>
          <w:noProof/>
        </w:rPr>
        <w:t>A javaslat 1. cikkének (3) bekezdése elhagyja az 1553/89/EGK, Euratom rendelet 2. cikkét.</w:t>
      </w:r>
    </w:p>
    <w:p>
      <w:pPr>
        <w:pStyle w:val="Tiret0"/>
        <w:rPr>
          <w:noProof/>
        </w:rPr>
      </w:pPr>
      <w:r>
        <w:rPr>
          <w:noProof/>
        </w:rPr>
        <w:lastRenderedPageBreak/>
        <w:t>A rendelkező rész átkerült a 3. cikkbe, míg a keretet meghatározó nem normatív rendelkezéseket jelenleg a preambulumbekezdések tartalmazzák.</w:t>
      </w:r>
    </w:p>
    <w:p>
      <w:pPr>
        <w:spacing w:before="240"/>
        <w:rPr>
          <w:b/>
          <w:noProof/>
          <w:color w:val="000000"/>
        </w:rPr>
      </w:pPr>
      <w:r>
        <w:rPr>
          <w:noProof/>
        </w:rPr>
        <w:t>A javaslat 1. cikkének (4) bekezdése a következők szerint felváltja az 1553/89/EGK, Euratom rendelet 3. és 4. cikkét:</w:t>
      </w:r>
    </w:p>
    <w:p>
      <w:pPr>
        <w:pStyle w:val="Tiret0"/>
        <w:numPr>
          <w:ilvl w:val="0"/>
          <w:numId w:val="5"/>
        </w:numPr>
        <w:rPr>
          <w:noProof/>
        </w:rPr>
      </w:pPr>
      <w:r>
        <w:rPr>
          <w:noProof/>
        </w:rPr>
        <w:t>3. cikk (1) bekezdés: vitathatatlan és megbízható adatforrás biztosítása érdekében az általános héamértékű hozzáadottérték-adón alapú saját forrás alapját az egyes tagállamokban egy naptári évben beszedett összes nettó hozzáadottértékadó-bevételből kell képezni, korrigálva ezt a hozzáadottérték-adóról szóló irányelvben felsorolt konkrét területi kérdések vonatkozásában;</w:t>
      </w:r>
    </w:p>
    <w:p>
      <w:pPr>
        <w:pStyle w:val="Tiret0"/>
        <w:numPr>
          <w:ilvl w:val="0"/>
          <w:numId w:val="5"/>
        </w:numPr>
        <w:rPr>
          <w:noProof/>
        </w:rPr>
      </w:pPr>
      <w:r>
        <w:rPr>
          <w:noProof/>
        </w:rPr>
        <w:t>3. cikk (2) bekezdés: az általános héamérték alá tartozó, végső fogyasztásra szánt forgalom kiszámításához a korrigált nettó bevételt meg kell szorozni a közös uniós aránnyal;</w:t>
      </w:r>
    </w:p>
    <w:p>
      <w:pPr>
        <w:pStyle w:val="Tiret0"/>
        <w:numPr>
          <w:ilvl w:val="0"/>
          <w:numId w:val="5"/>
        </w:numPr>
        <w:rPr>
          <w:noProof/>
        </w:rPr>
      </w:pPr>
      <w:r>
        <w:rPr>
          <w:noProof/>
        </w:rPr>
        <w:t>3. cikk (3) bekezdés: mivel a tagállamok eltérő általános héamértékeket alkalmaznak, az egységes lehívási mérték nem alkalmazható a bevételekre. Ezért ahhoz, hogy megkapjuk az általános héamértékű hozzáadottértékadó-alapot, az általános héamérték alá tartozó, végső fogyasztásra szánt forgalmat el kell osztani a tagállam általános héamértékével;</w:t>
      </w:r>
    </w:p>
    <w:p>
      <w:pPr>
        <w:pStyle w:val="Tiret0"/>
        <w:numPr>
          <w:ilvl w:val="0"/>
          <w:numId w:val="5"/>
        </w:numPr>
        <w:rPr>
          <w:noProof/>
        </w:rPr>
      </w:pPr>
      <w:r>
        <w:rPr>
          <w:noProof/>
        </w:rPr>
        <w:t>3. cikk (4) bekezdés: az általános héamértékű hozzáadottértékadó-alapra alkalmazott egységes lehívási mérték eredményeként kapjuk meg az uniós költségvetésbe befizetendő általános héamértékű hozzáadottértékadó-sajátforrást;</w:t>
      </w:r>
    </w:p>
    <w:p>
      <w:pPr>
        <w:pStyle w:val="Tiret0"/>
        <w:numPr>
          <w:ilvl w:val="0"/>
          <w:numId w:val="5"/>
        </w:numPr>
        <w:rPr>
          <w:noProof/>
        </w:rPr>
      </w:pPr>
      <w:r>
        <w:rPr>
          <w:noProof/>
        </w:rPr>
        <w:t>3. cikk (5) bekezdés: amennyiben egy tagállam megsérti a hozzáadottérték-adóról szóló irányelvet, a beszedett nettó hozzáadottértékadó-bevételeket korrigálni kell a tagállamok közötti egyenlő bánásmód biztosítása érdekében;</w:t>
      </w:r>
    </w:p>
    <w:p>
      <w:pPr>
        <w:pStyle w:val="Tiret0"/>
        <w:numPr>
          <w:ilvl w:val="0"/>
          <w:numId w:val="5"/>
        </w:numPr>
        <w:rPr>
          <w:noProof/>
        </w:rPr>
      </w:pPr>
      <w:r>
        <w:rPr>
          <w:noProof/>
        </w:rPr>
        <w:t>4. cikk: ha egy tagállam a megfelelő eljárásokat követően úgy dönt, hogy megváltoztatja az általános héamértéket, akkor e változást a 4. cikkben meghatározott egységes módszer szerint kell figyelembe venni. A módszer figyelembe veszi a változás előtti és utáni héamértéket.</w:t>
      </w:r>
    </w:p>
    <w:p>
      <w:pPr>
        <w:spacing w:before="240"/>
        <w:rPr>
          <w:b/>
          <w:noProof/>
          <w:color w:val="000000"/>
        </w:rPr>
      </w:pPr>
      <w:r>
        <w:rPr>
          <w:noProof/>
        </w:rPr>
        <w:t>A javaslat 1. cikkének (5) bekezdése elhagyja az 1553/89/EGK, Euratom rendelet 5. és 6. cikkét:</w:t>
      </w:r>
    </w:p>
    <w:p>
      <w:pPr>
        <w:pStyle w:val="Tiret0"/>
        <w:numPr>
          <w:ilvl w:val="0"/>
          <w:numId w:val="5"/>
        </w:numPr>
        <w:rPr>
          <w:noProof/>
        </w:rPr>
      </w:pPr>
      <w:r>
        <w:rPr>
          <w:noProof/>
        </w:rPr>
        <w:t>a 5. és 6. cikket el kell hagyni, mivel a javaslat a korrekciók alkalmazását minimálisra csökkenti, és nem rendelkezik kompenzációkról.</w:t>
      </w:r>
    </w:p>
    <w:p>
      <w:pPr>
        <w:spacing w:before="240"/>
        <w:rPr>
          <w:b/>
          <w:noProof/>
          <w:color w:val="000000"/>
        </w:rPr>
      </w:pPr>
      <w:bookmarkStart w:id="1" w:name="_CopyToNewDocument_"/>
      <w:bookmarkEnd w:id="1"/>
      <w:r>
        <w:rPr>
          <w:noProof/>
        </w:rPr>
        <w:t>A javaslat 1. cikkének (6) bekezdése a következőképpen módosítja az 1553/89/EGK, Euratom rendelet 7. cikkét:</w:t>
      </w:r>
    </w:p>
    <w:p>
      <w:pPr>
        <w:pStyle w:val="Tiret0"/>
        <w:numPr>
          <w:ilvl w:val="0"/>
          <w:numId w:val="5"/>
        </w:numPr>
        <w:rPr>
          <w:noProof/>
        </w:rPr>
      </w:pPr>
      <w:r>
        <w:rPr>
          <w:noProof/>
        </w:rPr>
        <w:t>a 7. cikk gyakorlatilag változatlan marad. A (2) bekezdésbe beépíti az 5. és a 6. cikk elhagyásából és a 11. cikknek az (EU, Euratom) 20xx/xxxx tanácsi rendelet 4. cikkének (7) bekezdésébe történő áthelyezéséből következő változásokat.</w:t>
      </w:r>
    </w:p>
    <w:p>
      <w:pPr>
        <w:spacing w:before="240"/>
        <w:rPr>
          <w:b/>
          <w:noProof/>
          <w:color w:val="000000"/>
        </w:rPr>
      </w:pPr>
      <w:r>
        <w:rPr>
          <w:noProof/>
        </w:rPr>
        <w:t>A javaslat 1. cikkének (7) bekezdése felváltja az 1553/89/EGK, Euratom rendelet 8. cikkét:</w:t>
      </w:r>
    </w:p>
    <w:p>
      <w:pPr>
        <w:pStyle w:val="Tiret0"/>
        <w:numPr>
          <w:ilvl w:val="0"/>
          <w:numId w:val="5"/>
        </w:numPr>
        <w:rPr>
          <w:noProof/>
        </w:rPr>
      </w:pPr>
      <w:r>
        <w:rPr>
          <w:noProof/>
        </w:rPr>
        <w:t>a 8. cikk lényegében változatlan marad. A „héa-sajátforrás alapjára” kifejezés helyébe az „általános héamértékű hozzáadottértékadó-forrás alapjára” kifejezés lép.</w:t>
      </w:r>
    </w:p>
    <w:p>
      <w:pPr>
        <w:spacing w:before="240"/>
        <w:rPr>
          <w:noProof/>
        </w:rPr>
      </w:pPr>
      <w:r>
        <w:rPr>
          <w:noProof/>
        </w:rPr>
        <w:t>A javaslat 1. cikkének (8) bekezdése felváltja az 1553/89/EGK, Euratom rendelet 10. cikkét:</w:t>
      </w:r>
    </w:p>
    <w:p>
      <w:pPr>
        <w:pStyle w:val="Tiret0"/>
        <w:numPr>
          <w:ilvl w:val="0"/>
          <w:numId w:val="5"/>
        </w:numPr>
        <w:rPr>
          <w:noProof/>
        </w:rPr>
      </w:pPr>
      <w:r>
        <w:rPr>
          <w:noProof/>
        </w:rPr>
        <w:t xml:space="preserve">a 10. cikk érdemben változatlan marad, csupán e javaslat alkalmazási körének megfelelően módosul. Az 5. és 6. cikkre való hivatkozás törlésre kerül, mivel a </w:t>
      </w:r>
      <w:r>
        <w:rPr>
          <w:noProof/>
        </w:rPr>
        <w:lastRenderedPageBreak/>
        <w:t>Bizottság javasolja a kompenzációk és egyes korrekciók megszüntetését. Az eljárások egyszerűsítése érdekében a 10. cikk (2) bekezdésében „a Bizottság megvizsgálja [...]” kifejezés helyébe „a Bizottság [...] fogadhat el” kifejezés lép.</w:t>
      </w:r>
    </w:p>
    <w:p>
      <w:pPr>
        <w:spacing w:before="240"/>
        <w:rPr>
          <w:noProof/>
        </w:rPr>
      </w:pPr>
      <w:r>
        <w:rPr>
          <w:noProof/>
        </w:rPr>
        <w:t>A javaslat 1. cikkének (9) bekezdése módosítja az 1553/89/EGK, Euratom rendelet 11. cikkét:</w:t>
      </w:r>
    </w:p>
    <w:p>
      <w:pPr>
        <w:pStyle w:val="Tiret0"/>
        <w:numPr>
          <w:ilvl w:val="0"/>
          <w:numId w:val="5"/>
        </w:numPr>
        <w:rPr>
          <w:noProof/>
        </w:rPr>
      </w:pPr>
      <w:r>
        <w:rPr>
          <w:noProof/>
        </w:rPr>
        <w:t>11. cikk: a 11. cikk (1) bekezdése átkerült az (EU, Euratom) 20xx/xxxx tanácsi rendelet 4. cikkének (7) bekezdésébe. Az áthelyezett szöveg érdemben változatlan marad, de tükrözi azt a tényt, hogy a súlyozott átlagos adómérték nem része a jelen javaslatnak. A 11. cikk (3) bekezdésének átfogalmazása az ellenőrzési rendelkezések (EU, Euratom) 20xx/xxxx tanácsi rendeletbe történő áthelyezését tükrözi.</w:t>
      </w:r>
    </w:p>
    <w:p>
      <w:pPr>
        <w:spacing w:before="240"/>
        <w:rPr>
          <w:noProof/>
        </w:rPr>
      </w:pPr>
      <w:r>
        <w:rPr>
          <w:noProof/>
        </w:rPr>
        <w:t>A javaslat 1. cikkének (10) bekezdése módosítja az 1553/89/EGK, Euratom rendelet 12. cikkét:</w:t>
      </w:r>
    </w:p>
    <w:p>
      <w:pPr>
        <w:pStyle w:val="Tiret0"/>
        <w:numPr>
          <w:ilvl w:val="0"/>
          <w:numId w:val="5"/>
        </w:numPr>
        <w:rPr>
          <w:noProof/>
        </w:rPr>
      </w:pPr>
      <w:r>
        <w:rPr>
          <w:noProof/>
        </w:rPr>
        <w:t>a 12. cikk érdemben változatlan marad, csupán a javaslat alkalmazási körének megfelelően módosul. A tagállamoknak általánosabb értelemben és csak a hozzáadottérték-adó beszedésére vonatkozó adminisztratív folyamatok és eljárások terén bekövetkező lényeges változásokra vonatkozóan kell információkat szolgáltatniuk a hozzáadottértékadó-beszedésről. A javaslat a jelentéstételi időszakot is összhangba hozza más adórendeletekben és -irányelvekben megállapított időszakokkal. A hozzáadottértékadó-beszedési eljárások hatékonyságának értékelése szempontjából helyénvalóbb a tagállamok által a hozzáadottértékadó-beszedés terén elért javulásról beszámolni, mint magukról az eljárásokról. A szöveg ennek megfelelően módosul.</w:t>
      </w:r>
    </w:p>
    <w:p>
      <w:pPr>
        <w:spacing w:before="240"/>
        <w:rPr>
          <w:noProof/>
        </w:rPr>
      </w:pPr>
      <w:r>
        <w:rPr>
          <w:noProof/>
        </w:rPr>
        <w:t>A javaslat 1. cikkének (11) bekezdése felváltja az 1553/89/EGK, Euratom rendelet 13. cikkét:</w:t>
      </w:r>
    </w:p>
    <w:p>
      <w:pPr>
        <w:pStyle w:val="Tiret0"/>
        <w:numPr>
          <w:ilvl w:val="0"/>
          <w:numId w:val="5"/>
        </w:numPr>
        <w:rPr>
          <w:noProof/>
        </w:rPr>
      </w:pPr>
      <w:r>
        <w:rPr>
          <w:noProof/>
        </w:rPr>
        <w:t>13. cikk: ez a cikk a javaslat alkalmazási körének megfelelően módosul, azaz elhagyásra kerülnek az „engedélyekre” történő hivatkozások.</w:t>
      </w:r>
    </w:p>
    <w:p>
      <w:pPr>
        <w:spacing w:before="240"/>
        <w:rPr>
          <w:b/>
          <w:noProof/>
          <w:color w:val="000000"/>
        </w:rPr>
      </w:pPr>
      <w:r>
        <w:rPr>
          <w:noProof/>
        </w:rPr>
        <w:t>A javaslat 2. cikke a hatálybalépésről, alkalmazásról és visszamenőleges hatályról, valamint az aktusnak a hozzáadottértékadó-alapú saját forrás rendszerére gyakorolt hatásáról szól.</w:t>
      </w:r>
    </w:p>
    <w:p>
      <w:pPr>
        <w:rPr>
          <w:noProof/>
        </w:rPr>
      </w:pPr>
      <w:r>
        <w:rPr>
          <w:noProof/>
        </w:rPr>
        <w:t>A rendeletnek a sajátforrás-határozattal egy időben kell hatályba lépnie. A tervek szerint a hozzáadottértékadó-alapú saját forrás új rendszere visszamenőleges hatállyal az időszak kezdetétől, azaz 2021. január 1-jétől lesz alkalmazandó, így az említett időpont előtt készített kimutatások helyesbítése az akkor hatályos szabályok szerint történik.</w:t>
      </w:r>
    </w:p>
    <w:p>
      <w:pPr>
        <w:rPr>
          <w:noProof/>
        </w:rPr>
      </w:pPr>
      <w:r>
        <w:rPr>
          <w:noProof/>
        </w:rPr>
        <w:t>Végül a „héa-sajátforrás” kifejezés helyébe mindenütt a „hozzáadottértékadó-sajátforrás” kifejezés lép.</w:t>
      </w:r>
    </w:p>
    <w:p>
      <w:pPr>
        <w:rPr>
          <w:noProof/>
        </w:rPr>
        <w:sectPr>
          <w:footerReference w:type="default" r:id="rId19"/>
          <w:footerReference w:type="first" r:id="rId20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2018/0133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RENDELETE</w:t>
      </w:r>
    </w:p>
    <w:p>
      <w:pPr>
        <w:pStyle w:val="Titreobjet"/>
        <w:rPr>
          <w:noProof/>
        </w:rPr>
      </w:pPr>
      <w:r>
        <w:rPr>
          <w:noProof/>
        </w:rPr>
        <w:t>a hozzáadottérték-adóból származó saját források beszedésének végleges egységes rendszeréről szóló 1553/89/EGK, Euratom tanácsi rendelet módosításáról</w:t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322. cikke (2) bekezdésére,</w:t>
      </w:r>
    </w:p>
    <w:p>
      <w:pPr>
        <w:rPr>
          <w:noProof/>
        </w:rPr>
      </w:pPr>
      <w:r>
        <w:rPr>
          <w:noProof/>
        </w:rPr>
        <w:t>tekintettel az Európai Atomenergia-közösséget létrehozó szerződésre és különösen annak 106a. cikkére,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tekintettel az Európai Parlament véleményére</w:t>
      </w:r>
      <w:r>
        <w:rPr>
          <w:rStyle w:val="FootnoteReference"/>
          <w:noProof/>
        </w:rPr>
        <w:footnoteReference w:id="9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tekintettel a Számvevőszék véleményére</w:t>
      </w:r>
      <w:r>
        <w:rPr>
          <w:rStyle w:val="FootnoteReference"/>
          <w:noProof/>
        </w:rPr>
        <w:footnoteReference w:id="10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 20xx/xxxx/EU, Euratom tanácsi határozat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2. cikke (1) bekezdésének b) pontjában említett, a hozzáadottérték-adó egy arányán alapuló uniós saját forrást (a továbbiakban: általános héamértékű hozzáadottértékadó-sajátforrás) a lehető legjobb feltételek mellett kell az Unió rendelkezésére bocsátani. Ennek megfelelően szabályokat kell megállapítani a tagállamok számára az említett forrás uniós költségvetés számára történő rendelkezésre bocsátásáról.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Az egyszerűség, az átláthatóság és az adminisztratív terhek csökkentése érdekében az általános héamértékű hozzáadottértékadó-sajátforrást az általános héamérték alá tartozó ügyletek egy közös uniós aránya alapján kell kiszámítani. Ezen aránynak az általános héamérték alá tartozó, végső fogyasztásra szánt forgalom a tagállamokban egy ötéves időszakon belül mért legalacsonyabb arányainak átlagát kell képviselnie, amelyet a saját forrásokkal foglalkozó tanácsadó bizottság által jóváhagyott nemzeti számlák és költségvetési adatok alapján kell kiszámítani.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Az általános héamértékű hozzáadottértékadó-sajátforrás alapjának kiszámítására vonatkozó szabályokat egységes módon kell meghatározni, az adott naptári évre ténylegesen beszedett bevételekből kiindulva, az általános héamértékű hozzáadottértékadó-sajátforrás alapja meghatározásának egyedüli végleges módszereként.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Ezért az 1553/89/EGK, Euratom rendeletet ennek megfelelően módosítani kell.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A következetesség érdekében e rendeletnek az (EU, Euratom) 20xx/xxxx határozattal megegyező napon kell hatályba lépnie, és a rendeletet 2021. január 1-jétől kell </w:t>
      </w:r>
      <w:r>
        <w:rPr>
          <w:noProof/>
        </w:rPr>
        <w:lastRenderedPageBreak/>
        <w:t>alkalmazni. Az 1553/89/EGK, Euratom rendelet módosításai azonban nem alkalmazandók a hozzáadottértékadó-sajátforrás alapjával kapcsolatos, 2021 előtti pénzügyi évekre vonatkozó kimutatások korrekciójára,</w:t>
      </w:r>
    </w:p>
    <w:p>
      <w:pPr>
        <w:pStyle w:val="Formuledadoption"/>
        <w:rPr>
          <w:noProof/>
        </w:rPr>
      </w:pPr>
      <w:r>
        <w:rPr>
          <w:noProof/>
        </w:rPr>
        <w:t>ELFOGADTA EZT A RENDELETET: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rPr>
          <w:noProof/>
        </w:rPr>
      </w:pPr>
      <w:r>
        <w:rPr>
          <w:noProof/>
        </w:rPr>
        <w:t>Az 1553/89/EGK, Euratom rendelet a következőképpen módosul: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a következő bontást és címeket el kell hagyni:</w:t>
      </w:r>
    </w:p>
    <w:p>
      <w:pPr>
        <w:pStyle w:val="Point1letter"/>
        <w:numPr>
          <w:ilvl w:val="3"/>
          <w:numId w:val="27"/>
        </w:numPr>
        <w:rPr>
          <w:noProof/>
        </w:rPr>
      </w:pPr>
      <w:r>
        <w:rPr>
          <w:noProof/>
        </w:rPr>
        <w:t>„I. CÍM Általános rendelkezések”;</w:t>
      </w:r>
    </w:p>
    <w:p>
      <w:pPr>
        <w:pStyle w:val="Point1letter"/>
        <w:rPr>
          <w:noProof/>
        </w:rPr>
      </w:pPr>
      <w:r>
        <w:rPr>
          <w:noProof/>
        </w:rPr>
        <w:t>„II. CÍM Hatály”;</w:t>
      </w:r>
    </w:p>
    <w:p>
      <w:pPr>
        <w:pStyle w:val="Point1letter"/>
        <w:rPr>
          <w:noProof/>
        </w:rPr>
      </w:pPr>
      <w:r>
        <w:rPr>
          <w:noProof/>
        </w:rPr>
        <w:t>„III. CÍM Számítási módszer”;</w:t>
      </w:r>
    </w:p>
    <w:p>
      <w:pPr>
        <w:pStyle w:val="Point1letter"/>
        <w:rPr>
          <w:noProof/>
        </w:rPr>
      </w:pPr>
      <w:r>
        <w:rPr>
          <w:noProof/>
        </w:rPr>
        <w:t>„IV. CÍM A saját források elszámolására és rendelkezésre bocsátására vonatkozó szabályok”;</w:t>
      </w:r>
    </w:p>
    <w:p>
      <w:pPr>
        <w:pStyle w:val="Point1letter"/>
        <w:rPr>
          <w:noProof/>
        </w:rPr>
      </w:pPr>
      <w:r>
        <w:rPr>
          <w:noProof/>
        </w:rPr>
        <w:t>„V. CÍM Ellenőrzési szabályok”;</w:t>
      </w:r>
    </w:p>
    <w:p>
      <w:pPr>
        <w:pStyle w:val="Point1letter"/>
        <w:rPr>
          <w:noProof/>
        </w:rPr>
      </w:pPr>
      <w:r>
        <w:rPr>
          <w:noProof/>
        </w:rPr>
        <w:t>VI. CÍM Záró rendelkezések”;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az 1. cikk helyébe a következő szöveg lép:</w:t>
      </w:r>
    </w:p>
    <w:p>
      <w:pPr>
        <w:pStyle w:val="Titrearticle"/>
        <w:rPr>
          <w:noProof/>
        </w:rPr>
      </w:pPr>
      <w:r>
        <w:rPr>
          <w:noProof/>
        </w:rPr>
        <w:t>„1. cikk</w:t>
      </w:r>
    </w:p>
    <w:p>
      <w:pPr>
        <w:rPr>
          <w:noProof/>
        </w:rPr>
      </w:pPr>
      <w:r>
        <w:rPr>
          <w:noProof/>
        </w:rPr>
        <w:t>Az általános héamértékű hozzáadottértékadó-sajátforrást az (EU, Euratom) 20xx/xxxx tanácsi határozattal* összhangban meghatározott egységes lehívási mértéknek az e rendelettel összhangban meghatározott általános héamértékű hozzáadottértékadó-sajátforrás alapjára történő alkalmazásával kell kiszámítani.</w:t>
      </w:r>
    </w:p>
    <w:p>
      <w:pPr>
        <w:pBdr>
          <w:bottom w:val="single" w:sz="6" w:space="1" w:color="auto"/>
        </w:pBdr>
        <w:rPr>
          <w:noProof/>
        </w:rPr>
      </w:pPr>
      <w:r>
        <w:rPr>
          <w:noProof/>
        </w:rPr>
        <w:t>Az általános héamérték a hozzáadottérték-adónak a 2006/112/EK tanácsi irányelv** 96. cikkében említett mértéke.</w:t>
      </w:r>
    </w:p>
    <w:p>
      <w:pPr>
        <w:rPr>
          <w:noProof/>
        </w:rPr>
      </w:pPr>
      <w:r>
        <w:rPr>
          <w:noProof/>
        </w:rPr>
        <w:t>* A Tanács (EU, Euratom) 20xx/xxxx határozata ([DÁTUM]) az Európai Unió saját forrásainak rendszeréről (HL L [...], [...], [...]. o.).</w:t>
      </w:r>
    </w:p>
    <w:p>
      <w:pPr>
        <w:rPr>
          <w:noProof/>
        </w:rPr>
      </w:pPr>
      <w:r>
        <w:rPr>
          <w:noProof/>
        </w:rPr>
        <w:t>** A Tanács 2006/112/EK irányelve (2006. november 28.) a közös hozzáadottértékadó-rendszerről (HL L 347., 2006.12.11., 1. o.).”;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a 2. cikket el kell hagyni;</w:t>
      </w: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a 3. és 4. cikk helyébe a következő szöveg lép:</w:t>
      </w:r>
    </w:p>
    <w:p>
      <w:pPr>
        <w:pStyle w:val="Titrearticle"/>
        <w:rPr>
          <w:noProof/>
        </w:rPr>
      </w:pPr>
      <w:r>
        <w:rPr>
          <w:noProof/>
        </w:rPr>
        <w:t>„3. cikk</w:t>
      </w:r>
    </w:p>
    <w:p>
      <w:pPr>
        <w:pStyle w:val="Point0"/>
        <w:rPr>
          <w:noProof/>
        </w:rPr>
      </w:pPr>
      <w:r>
        <w:rPr>
          <w:noProof/>
        </w:rPr>
        <w:t>(1)</w:t>
      </w:r>
      <w:r>
        <w:rPr>
          <w:noProof/>
        </w:rPr>
        <w:tab/>
        <w:t>Egy adott naptári évre vonatkozóan az egyes tagállamok az adott naptári évben a 2006/112/EK irányelv 2. cikkében említett adóköteles ügyletek után az általuk beszedett teljes nettó hozzáadottértékadó-bevétel alapján számítják ki az általános héamértékű hozzáadottértékadó-sajátforrás alapját. Ezt az összeget a következő összegek figyelembevételével helyesbíteni kell: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minden olyan összeg, amelyet a saját források szempontjából a tagállamok területéről kiinduló vagy oda irányuló ügyletként kell kezelni, noha az ügylet a 2006/112/EK irányelv 6. cikkében említett területek egyikéről indult ki vagy oda irányult;</w:t>
      </w:r>
    </w:p>
    <w:p>
      <w:pPr>
        <w:pStyle w:val="Point1"/>
        <w:rPr>
          <w:noProof/>
        </w:rPr>
      </w:pPr>
      <w:r>
        <w:rPr>
          <w:noProof/>
        </w:rPr>
        <w:lastRenderedPageBreak/>
        <w:t>b)</w:t>
      </w:r>
      <w:r>
        <w:rPr>
          <w:noProof/>
        </w:rPr>
        <w:tab/>
        <w:t>a 2006/112/EK irányelv 7. cikkében említett területek valamelyikéről származó összegek, amennyiben a tagállamok bizonyítani tudják, hogy a bevételt oda utalták át.</w:t>
      </w:r>
    </w:p>
    <w:p>
      <w:pPr>
        <w:pStyle w:val="Point0"/>
        <w:rPr>
          <w:noProof/>
        </w:rPr>
      </w:pPr>
      <w:r>
        <w:rPr>
          <w:noProof/>
        </w:rPr>
        <w:t>(2)</w:t>
      </w:r>
      <w:r>
        <w:rPr>
          <w:noProof/>
        </w:rPr>
        <w:tab/>
        <w:t>Az (1) bekezdéssel összhangban kapott összeget 45 %-kal meg kell szorozni.</w:t>
      </w:r>
    </w:p>
    <w:p>
      <w:pPr>
        <w:pStyle w:val="Point0"/>
        <w:rPr>
          <w:noProof/>
        </w:rPr>
      </w:pPr>
      <w:r>
        <w:rPr>
          <w:noProof/>
        </w:rPr>
        <w:t>(3)</w:t>
      </w:r>
      <w:r>
        <w:rPr>
          <w:noProof/>
        </w:rPr>
        <w:tab/>
        <w:t>A (2) bekezdéssel összhangban kapott összeget el kell osztani a 2006/112/EK irányelv szerint az érintett tagállamban abban az évben alkalmazandó általános héamértékkel, amelyben a hozzáadottérték-adó beszedése megtörtént.</w:t>
      </w:r>
    </w:p>
    <w:p>
      <w:pPr>
        <w:pStyle w:val="Point0"/>
        <w:rPr>
          <w:noProof/>
        </w:rPr>
      </w:pPr>
      <w:r>
        <w:rPr>
          <w:noProof/>
        </w:rPr>
        <w:t>(4)</w:t>
      </w:r>
      <w:r>
        <w:rPr>
          <w:noProof/>
        </w:rPr>
        <w:tab/>
        <w:t>Az uniós költségvetés számára rendelkezésre bocsátandó általános héamértékű hozzáadottértékadó-sajátforrás a (3) bekezdéssel összhangban kapott összeg és az (EU, Euratom) 20xx/xxxx tanácsi rendelet* 1. cikkének (1) bekezdésében említett egységes lehívási mérték szorzata.</w:t>
      </w:r>
    </w:p>
    <w:p>
      <w:pPr>
        <w:pStyle w:val="Point0"/>
        <w:rPr>
          <w:noProof/>
        </w:rPr>
      </w:pPr>
      <w:r>
        <w:rPr>
          <w:noProof/>
        </w:rPr>
        <w:t>(5)</w:t>
      </w:r>
      <w:r>
        <w:rPr>
          <w:noProof/>
        </w:rPr>
        <w:tab/>
        <w:t>Amennyiben az Unió általános héamértékű hozzáadottértékadó-sajátforrásában a 2006/112/EK irányelv megsértése miatt csökkenés következik be, az Unió a szóban forgó saját forrás teljes összegére, valamint a 609/2014, Euratom tanácsi rendelet** 12. cikkével összhangban számított késedelmi kamatra jogosult.</w:t>
      </w:r>
    </w:p>
    <w:p>
      <w:pPr>
        <w:pStyle w:val="Titrearticle"/>
        <w:rPr>
          <w:noProof/>
        </w:rPr>
      </w:pPr>
      <w:r>
        <w:rPr>
          <w:noProof/>
        </w:rPr>
        <w:t>4. cikk</w:t>
      </w:r>
    </w:p>
    <w:p>
      <w:pPr>
        <w:pStyle w:val="Point0"/>
        <w:rPr>
          <w:noProof/>
        </w:rPr>
      </w:pPr>
      <w:r>
        <w:rPr>
          <w:noProof/>
        </w:rPr>
        <w:t>(1)</w:t>
      </w:r>
      <w:r>
        <w:rPr>
          <w:noProof/>
        </w:rPr>
        <w:tab/>
        <w:t>Az általános héamértékű hozzáadottértékadó-sajátforrás alapját naptári évek alapján kell kiszámítani.</w:t>
      </w:r>
    </w:p>
    <w:p>
      <w:pPr>
        <w:pStyle w:val="Point0"/>
        <w:rPr>
          <w:noProof/>
        </w:rPr>
      </w:pPr>
      <w:r>
        <w:rPr>
          <w:noProof/>
        </w:rPr>
        <w:t>(2)</w:t>
      </w:r>
      <w:r>
        <w:rPr>
          <w:noProof/>
        </w:rPr>
        <w:tab/>
        <w:t>Amennyiben egy tagállam megváltoztatja az általános héamértéket, az új héamértéket az új héamérték hatálybalépését követő hónap első napjától kell alkalmazni. A 3. cikk (3) bekezdésében említett számítás céljára ki kell számítani a két héamérték időarányosított értékét.</w:t>
      </w:r>
    </w:p>
    <w:p>
      <w:pPr>
        <w:rPr>
          <w:noProof/>
        </w:rPr>
      </w:pPr>
      <w:r>
        <w:rPr>
          <w:noProof/>
        </w:rPr>
        <w:t>* A Tanács (EU, Euratom) 20xx/xxxx rendelete ([DÁTUM]) az Európai Unió saját forrásainak rendszerére vonatkozó végrehajtási intézkedésekről (HL L [...], [...], [...]. o.).</w:t>
      </w:r>
    </w:p>
    <w:p>
      <w:pPr>
        <w:rPr>
          <w:noProof/>
        </w:rPr>
      </w:pPr>
      <w:r>
        <w:rPr>
          <w:noProof/>
        </w:rPr>
        <w:t>** A Tanács 609/2014/EU, Euratom rendelete (2014. május 26.) a tradicionális, a héa- és a GNI-alapú saját források rendelkezésre bocsátásának módszereiről és eljárásáról, valamint a készpénzigények teljesítését célzó intézkedésekről (HL L 168., 2014.6.7., 39. o.)”;</w:t>
      </w:r>
    </w:p>
    <w:p>
      <w:pPr>
        <w:pStyle w:val="Point0"/>
        <w:rPr>
          <w:noProof/>
        </w:rPr>
      </w:pPr>
      <w:r>
        <w:rPr>
          <w:noProof/>
        </w:rPr>
        <w:t>5.</w:t>
      </w:r>
      <w:r>
        <w:rPr>
          <w:noProof/>
        </w:rPr>
        <w:tab/>
        <w:t>az 5. és a 6. cikket el kell hagyni;</w:t>
      </w:r>
    </w:p>
    <w:p>
      <w:pPr>
        <w:pStyle w:val="Point0"/>
        <w:rPr>
          <w:noProof/>
        </w:rPr>
      </w:pPr>
      <w:r>
        <w:rPr>
          <w:noProof/>
        </w:rPr>
        <w:t>6.</w:t>
      </w:r>
      <w:r>
        <w:rPr>
          <w:noProof/>
        </w:rPr>
        <w:tab/>
        <w:t>a 7. cikk (1) és (2) bekezdése helyébe a következő szöveg lép:</w:t>
      </w:r>
    </w:p>
    <w:p>
      <w:pPr>
        <w:rPr>
          <w:noProof/>
        </w:rPr>
      </w:pPr>
      <w:r>
        <w:rPr>
          <w:noProof/>
        </w:rPr>
        <w:t>„(1)</w:t>
      </w:r>
      <w:r>
        <w:rPr>
          <w:noProof/>
        </w:rPr>
        <w:tab/>
        <w:t>A tagállamok legkésőbb július 31-ig megküldik a Bizottságnak az általános héamértékű hozzáadottértékadó-sajátforrás alapjának teljes összegére vonatkozóan a 3. cikknek megfelelően készített előző naptári évi kimutatásukat, amelyre az 1. cikkben említett mértéket kell alkalmazni.</w:t>
      </w:r>
    </w:p>
    <w:p>
      <w:pPr>
        <w:rPr>
          <w:noProof/>
        </w:rPr>
      </w:pPr>
      <w:r>
        <w:rPr>
          <w:noProof/>
        </w:rPr>
        <w:t>(2)</w:t>
      </w:r>
      <w:r>
        <w:rPr>
          <w:noProof/>
        </w:rPr>
        <w:tab/>
        <w:t>A kimutatás tartalmazza az alap meghatározásához felhasznált összes olyan adatot, amely az (EU, Euratom) 20xx/xxxx rendelet 4. cikkének (7) bekezdésében említett ellenőrzésekhez szükséges.”;</w:t>
      </w:r>
    </w:p>
    <w:p>
      <w:pPr>
        <w:pStyle w:val="Point0"/>
        <w:rPr>
          <w:noProof/>
        </w:rPr>
      </w:pPr>
      <w:r>
        <w:rPr>
          <w:noProof/>
        </w:rPr>
        <w:t>7.</w:t>
      </w:r>
      <w:r>
        <w:rPr>
          <w:noProof/>
        </w:rPr>
        <w:tab/>
        <w:t>a 8. cikk helyébe a következő szöveg lép:</w:t>
      </w:r>
    </w:p>
    <w:p>
      <w:pPr>
        <w:pStyle w:val="Titrearticle"/>
        <w:rPr>
          <w:noProof/>
        </w:rPr>
      </w:pPr>
      <w:r>
        <w:rPr>
          <w:noProof/>
        </w:rPr>
        <w:t>„8. cikk</w:t>
      </w:r>
    </w:p>
    <w:p>
      <w:pPr>
        <w:rPr>
          <w:noProof/>
        </w:rPr>
      </w:pPr>
      <w:r>
        <w:rPr>
          <w:noProof/>
        </w:rPr>
        <w:t>A tagállamok minden év április hó 15. napjáig megküldik a Bizottságnak az általános héamértékű hozzáadottértékadó-forrás alapjára vonatkozó következő pénzügyi évi előirányzatukat.”;</w:t>
      </w:r>
    </w:p>
    <w:p>
      <w:pPr>
        <w:pStyle w:val="Point0"/>
        <w:rPr>
          <w:noProof/>
        </w:rPr>
      </w:pPr>
      <w:r>
        <w:rPr>
          <w:noProof/>
        </w:rPr>
        <w:lastRenderedPageBreak/>
        <w:t>8.</w:t>
      </w:r>
      <w:r>
        <w:rPr>
          <w:noProof/>
        </w:rPr>
        <w:tab/>
        <w:t>a 10. cikk helyébe a következő szöveg lép:</w:t>
      </w:r>
    </w:p>
    <w:p>
      <w:pPr>
        <w:pStyle w:val="Titrearticle"/>
        <w:rPr>
          <w:noProof/>
        </w:rPr>
      </w:pPr>
      <w:r>
        <w:rPr>
          <w:noProof/>
        </w:rPr>
        <w:t>„10. cikk</w:t>
      </w:r>
    </w:p>
    <w:p>
      <w:pPr>
        <w:pStyle w:val="Point0"/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A tagállamok minden egyes pénzügyi év április hó 30. napjáig tájékoztatják a Bizottságot azokról a megoldásokról és kapcsolódó módosításokról, amelyeket a 3. cikk (1) bekezdésében említett összeg meghatározása érdekében javasolnak. A javasolt megoldásban adott esetben feltüntetik azon adatok körét, amelyeket helyénvalónak tartanak, valamint minden egyes korrekció vonatkozásában az alap értékére vonatkozó becslést. </w:t>
      </w:r>
    </w:p>
    <w:p>
      <w:pPr>
        <w:pStyle w:val="Text1"/>
        <w:rPr>
          <w:noProof/>
        </w:rPr>
      </w:pPr>
      <w:r>
        <w:rPr>
          <w:noProof/>
        </w:rPr>
        <w:t>A Bizottság május 31-ig megküldi a többi tagállamnak az egyes tagállamoktól kapott, első albekezdés szerinti információkat.</w:t>
      </w:r>
    </w:p>
    <w:p>
      <w:pPr>
        <w:pStyle w:val="Point0"/>
        <w:rPr>
          <w:noProof/>
        </w:rPr>
      </w:pPr>
      <w:r>
        <w:rPr>
          <w:noProof/>
        </w:rPr>
        <w:t>(2)</w:t>
      </w:r>
      <w:r>
        <w:rPr>
          <w:noProof/>
        </w:rPr>
        <w:tab/>
        <w:t>A Bizottság végrehajtási jogi aktusokat fogadhat el a tagállamok által az (1) bekezdéssel összhangban javasolt megoldásokról. E végrehajtási jogi aktusok elfogadása a 13. cikk (2) bekezdésében ismertetett tanácsadó-bizottsági eljárással összhangban történik.”;</w:t>
      </w:r>
    </w:p>
    <w:p>
      <w:pPr>
        <w:pStyle w:val="Point0"/>
        <w:rPr>
          <w:noProof/>
        </w:rPr>
      </w:pPr>
      <w:r>
        <w:rPr>
          <w:noProof/>
        </w:rPr>
        <w:t>9.</w:t>
      </w:r>
      <w:r>
        <w:rPr>
          <w:noProof/>
        </w:rPr>
        <w:tab/>
        <w:t>a 11. cikk a következőképpen módosul: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az (1) bekezdést el kell hagyni;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a (3) bekezdés helyébe a következő szöveg lép:</w:t>
      </w:r>
    </w:p>
    <w:p>
      <w:pPr>
        <w:rPr>
          <w:noProof/>
        </w:rPr>
      </w:pPr>
      <w:r>
        <w:rPr>
          <w:noProof/>
        </w:rPr>
        <w:t>„Az (EU, Euratom) 20xx/xxxx rendelet 4. cikkének (7) bekezdésében említett ellenőrzéseket követően az adott pénzügyi évre vonatkozó éves kimutatásokat a 9. cikkben meghatározott módon korrigálni kell.”;</w:t>
      </w:r>
    </w:p>
    <w:p>
      <w:pPr>
        <w:pStyle w:val="Point0"/>
        <w:rPr>
          <w:noProof/>
        </w:rPr>
      </w:pPr>
      <w:r>
        <w:rPr>
          <w:noProof/>
        </w:rPr>
        <w:t>10.</w:t>
      </w:r>
      <w:r>
        <w:rPr>
          <w:noProof/>
        </w:rPr>
        <w:tab/>
        <w:t xml:space="preserve">a 12. cikk helyébe a következő szöveg lép: </w:t>
      </w:r>
    </w:p>
    <w:p>
      <w:pPr>
        <w:pStyle w:val="Titrearticle"/>
        <w:rPr>
          <w:noProof/>
        </w:rPr>
      </w:pPr>
      <w:r>
        <w:rPr>
          <w:noProof/>
        </w:rPr>
        <w:t>„12. cikk</w:t>
      </w:r>
    </w:p>
    <w:p>
      <w:pPr>
        <w:pStyle w:val="Point0"/>
        <w:rPr>
          <w:noProof/>
        </w:rPr>
      </w:pPr>
      <w:r>
        <w:rPr>
          <w:noProof/>
        </w:rPr>
        <w:t>(1)</w:t>
      </w:r>
      <w:r>
        <w:rPr>
          <w:noProof/>
        </w:rPr>
        <w:tab/>
        <w:t>A tagállamok minden évben tájékoztatják a Bizottságot a hozzáadottérték-adó beszedésére vonatkozó igazgatási folyamataik és eljárásaik valamennyi lényeges változásáról.</w:t>
      </w:r>
    </w:p>
    <w:p>
      <w:pPr>
        <w:pStyle w:val="Point0"/>
        <w:rPr>
          <w:noProof/>
        </w:rPr>
      </w:pPr>
      <w:r>
        <w:rPr>
          <w:noProof/>
        </w:rPr>
        <w:t>(2)</w:t>
      </w:r>
      <w:r>
        <w:rPr>
          <w:noProof/>
        </w:rPr>
        <w:tab/>
        <w:t>A Bizottság az érintett tagállammal együtt mérlegeli, hogy hatékonyságuk javítása érdekében szükséges-e ezen folyamatok és eljárások továbbfejlesztése.</w:t>
      </w:r>
    </w:p>
    <w:p>
      <w:pPr>
        <w:pStyle w:val="Point0"/>
        <w:rPr>
          <w:noProof/>
        </w:rPr>
      </w:pPr>
      <w:r>
        <w:rPr>
          <w:noProof/>
        </w:rPr>
        <w:t>(3)</w:t>
      </w:r>
      <w:r>
        <w:rPr>
          <w:noProof/>
        </w:rPr>
        <w:tab/>
        <w:t>A Bizottság ötévente jelentést készít a tagállamok által a hozzáadottérték-adó beszedése terén megtett intézkedésekről és az elért eredményekről, valamint a tervezett fejlesztésekről.</w:t>
      </w:r>
    </w:p>
    <w:p>
      <w:pPr>
        <w:pStyle w:val="Text1"/>
        <w:rPr>
          <w:noProof/>
        </w:rPr>
      </w:pPr>
      <w:r>
        <w:rPr>
          <w:noProof/>
        </w:rPr>
        <w:t>A Bizottság első alkalommal 2023. december 31-ig nyújtja be e jelentését az Európai Parlamentnek és a Tanácsnak.”;</w:t>
      </w:r>
    </w:p>
    <w:p>
      <w:pPr>
        <w:pStyle w:val="Point0"/>
        <w:rPr>
          <w:noProof/>
        </w:rPr>
      </w:pPr>
      <w:r>
        <w:rPr>
          <w:noProof/>
        </w:rPr>
        <w:t>11.</w:t>
      </w:r>
      <w:r>
        <w:rPr>
          <w:noProof/>
        </w:rPr>
        <w:tab/>
        <w:t>a 13. cikk helyébe a következő szöveg lép:</w:t>
      </w:r>
    </w:p>
    <w:p>
      <w:pPr>
        <w:pStyle w:val="Titrearticle"/>
        <w:rPr>
          <w:noProof/>
        </w:rPr>
      </w:pPr>
      <w:r>
        <w:rPr>
          <w:noProof/>
        </w:rPr>
        <w:t>„13. cikk</w:t>
      </w:r>
    </w:p>
    <w:p>
      <w:pPr>
        <w:pStyle w:val="Point0"/>
        <w:rPr>
          <w:noProof/>
        </w:rPr>
      </w:pPr>
      <w:r>
        <w:rPr>
          <w:noProof/>
        </w:rPr>
        <w:t>(1)</w:t>
      </w:r>
      <w:r>
        <w:rPr>
          <w:noProof/>
        </w:rPr>
        <w:tab/>
        <w:t>A Bizottságot az (EU, Euratom) 20xx/xxxx rendelet 9. cikke által létrehozott saját forrásokkal foglalkozó tanácsadó bizottság segíti. Ez a bizottság a 182/2011/EU európai parlamenti és tanácsi rendelet* szerinti bizottságnak minősül.</w:t>
      </w:r>
    </w:p>
    <w:p>
      <w:pPr>
        <w:pStyle w:val="Point0"/>
        <w:rPr>
          <w:noProof/>
        </w:rPr>
      </w:pPr>
      <w:r>
        <w:rPr>
          <w:noProof/>
        </w:rPr>
        <w:t>(2)</w:t>
      </w:r>
      <w:r>
        <w:rPr>
          <w:noProof/>
        </w:rPr>
        <w:tab/>
        <w:t>Az e bekezdésre történő hivatkozáskor a 182/2011/EU rendelet 4. cikkét kell alkalmazni.</w:t>
      </w:r>
    </w:p>
    <w:p>
      <w:pPr>
        <w:rPr>
          <w:noProof/>
        </w:rPr>
      </w:pPr>
      <w:r>
        <w:rPr>
          <w:noProof/>
        </w:rPr>
        <w:lastRenderedPageBreak/>
        <w:t>* Az Európai Parlament és a Tanács 182/2011/EU rendelete (2011. február 16.) a Bizottság végrehajtási hatásköreinek gyakorlására vonatkozó tagállami ellenőrzési mechanizmusok szabályainak és általános elveinek megállapításáról (HL L 55., 2011.2.28., 13. o.).”.</w:t>
      </w:r>
    </w:p>
    <w:p>
      <w:pPr>
        <w:pStyle w:val="Titrearticle"/>
        <w:rPr>
          <w:noProof/>
        </w:rPr>
      </w:pPr>
      <w:r>
        <w:rPr>
          <w:noProof/>
        </w:rPr>
        <w:t>2. cikk</w:t>
      </w:r>
    </w:p>
    <w:p>
      <w:pPr>
        <w:rPr>
          <w:noProof/>
        </w:rPr>
      </w:pPr>
      <w:r>
        <w:rPr>
          <w:noProof/>
        </w:rPr>
        <w:t>Ez a rendelet az (EU, Euratom) 20xx/xxxx határozat hatálybalépésének napján lép hatályba.</w:t>
      </w:r>
    </w:p>
    <w:p>
      <w:pPr>
        <w:rPr>
          <w:noProof/>
        </w:rPr>
      </w:pPr>
      <w:r>
        <w:rPr>
          <w:noProof/>
        </w:rPr>
        <w:t>Ezt a rendeletet 2021. január 1-jétől kell alkalmazni.</w:t>
      </w:r>
    </w:p>
    <w:p>
      <w:pPr>
        <w:rPr>
          <w:noProof/>
        </w:rPr>
      </w:pPr>
      <w:r>
        <w:rPr>
          <w:noProof/>
        </w:rPr>
        <w:t>Az 1. cikk azonban nem alkalmazandó a hozzáadottértékadó-sajátforrás alapjával kapcsolatos, 2021 előtti pénzügyi évekre vonatkozó kimutatások korrekciójára.</w:t>
      </w:r>
    </w:p>
    <w:p>
      <w:pPr>
        <w:pStyle w:val="Applicationdirecte"/>
        <w:rPr>
          <w:noProof/>
        </w:rPr>
      </w:pPr>
      <w:r>
        <w:rPr>
          <w:noProof/>
        </w:rPr>
        <w:t>Ez a rendelet teljes egészében kötelező és közvetlenül alkalmazandó valamennyi tagállamban.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5BFF3B" w16cid:durableId="1E77C242"/>
  <w16cid:commentId w16cid:paraId="233524B3" w16cid:durableId="1E77C2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A Tanács 1553/89/EGK, Euratom rendelete (1989. május 29.) a hozzáadottérték-adóból származó saját források beszedésének végleges egységes rendszeréről (HL L 155., 1989.6.7., 9. o., magyar nyelvű különkiadás: 1. fejezet, 1. kötet, 197. o.).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COM(2018) 325 final (2018.5.2.)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Future Financing of the EU (Az EU jövőbeli finanszírozása). A saját forrásokkal foglalkozó magas szintű munkacsoport zárójelentése és ajánlásai. 2016. december.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A Tanács határozata (2014. május 26.) az Európai Unió saját forrásainak rendszeréről (2014/335/EU, Euratom) (HL L 168., 2014.6.7., 105. o.).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A Tanács 609/2014/EU, Euratom rendelete (2014. május 26.) a tradicionális, a héa- és a GNI-alapú saját források rendelkezésre bocsátásának módszereiről és eljárásáról, valamint a készpénzigények teljesítését célzó intézkedésekről (HL L 168., 2014.6.7., 39. o.).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COM(2018) 326 final (2018.5.2.).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A Tanács  2006/112/EK irányelve (2006. november 28.) a közös hozzáadottértékadó-rendszerről (HL L 347., 2006.12.11., 1. o.).</w:t>
      </w:r>
    </w:p>
  </w:footnote>
  <w:footnote w:id="9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HL C […]., […]., […]. o.</w:t>
      </w:r>
    </w:p>
  </w:footnote>
  <w:footnote w:id="10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HL C […]., […]., […]. o.</w:t>
      </w:r>
    </w:p>
  </w:footnote>
  <w:footnote w:id="11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HL L […]., […]., […]. 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97C01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AAC07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292B54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82265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80452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EF863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738B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AE8D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8"/>
    <w:lvlOverride w:ilvl="0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04 16:21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350304CD-8AEB-4EEF-8841-5CE1D20D12D7"/>
    <w:docVar w:name="LW_COVERPAGE_TYPE" w:val="1"/>
    <w:docVar w:name="LW_CROSSREFERENCE" w:val="&lt;UNUSED&gt;"/>
    <w:docVar w:name="LW_DocType" w:val="COM"/>
    <w:docVar w:name="LW_EMISSION" w:val="2018.5.2."/>
    <w:docVar w:name="LW_EMISSION_ISODATE" w:val="2018-05-02"/>
    <w:docVar w:name="LW_EMISSION_LOCATION" w:val="BRX"/>
    <w:docVar w:name="LW_EMISSION_PREFIX" w:val="Brüsszel, "/>
    <w:docVar w:name="LW_EMISSION_SUFFIX" w:val="&lt;EMPTY&gt;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33"/>
    <w:docVar w:name="LW_REF.II.NEW.CP_YEAR" w:val="2018"/>
    <w:docVar w:name="LW_REF.INST.NEW" w:val="COM"/>
    <w:docVar w:name="LW_REF.INST.NEW_ADOPTED" w:val="final"/>
    <w:docVar w:name="LW_REF.INST.NEW_TEXT" w:val="(2018) 32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 hozzáadottérték-adóból származó saját források beszedésének végleges egységes rendszerér\u337?l szóló 1553/89/EGK, Euratom tanácsi rendelet módosításáról"/>
    <w:docVar w:name="LW_TYPE.DOC.CP" w:val="A TANÁCS RENDELET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0" w:after="0"/>
      <w:jc w:val="left"/>
    </w:pPr>
    <w:rPr>
      <w:rFonts w:eastAsia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19"/>
      <w:szCs w:val="1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0" w:after="0"/>
      <w:jc w:val="left"/>
    </w:pPr>
    <w:rPr>
      <w:rFonts w:eastAsia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19"/>
      <w:szCs w:val="1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F62F566B6F5A54B836441EDBF78D9E4" ma:contentTypeVersion="1" ma:contentTypeDescription="Create a new document in this library." ma:contentTypeScope="" ma:versionID="090cbd4403d3e637825df014b956ea67">
  <xsd:schema xmlns:xsd="http://www.w3.org/2001/XMLSchema" xmlns:xs="http://www.w3.org/2001/XMLSchema" xmlns:p="http://schemas.microsoft.com/office/2006/metadata/properties" xmlns:ns3="4b000966-a7c4-4b01-8bf4-80f725bfe09b" targetNamespace="http://schemas.microsoft.com/office/2006/metadata/properties" ma:root="true" ma:fieldsID="bb0e027ce7901fc0c7391a5a3b57f750" ns3:_="">
    <xsd:import namespace="4b000966-a7c4-4b01-8bf4-80f725bfe09b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0966-a7c4-4b01-8bf4-80f725bfe09b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4b000966-a7c4-4b01-8bf4-80f725bfe09b">Not Started</EC_Collab_Status>
    <EC_Collab_Reference xmlns="4b000966-a7c4-4b01-8bf4-80f725bfe09b" xsi:nil="true"/>
    <EC_Collab_DocumentLanguage xmlns="4b000966-a7c4-4b01-8bf4-80f725bfe09b">EN</EC_Collab_DocumentLangu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6DB7B25-527B-4B92-ABF4-19BA4EA7D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7B1C2-BF42-4A15-BF6D-09E6A8F97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00966-a7c4-4b01-8bf4-80f725bf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D1E09-D0D0-46FE-93FB-937F09A4D7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4b000966-a7c4-4b01-8bf4-80f725bfe09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3B3789-896F-4A63-BC8A-FB2AEF4B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10</Pages>
  <Words>2512</Words>
  <Characters>17410</Characters>
  <Application>Microsoft Office Word</Application>
  <DocSecurity>0</DocSecurity>
  <Lines>310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20</cp:revision>
  <cp:lastPrinted>2018-04-19T21:17:00Z</cp:lastPrinted>
  <dcterms:created xsi:type="dcterms:W3CDTF">2018-05-04T10:31:00Z</dcterms:created>
  <dcterms:modified xsi:type="dcterms:W3CDTF">2018-05-04T14:21:00Z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ContentTypeId">
    <vt:lpwstr>0x010100258AA79CEB83498886A3A0868112325000DF62F566B6F5A54B836441EDBF78D9E4</vt:lpwstr>
  </property>
  <property fmtid="{D5CDD505-2E9C-101B-9397-08002B2CF9AE}" pid="11" name="DQCStatus">
    <vt:lpwstr>Green (DQC version 03)</vt:lpwstr>
  </property>
</Properties>
</file>