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D025DEDA-F2C1-4079-B636-0DDB432D9CB9" style="width:450.4pt;height:352.3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u w:val="none"/>
        </w:rPr>
      </w:pPr>
      <w:bookmarkStart w:id="0" w:name="_GoBack"/>
      <w:bookmarkEnd w:id="0"/>
      <w:r>
        <w:rPr>
          <w:noProof/>
          <w:u w:val="none"/>
        </w:rPr>
        <w:lastRenderedPageBreak/>
        <w:t>AIŠKINAMASIS MEMORANDUMAS</w:t>
      </w:r>
    </w:p>
    <w:p>
      <w:pPr>
        <w:pStyle w:val="ManualHeading1"/>
        <w:rPr>
          <w:noProof/>
        </w:rPr>
      </w:pPr>
      <w:r>
        <w:t>1.</w:t>
      </w:r>
      <w:r>
        <w:tab/>
      </w:r>
      <w:r>
        <w:rPr>
          <w:noProof/>
        </w:rPr>
        <w:t>Pasiūlymo aplinkybės</w:t>
      </w:r>
    </w:p>
    <w:p>
      <w:pPr>
        <w:pBdr>
          <w:top w:val="nil"/>
          <w:left w:val="nil"/>
          <w:bottom w:val="nil"/>
          <w:right w:val="nil"/>
          <w:between w:val="nil"/>
          <w:bar w:val="nil"/>
        </w:pBdr>
        <w:spacing w:before="0" w:after="240"/>
        <w:rPr>
          <w:rFonts w:eastAsia="Arial Unicode MS"/>
          <w:noProof/>
        </w:rPr>
      </w:pPr>
      <w:r>
        <w:rPr>
          <w:noProof/>
        </w:rPr>
        <w:t>Šio pasiūlymo tikslas – iš dalies pakeičiant Tarybos reglamentą (EEB, Euratomas) Nr. 1553/89</w:t>
      </w:r>
      <w:r>
        <w:rPr>
          <w:rStyle w:val="FootnoteReference"/>
          <w:noProof/>
        </w:rPr>
        <w:footnoteReference w:id="2"/>
      </w:r>
      <w:r>
        <w:rPr>
          <w:noProof/>
        </w:rPr>
        <w:t xml:space="preserve"> labai supaprastinti su nuosavais ištekliais susijusius pridėtinės vertės mokesčio aspektus: dėmesys sutelktas į standartiniu tarifu apmokestinamas tiekiamas prekes arba teikiamas paslaugas (taigi, svertinio tarifo vidurkio neprireiks), patikslinimų skaičius sumažintas iki absoliutaus minimumo, o finansinės kompensacijos panaikintos. Be to, remiantis valstybių narių naujausiais fiskaliniais duomenimis, siūlomas bendras procentinis dydis. </w:t>
      </w:r>
    </w:p>
    <w:p>
      <w:pPr>
        <w:pBdr>
          <w:top w:val="nil"/>
          <w:left w:val="nil"/>
          <w:bottom w:val="nil"/>
          <w:right w:val="nil"/>
          <w:between w:val="nil"/>
          <w:bar w:val="nil"/>
        </w:pBdr>
        <w:spacing w:before="0" w:after="240"/>
        <w:rPr>
          <w:rFonts w:eastAsia="Arial Unicode MS"/>
          <w:noProof/>
        </w:rPr>
      </w:pPr>
      <w:r>
        <w:rPr>
          <w:noProof/>
        </w:rPr>
        <w:t>Šis pasiūlymas – neatsiejama nuosavų išteklių sistemos reformos dalis, kaip nustatyta Tarybos sprendimo dėl Europos Sąjungos nuosavų išteklių sistemos</w:t>
      </w:r>
      <w:r>
        <w:rPr>
          <w:rStyle w:val="FootnoteReference"/>
          <w:noProof/>
        </w:rPr>
        <w:footnoteReference w:id="3"/>
      </w:r>
      <w:r>
        <w:rPr>
          <w:noProof/>
        </w:rPr>
        <w:t xml:space="preserve"> pasiūlyme. Ta reforma vykdoma atsižvelgiant į rekomendacijas, pateiktas Aukšto lygio grupės nuosavų išteklių klausimais, kuri galutinę ataskaitą paskelbė 2016 m. gruodžio mėn.</w:t>
      </w:r>
      <w:r>
        <w:rPr>
          <w:rStyle w:val="FootnoteReference"/>
          <w:noProof/>
        </w:rPr>
        <w:footnoteReference w:id="4"/>
      </w:r>
    </w:p>
    <w:p>
      <w:pPr>
        <w:pBdr>
          <w:top w:val="nil"/>
          <w:left w:val="nil"/>
          <w:bottom w:val="nil"/>
          <w:right w:val="nil"/>
          <w:between w:val="nil"/>
          <w:bar w:val="nil"/>
        </w:pBdr>
        <w:spacing w:before="0" w:after="240"/>
        <w:rPr>
          <w:noProof/>
        </w:rPr>
      </w:pPr>
      <w:r>
        <w:rPr>
          <w:noProof/>
        </w:rPr>
        <w:t>Pasiūlymas grindžiamas nuosavų išteklių administravimo patirtimi ir juo siekiama supaprastinti pridėtinės vertės mokesčiu pagrįstų nuosavų išteklių apskaičiavimą. Juo taip pat supaprastinama praktinė tvarka. Išsamiau paaiškinta 5 skirsnyje.</w:t>
      </w:r>
    </w:p>
    <w:p>
      <w:pPr>
        <w:pBdr>
          <w:top w:val="nil"/>
          <w:left w:val="nil"/>
          <w:bottom w:val="nil"/>
          <w:right w:val="nil"/>
          <w:between w:val="nil"/>
          <w:bar w:val="nil"/>
        </w:pBdr>
        <w:spacing w:before="0" w:after="240"/>
        <w:rPr>
          <w:noProof/>
        </w:rPr>
      </w:pPr>
      <w:r>
        <w:rPr>
          <w:noProof/>
        </w:rPr>
        <w:t xml:space="preserve">Atsižvelgiant į nuosavų išteklių pobūdį, jų valdymas pagrįstas tinkamu kitų sričių, visų pirma vidaus rinkos ir apmokestinimo, Sąjungos politikos taikymu. </w:t>
      </w:r>
    </w:p>
    <w:p>
      <w:pPr>
        <w:pStyle w:val="ManualHeading1"/>
        <w:rPr>
          <w:noProof/>
        </w:rPr>
      </w:pPr>
      <w:r>
        <w:t>2.</w:t>
      </w:r>
      <w:r>
        <w:tab/>
      </w:r>
      <w:r>
        <w:rPr>
          <w:noProof/>
        </w:rPr>
        <w:t xml:space="preserve">Teisinis pagrindas, subsidiarumo ir proporcingumo principai </w:t>
      </w:r>
    </w:p>
    <w:p>
      <w:pPr>
        <w:rPr>
          <w:noProof/>
        </w:rPr>
      </w:pPr>
      <w:r>
        <w:rPr>
          <w:noProof/>
        </w:rPr>
        <w:t>Siūlomo reglamento teisinis pagrindas yra Sutarties dėl Europos Sąjungos veikimo 322 straipsnio 2 dalis. Tarybos sprendimo 2014/335/ES, Euratomas</w:t>
      </w:r>
      <w:r>
        <w:rPr>
          <w:rStyle w:val="FootnoteReference"/>
          <w:noProof/>
        </w:rPr>
        <w:footnoteReference w:id="5"/>
      </w:r>
      <w:r>
        <w:rPr>
          <w:noProof/>
        </w:rPr>
        <w:t xml:space="preserve"> 8 straipsnio 2 dalyje ir siūlomo sprendimo dėl nuosavų išteklių 6 straipsnio 3 dalyje nurodyta, kad valstybės narės išteklius Komisijai teikia „pagal reglamentus“, priimtus pagal Sutarties dėl Europos Sąjungos veikimo 322 straipsnio 2 dalį. Be to, kadangi šiuo reglamentu iš dalies keičiamas galiojantis reglamentas, tikslinga naudoti tokios pačios rūšies priemonę. </w:t>
      </w:r>
    </w:p>
    <w:p>
      <w:pPr>
        <w:rPr>
          <w:rFonts w:eastAsia="Arial Unicode MS"/>
          <w:noProof/>
        </w:rPr>
      </w:pPr>
      <w:r>
        <w:rPr>
          <w:noProof/>
        </w:rPr>
        <w:t>Dėl Sąjungos biudžeto ir nuosavų išteklių, kurie sudaro jo pajamas, pobūdžio nuosavų išteklių sistema ir išteklių teikimas turi būti valdomi Sąjungos mastu ir valstybės narės to negali padaryti.</w:t>
      </w:r>
    </w:p>
    <w:p>
      <w:pPr>
        <w:rPr>
          <w:noProof/>
        </w:rPr>
      </w:pPr>
      <w:r>
        <w:rPr>
          <w:noProof/>
        </w:rPr>
        <w:t>Siūlomas reglamentas papildo jau egzistuojančias nuosavų išteklių teikimo nuostatas, visų pirma Reglamento (ES, Euratomas) Nr. 609/2014</w:t>
      </w:r>
      <w:r>
        <w:rPr>
          <w:rStyle w:val="FootnoteReference"/>
          <w:noProof/>
        </w:rPr>
        <w:footnoteReference w:id="6"/>
      </w:r>
      <w:r>
        <w:rPr>
          <w:noProof/>
        </w:rPr>
        <w:t xml:space="preserve">. </w:t>
      </w:r>
    </w:p>
    <w:p>
      <w:pPr>
        <w:rPr>
          <w:noProof/>
        </w:rPr>
      </w:pPr>
      <w:r>
        <w:rPr>
          <w:noProof/>
        </w:rPr>
        <w:t>Sąjunga ir valstybės narės yra suinteresuotos užtikrinti, kad nuosavų išteklių sistema veiktų gerai, o siūlomu reglamentu siekiama palengvinti jų bendradarbiavimą.</w:t>
      </w:r>
    </w:p>
    <w:p>
      <w:pPr>
        <w:pStyle w:val="ManualHeading1"/>
        <w:rPr>
          <w:noProof/>
        </w:rPr>
      </w:pPr>
      <w:r>
        <w:lastRenderedPageBreak/>
        <w:t>3.</w:t>
      </w:r>
      <w:r>
        <w:tab/>
      </w:r>
      <w:r>
        <w:rPr>
          <w:i/>
          <w:noProof/>
        </w:rPr>
        <w:t>Ex post</w:t>
      </w:r>
      <w:r>
        <w:rPr>
          <w:noProof/>
        </w:rPr>
        <w:t xml:space="preserve"> vertinimo, konsultacijų su suinteresuotosiomis šalimis ir poveikio vertinimo rezultatai</w:t>
      </w:r>
    </w:p>
    <w:p>
      <w:pPr>
        <w:rPr>
          <w:noProof/>
        </w:rPr>
      </w:pPr>
      <w:r>
        <w:rPr>
          <w:noProof/>
        </w:rPr>
        <w:t>Šis pasiūlymas yra dalis nuosavų išteklių teisės aktų rinkinio, skirto 2021–2027 m. Siekiant supaprastinti pridėtinės vertės mokesčiu pagrįstus nuosavus išteklius, reikėtų iš dalies keisti dabar galiojantį Reglamentą dėl pridėtinės vertės mokesčiu pagrįstų nuosavų išteklių.</w:t>
      </w:r>
    </w:p>
    <w:p>
      <w:pPr>
        <w:rPr>
          <w:noProof/>
        </w:rPr>
      </w:pPr>
      <w:r>
        <w:rPr>
          <w:noProof/>
        </w:rPr>
        <w:t>Naujo sprendimo dėl nuosavų išteklių pasiūlymo aiškinamajame memorandume pateikiama daugiau informacijos apie naujausias ataskaitas ir dokumentus, kuriuose analizuojamas poreikis pertvarkyti nuosavų išteklių sistemą.</w:t>
      </w:r>
    </w:p>
    <w:p>
      <w:pPr>
        <w:rPr>
          <w:noProof/>
        </w:rPr>
      </w:pPr>
      <w:r>
        <w:rPr>
          <w:noProof/>
        </w:rPr>
        <w:t>Šis pasiūlymas nėra susijęs su Reglamentavimo kokybės programa. Jis skirtas valstybėms narėms, o ne labai mažoms įmonėms, mažosioms ir vidutinėms įmonėms ar kitoms suinteresuotosioms šalims. Jo poveikis Sąjungos sektorių konkurencingumui ir tarptautinės prekybai iš esmės neutralus. Pasiūlymas poveikio pagrindinių teisių apsaugai neturi.</w:t>
      </w:r>
    </w:p>
    <w:p>
      <w:pPr>
        <w:pStyle w:val="ManualHeading1"/>
        <w:rPr>
          <w:noProof/>
        </w:rPr>
      </w:pPr>
      <w:r>
        <w:t>4.</w:t>
      </w:r>
      <w:r>
        <w:tab/>
      </w:r>
      <w:r>
        <w:rPr>
          <w:noProof/>
        </w:rPr>
        <w:t>Poveikis biudžetui</w:t>
      </w:r>
    </w:p>
    <w:p>
      <w:pPr>
        <w:pBdr>
          <w:top w:val="nil"/>
          <w:left w:val="nil"/>
          <w:bottom w:val="nil"/>
          <w:right w:val="nil"/>
          <w:between w:val="nil"/>
          <w:bar w:val="nil"/>
        </w:pBdr>
        <w:spacing w:before="0" w:after="240"/>
        <w:rPr>
          <w:noProof/>
        </w:rPr>
      </w:pPr>
      <w:r>
        <w:rPr>
          <w:noProof/>
        </w:rPr>
        <w:t>Šio pasiūlymo ir nuosavų išteklių teisės aktų rinkinio poveikis biudžetui išsamiai aprašytas prie reglamento dėl naujų nuosavų išteklių teikimo</w:t>
      </w:r>
      <w:r>
        <w:rPr>
          <w:rStyle w:val="FootnoteReference"/>
          <w:noProof/>
        </w:rPr>
        <w:footnoteReference w:id="7"/>
      </w:r>
      <w:r>
        <w:rPr>
          <w:noProof/>
        </w:rPr>
        <w:t xml:space="preserve"> pasiūlymo pridėtoje finansinėje pažymoje. Pertvarkytą nuosavų išteklių sistemą, įskaitant pertvarkytą pridėtinės vertės mokesčio sistemą, galima įgyvendinti naudojant tiek pat administracinių asignavimų ir darbuotojų išteklių, kaip ir dabartinę sistemą. </w:t>
      </w:r>
    </w:p>
    <w:p>
      <w:pPr>
        <w:pStyle w:val="ManualHeading1"/>
        <w:rPr>
          <w:noProof/>
        </w:rPr>
      </w:pPr>
      <w:r>
        <w:t>5.</w:t>
      </w:r>
      <w:r>
        <w:tab/>
      </w:r>
      <w:r>
        <w:rPr>
          <w:noProof/>
        </w:rPr>
        <w:t>Kiti elementai</w:t>
      </w:r>
    </w:p>
    <w:p>
      <w:pPr>
        <w:rPr>
          <w:noProof/>
          <w:color w:val="000000"/>
        </w:rPr>
      </w:pPr>
      <w:r>
        <w:rPr>
          <w:noProof/>
          <w:color w:val="000000"/>
        </w:rPr>
        <w:t>Šio reglamento taikymą, kaip iki šiol, reguliariai aptars Nuosavų išteklių patariamasis komitetas.</w:t>
      </w:r>
    </w:p>
    <w:p>
      <w:pPr>
        <w:rPr>
          <w:noProof/>
          <w:color w:val="000000"/>
        </w:rPr>
      </w:pPr>
      <w:r>
        <w:rPr>
          <w:noProof/>
          <w:color w:val="000000"/>
        </w:rPr>
        <w:t>Komisijos pasiūlymą galima apibendrinti taip:</w:t>
      </w:r>
    </w:p>
    <w:p>
      <w:pPr>
        <w:keepNext/>
        <w:spacing w:before="240"/>
        <w:rPr>
          <w:noProof/>
          <w:color w:val="000000"/>
        </w:rPr>
      </w:pPr>
      <w:r>
        <w:rPr>
          <w:noProof/>
          <w:color w:val="000000"/>
        </w:rPr>
        <w:t>Pasiūlymo 1 straipsnio 1 dalimi panaikinamas ankstesnis Reglamento (EEB, Euratomas) Nr. 1553/89 padalijimas į 6 antraštines dalis.</w:t>
      </w:r>
    </w:p>
    <w:p>
      <w:pPr>
        <w:spacing w:before="240"/>
        <w:rPr>
          <w:b/>
          <w:noProof/>
          <w:color w:val="000000"/>
        </w:rPr>
      </w:pPr>
      <w:r>
        <w:rPr>
          <w:noProof/>
        </w:rPr>
        <w:t xml:space="preserve">Pasiūlymo 1 straipsnio 2 dalimi </w:t>
      </w:r>
      <w:r>
        <w:rPr>
          <w:noProof/>
          <w:color w:val="000000"/>
        </w:rPr>
        <w:t>Reglamento (EEB, Euratomas) Nr. 1553/89</w:t>
      </w:r>
      <w:r>
        <w:rPr>
          <w:noProof/>
        </w:rPr>
        <w:t xml:space="preserve"> 1 straipsnis iš dalies keičiamas taip:</w:t>
      </w:r>
    </w:p>
    <w:p>
      <w:pPr>
        <w:pStyle w:val="Tiret0"/>
        <w:numPr>
          <w:ilvl w:val="0"/>
          <w:numId w:val="13"/>
        </w:numPr>
        <w:ind w:left="851"/>
        <w:rPr>
          <w:noProof/>
        </w:rPr>
      </w:pPr>
      <w:r>
        <w:rPr>
          <w:noProof/>
        </w:rPr>
        <w:t>1 straipsnis atnaujinamas siekiant atspindėti faktą, kad pridėtinės vertės mokesčiu pagrįstų nuosavų išteklių atveju dėmesys turi būti skiriamas standartiniu tarifu apmokestinamoms galutiniam vartojimui skirtoms tiekiamoms prekėms arba teikiamoms paslaugoms. Jame taip pat nurodomas vienodas pareikalavimo tarifas, nurodytas siūlomame naujame sprendime dėl nuosavų išteklių. Standartinis pridėtinės vertės mokesčio tarifas turėtų būti suprantamas kaip Tarybos direktyvos 2006/112/EB dėl pridėtinės vertės mokesčio bendros sistemos</w:t>
      </w:r>
      <w:r>
        <w:rPr>
          <w:rStyle w:val="FootnoteReference"/>
          <w:noProof/>
        </w:rPr>
        <w:footnoteReference w:id="8"/>
      </w:r>
      <w:r>
        <w:rPr>
          <w:noProof/>
        </w:rPr>
        <w:t xml:space="preserve"> 96 straipsnyje nurodytas pridėtinės vertės mokesčio tarifas.</w:t>
      </w:r>
    </w:p>
    <w:p>
      <w:pPr>
        <w:rPr>
          <w:noProof/>
        </w:rPr>
      </w:pPr>
      <w:r>
        <w:rPr>
          <w:noProof/>
        </w:rPr>
        <w:t xml:space="preserve">Pasiūlymo 1 straipsnio 3 dalimi išbraukiamas Reglamento (EEB, Euratomas) Nr. 1553/89 2 straipsnis. </w:t>
      </w:r>
    </w:p>
    <w:p>
      <w:pPr>
        <w:pStyle w:val="Tiret0"/>
        <w:rPr>
          <w:noProof/>
        </w:rPr>
      </w:pPr>
      <w:r>
        <w:rPr>
          <w:noProof/>
        </w:rPr>
        <w:t>Dėstomoji dalis perkelta į 3 straipsnį, o nenorminės nuostatos, kuriomis nustatoma sistema, dabar išdėstytos konstatuojamosiose dalyse.</w:t>
      </w:r>
    </w:p>
    <w:p>
      <w:pPr>
        <w:spacing w:before="240"/>
        <w:rPr>
          <w:b/>
          <w:noProof/>
          <w:color w:val="000000"/>
        </w:rPr>
      </w:pPr>
      <w:r>
        <w:rPr>
          <w:noProof/>
        </w:rPr>
        <w:t xml:space="preserve">Pasiūlymo 1 straipsnio 4 dalimi pakeičiami </w:t>
      </w:r>
      <w:r>
        <w:rPr>
          <w:noProof/>
          <w:color w:val="000000"/>
        </w:rPr>
        <w:t>Reglamento (EEB, Euratomas) Nr. 1553/89</w:t>
      </w:r>
      <w:r>
        <w:rPr>
          <w:noProof/>
        </w:rPr>
        <w:t xml:space="preserve"> 3 ir 4 straipsniai:</w:t>
      </w:r>
    </w:p>
    <w:p>
      <w:pPr>
        <w:pStyle w:val="Tiret0"/>
        <w:numPr>
          <w:ilvl w:val="0"/>
          <w:numId w:val="5"/>
        </w:numPr>
        <w:rPr>
          <w:noProof/>
        </w:rPr>
      </w:pPr>
      <w:r>
        <w:rPr>
          <w:noProof/>
        </w:rPr>
        <w:t>3 straipsnio 1 dalis: kad duomenų šaltinis būtų neginčijamas ir patikimas, standartinio tarifo pridėtinės vertės mokesčiu pagrįstų nuosavų išteklių bazė turi būti apskaičiuojama atsižvelgiant į visas grynąsias kiekvienos valstybės narės kalendoriniais metais iš pridėtinės vertės mokesčio gautas pajamas, patikslintas dėl konkrečių teritorinių ypatumų, nurodytų Direktyvoje dėl pridėtinės vertės mokesčio;</w:t>
      </w:r>
    </w:p>
    <w:p>
      <w:pPr>
        <w:pStyle w:val="Tiret0"/>
        <w:numPr>
          <w:ilvl w:val="0"/>
          <w:numId w:val="5"/>
        </w:numPr>
        <w:rPr>
          <w:noProof/>
        </w:rPr>
      </w:pPr>
      <w:r>
        <w:rPr>
          <w:noProof/>
        </w:rPr>
        <w:t>3 straipsnio 2 dalis: kad galutiniam vartojimui skirtos tiekiamos prekės arba teikiamos paslaugos būtų apmokestintos standartiniu tarifu, patikslintos grynosios pajamos padauginamos iš bendros Sąjungos dalies;</w:t>
      </w:r>
    </w:p>
    <w:p>
      <w:pPr>
        <w:pStyle w:val="Tiret0"/>
        <w:numPr>
          <w:ilvl w:val="0"/>
          <w:numId w:val="5"/>
        </w:numPr>
        <w:rPr>
          <w:noProof/>
        </w:rPr>
      </w:pPr>
      <w:r>
        <w:rPr>
          <w:noProof/>
        </w:rPr>
        <w:t>3 straipsnio 3 dalis: kadangi valstybės narės taiko skirtingus standartinius tarifus, pajamoms negali būti taikomas vienodas pareikalavimo tarifas. Todėl standartiniu tarifu apmokestinamos galutiniam vartojimui skirtos tiekiamos prekės arba teikiamos paslaugos turėtų būti padalijamos iš valstybės narės standartinio tarifo, kad vietoj to būtų gauta standartinio tarifo pridėtinės vertės mokesčio bazė;</w:t>
      </w:r>
    </w:p>
    <w:p>
      <w:pPr>
        <w:pStyle w:val="Tiret0"/>
        <w:numPr>
          <w:ilvl w:val="0"/>
          <w:numId w:val="5"/>
        </w:numPr>
        <w:rPr>
          <w:noProof/>
        </w:rPr>
      </w:pPr>
      <w:r>
        <w:rPr>
          <w:noProof/>
        </w:rPr>
        <w:t>3 straipsnio 4 dalis: vienodas pareikalavimo tarifas taikomas standartinio tarifo pridėtinės vertės mokesčio bazei, kad būtų gauti standartinio tarifo pridėtinės vertės mokesčiu pagrįsti nuosavi ištekliai, kurie papildo ES biudžetą;</w:t>
      </w:r>
    </w:p>
    <w:p>
      <w:pPr>
        <w:pStyle w:val="Tiret0"/>
        <w:numPr>
          <w:ilvl w:val="0"/>
          <w:numId w:val="5"/>
        </w:numPr>
        <w:rPr>
          <w:noProof/>
        </w:rPr>
      </w:pPr>
      <w:r>
        <w:rPr>
          <w:noProof/>
        </w:rPr>
        <w:t>3 straipsnio 5 dalis: jei valstybė narė pažeidžia Direktyvą dėl pridėtinės vertės mokesčio, gautos grynosios pajamos iš pridėtinės vertės mokesčio turėtų būti patikslintos, kad būtų užtikrintas vienodas požiūris į valstybes nares</w:t>
      </w:r>
      <w:r>
        <w:rPr>
          <w:noProof/>
          <w:color w:val="000000"/>
        </w:rPr>
        <w:t>;</w:t>
      </w:r>
    </w:p>
    <w:p>
      <w:pPr>
        <w:pStyle w:val="Tiret0"/>
        <w:numPr>
          <w:ilvl w:val="0"/>
          <w:numId w:val="5"/>
        </w:numPr>
        <w:rPr>
          <w:noProof/>
        </w:rPr>
      </w:pPr>
      <w:r>
        <w:rPr>
          <w:noProof/>
        </w:rPr>
        <w:t xml:space="preserve">4 straipsnis: nustatomas standartizuotas metodas, pagal kurį, jei valstybė narė, vadovaudamasi tinkamomis procedūromis, nusprendžia pakeisti savo standartinį pridėtinės vertės mokesčio tarifą, atsižvelgiama į tą pakeitimą. Taikant tą metodą atsižvelgiama į tarifus iki pakeitimo ir po jo. </w:t>
      </w:r>
    </w:p>
    <w:p>
      <w:pPr>
        <w:spacing w:before="240"/>
        <w:rPr>
          <w:b/>
          <w:noProof/>
          <w:color w:val="000000"/>
        </w:rPr>
      </w:pPr>
      <w:r>
        <w:rPr>
          <w:noProof/>
        </w:rPr>
        <w:t xml:space="preserve">Pasiūlymo 1 straipsnio 5 dalimi išbraukiami </w:t>
      </w:r>
      <w:r>
        <w:rPr>
          <w:noProof/>
          <w:color w:val="000000"/>
        </w:rPr>
        <w:t>Reglamento (EEB, Euratomas) Nr. 1553/89</w:t>
      </w:r>
      <w:r>
        <w:rPr>
          <w:noProof/>
        </w:rPr>
        <w:t xml:space="preserve"> 5 ir 6 straipsniai:</w:t>
      </w:r>
    </w:p>
    <w:p>
      <w:pPr>
        <w:pStyle w:val="Tiret0"/>
        <w:numPr>
          <w:ilvl w:val="0"/>
          <w:numId w:val="5"/>
        </w:numPr>
        <w:rPr>
          <w:noProof/>
        </w:rPr>
      </w:pPr>
      <w:r>
        <w:rPr>
          <w:noProof/>
        </w:rPr>
        <w:t xml:space="preserve">5 ir 6 straipsniai išbraukiami, nes pasiūlyme numatytas tik minimalus patikslinimų naudojimas ir nenumatyta jokių kompensacijų. </w:t>
      </w:r>
    </w:p>
    <w:p>
      <w:pPr>
        <w:spacing w:before="240"/>
        <w:rPr>
          <w:b/>
          <w:noProof/>
          <w:color w:val="000000"/>
        </w:rPr>
      </w:pPr>
      <w:bookmarkStart w:id="1" w:name="_CopyToNewDocument_"/>
      <w:bookmarkEnd w:id="1"/>
      <w:r>
        <w:rPr>
          <w:noProof/>
        </w:rPr>
        <w:t xml:space="preserve">Pasiūlymo 1 straipsnio 6 dalimi </w:t>
      </w:r>
      <w:r>
        <w:rPr>
          <w:noProof/>
          <w:color w:val="000000"/>
        </w:rPr>
        <w:t>Reglamento (EEB, Euratomas) Nr. 1553/89</w:t>
      </w:r>
      <w:r>
        <w:rPr>
          <w:noProof/>
        </w:rPr>
        <w:t xml:space="preserve"> 7 straipsnis iš dalies keičiamas taip:</w:t>
      </w:r>
    </w:p>
    <w:p>
      <w:pPr>
        <w:pStyle w:val="Tiret0"/>
        <w:numPr>
          <w:ilvl w:val="0"/>
          <w:numId w:val="5"/>
        </w:numPr>
        <w:rPr>
          <w:noProof/>
        </w:rPr>
      </w:pPr>
      <w:r>
        <w:rPr>
          <w:noProof/>
        </w:rPr>
        <w:t xml:space="preserve">7 straipsnis išlieka beveik nepakitęs. 1 dalies pradžioje žodis „iki“ pakeičiamas žodžiais „ne vėliau kaip“. Į 2 dalį įtraukiami pakeitimai, kuriuos reikia padaryti dėl 5 ir 6 straipsnių išbraukimo ir 11 straipsnio perkėlimo į Tarybos reglamento (ES, Euratomas) 20xx/xxxx 4 straipsnio 7 dalį. </w:t>
      </w:r>
    </w:p>
    <w:p>
      <w:pPr>
        <w:spacing w:before="240"/>
        <w:rPr>
          <w:b/>
          <w:noProof/>
          <w:color w:val="000000"/>
        </w:rPr>
      </w:pPr>
      <w:r>
        <w:rPr>
          <w:noProof/>
        </w:rPr>
        <w:t>Pasiūlymo 1 straipsnio 7 dalimi pakeičiamas Reglamento (EEB, Euratomas) Nr. 1553/89 8 straipsnis:</w:t>
      </w:r>
    </w:p>
    <w:p>
      <w:pPr>
        <w:pStyle w:val="Tiret0"/>
        <w:numPr>
          <w:ilvl w:val="0"/>
          <w:numId w:val="5"/>
        </w:numPr>
        <w:rPr>
          <w:noProof/>
        </w:rPr>
      </w:pPr>
      <w:r>
        <w:rPr>
          <w:noProof/>
        </w:rPr>
        <w:t>8 straipsnis išlieka iš esmės nepakitęs. Jame žodžiai „PVM lėšų bazės“ pakeičiami žodžiais „standartinio tarifo pridėtinės vertės mokesčiu pagrįstų nuosavų išteklių bazės“.</w:t>
      </w:r>
    </w:p>
    <w:p>
      <w:pPr>
        <w:spacing w:before="240"/>
        <w:rPr>
          <w:noProof/>
        </w:rPr>
      </w:pPr>
      <w:r>
        <w:rPr>
          <w:noProof/>
        </w:rPr>
        <w:t>Pasiūlymo 1 straipsnio 8 dalimi pakeičiamas Reglamento (EEB, Euratomas) Nr. 1553/89 10 straipsnis:</w:t>
      </w:r>
    </w:p>
    <w:p>
      <w:pPr>
        <w:pStyle w:val="Tiret0"/>
        <w:numPr>
          <w:ilvl w:val="0"/>
          <w:numId w:val="5"/>
        </w:numPr>
        <w:rPr>
          <w:noProof/>
        </w:rPr>
      </w:pPr>
      <w:r>
        <w:rPr>
          <w:noProof/>
        </w:rPr>
        <w:t>10 straipsnis išlieka iš esmės nepakitęs, tačiau jis iš dalies pakeistas, kad atspindėtų šio pasiūlymo taikymo sritį. Nuoroda į 5 ir 6 straipsnius pašalinta, nes pasiūlyme numatoma, kad kompensacijos nebebus teikiamos, o tam tikri patikslinimai nebebus atliekami. Siekiant supaprastinti procedūras, 10 straipsnio 2 dalyje frazė „Komisija [...] išnagrinėja [...]“ pakeičiama fraze „Komisija gali priimti [...]“.</w:t>
      </w:r>
    </w:p>
    <w:p>
      <w:pPr>
        <w:spacing w:before="240"/>
        <w:rPr>
          <w:noProof/>
        </w:rPr>
      </w:pPr>
      <w:r>
        <w:rPr>
          <w:noProof/>
        </w:rPr>
        <w:t xml:space="preserve">Pasiūlymo 1 straipsnio 9 dalimi iš dalies keičiamas </w:t>
      </w:r>
      <w:r>
        <w:rPr>
          <w:noProof/>
          <w:color w:val="000000"/>
        </w:rPr>
        <w:t>Reglamento (EEB, Euratomas) Nr. 1553/89</w:t>
      </w:r>
      <w:r>
        <w:rPr>
          <w:noProof/>
        </w:rPr>
        <w:t xml:space="preserve"> 11 straipsnis:</w:t>
      </w:r>
    </w:p>
    <w:p>
      <w:pPr>
        <w:pStyle w:val="Tiret0"/>
        <w:numPr>
          <w:ilvl w:val="0"/>
          <w:numId w:val="5"/>
        </w:numPr>
        <w:rPr>
          <w:noProof/>
        </w:rPr>
      </w:pPr>
      <w:r>
        <w:rPr>
          <w:noProof/>
        </w:rPr>
        <w:t>11 straipsnis: 11 straipsnio 1 dalis perkelta į Tarybos reglamento (ES, Euratomas) 20xx/xxxx 4 straipsnio 7 dalį. Perkeltas tekstas išlieka iš esmės nepakitęs, tačiau jis pakoreguotas atsižvelgiant į tai, kad svertinis tarifo vidurkis nėra šio pasiūlymo dalis. 11 straipsnio 3 dalis buvo performuluota, kad būtų atspindėtas kontrolės nuostatų perkėlimas į Tarybos reglamentą (ES, Euratomas) 20xx/xxxx.</w:t>
      </w:r>
    </w:p>
    <w:p>
      <w:pPr>
        <w:spacing w:before="240"/>
        <w:rPr>
          <w:noProof/>
        </w:rPr>
      </w:pPr>
      <w:r>
        <w:rPr>
          <w:noProof/>
        </w:rPr>
        <w:t xml:space="preserve">Pasiūlymo 1 straipsnio 10 dalimi iš dalies keičiamas </w:t>
      </w:r>
      <w:r>
        <w:rPr>
          <w:noProof/>
          <w:color w:val="000000"/>
        </w:rPr>
        <w:t>Reglamento (EEB, Euratomas) Nr. 1553/89</w:t>
      </w:r>
      <w:r>
        <w:rPr>
          <w:noProof/>
        </w:rPr>
        <w:t xml:space="preserve"> 12 straipsnis:</w:t>
      </w:r>
    </w:p>
    <w:p>
      <w:pPr>
        <w:pStyle w:val="Tiret0"/>
        <w:numPr>
          <w:ilvl w:val="0"/>
          <w:numId w:val="5"/>
        </w:numPr>
        <w:rPr>
          <w:noProof/>
        </w:rPr>
      </w:pPr>
      <w:r>
        <w:rPr>
          <w:noProof/>
        </w:rPr>
        <w:t>12 straipsnis išlieka iš esmės nepakitęs, tačiau jis iš dalies pakeistas, kad atspindėtų šio pasiūlymo taikymo sritį. Reikalaujama, kad valstybės narės pateiktų bendresnę informaciją apie pridėtinės vertės mokesčio surinkimą ir nurodytų tik svarbius administracinių procesų ir procedūrų, kurias jos taiko rinkdamos pridėtinės vertės mokestį, pakeitimus. Be to, ataskaitų Komisijai teikimo laikotarpis suderintas su laikotarpiais, nustatytais kituose mokesčių reglamentuose ir direktyvose. Siekiant įvertinti pridėtinės vertės mokesčio rinkimo procedūrų veiksmingumą, svarbiau informuoti apie tai, kaip valstybės narės patobulino pridėtinės vertės mokesčio rinkimą, o ne apie pačias procedūras. Tekstas buvo atitinkamai pakeistas.</w:t>
      </w:r>
    </w:p>
    <w:p>
      <w:pPr>
        <w:spacing w:before="240"/>
        <w:rPr>
          <w:noProof/>
        </w:rPr>
      </w:pPr>
      <w:r>
        <w:rPr>
          <w:noProof/>
        </w:rPr>
        <w:t>Pasiūlymo 1 straipsnio 11 dalimi pakeičiamas Reglamento (EEB, Euratomas) Nr. 1553/89 13 straipsnis:</w:t>
      </w:r>
    </w:p>
    <w:p>
      <w:pPr>
        <w:pStyle w:val="Tiret0"/>
        <w:numPr>
          <w:ilvl w:val="0"/>
          <w:numId w:val="5"/>
        </w:numPr>
        <w:rPr>
          <w:noProof/>
        </w:rPr>
      </w:pPr>
      <w:r>
        <w:rPr>
          <w:noProof/>
        </w:rPr>
        <w:t>13 straipsnis: šis straipsnis iš dalies pakeistas, kad atspindėtų šio pasiūlymo taikymo sritį. Tai pasiekta pašalinus nuorodas į „leidimus“.</w:t>
      </w:r>
    </w:p>
    <w:p>
      <w:pPr>
        <w:spacing w:before="240"/>
        <w:rPr>
          <w:b/>
          <w:noProof/>
          <w:color w:val="000000"/>
        </w:rPr>
      </w:pPr>
      <w:r>
        <w:rPr>
          <w:noProof/>
        </w:rPr>
        <w:t>Pasiūlymo 2 straipsnyje išdėstytos nuostatos dėl jo įsigaliojimo, taikymo bei taikymo atgaline data ir poveikio pridėtinės vertės mokesčiu pagrįstų nuosavų išteklių tvarkai.</w:t>
      </w:r>
    </w:p>
    <w:p>
      <w:pPr>
        <w:rPr>
          <w:noProof/>
        </w:rPr>
      </w:pPr>
      <w:r>
        <w:rPr>
          <w:noProof/>
        </w:rPr>
        <w:t>Šis reglamentas turėtų įsigalioti tuo pačiu metu, kaip naujasis sprendimas dėl nuosavų išteklių. Planuojama, kad naujoji pridėtinės vertės mokesčiu pagrįstų nuosavų išteklių tvarka bus taikoma atgaline data nuo laikotarpio pradžios, t. y. 2021 m. sausio 1 d., taigi iki tos dienos pateiktų ataskaitų tikslinimui bus taikomos tuo metu galiojančios taisyklės.</w:t>
      </w:r>
    </w:p>
    <w:p>
      <w:pPr>
        <w:rPr>
          <w:noProof/>
        </w:rPr>
      </w:pPr>
      <w:r>
        <w:rPr>
          <w:noProof/>
        </w:rPr>
        <w:t>Galiausiai, yra vienas bendras terminologinis pakeitimas: žodžiai „PVM lėšos“ pakeičiami žodžiais „pridėtinės vertės mokesčiu pagrįsti nuosavi ištekliai“.</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2018/0133 (NLE)</w:t>
      </w:r>
    </w:p>
    <w:p>
      <w:pPr>
        <w:pStyle w:val="Statut"/>
        <w:rPr>
          <w:noProof/>
        </w:rPr>
      </w:pPr>
      <w:r>
        <w:rPr>
          <w:noProof/>
        </w:rPr>
        <w:t>Pasiūlymas</w:t>
      </w:r>
    </w:p>
    <w:p>
      <w:pPr>
        <w:pStyle w:val="Typedudocument"/>
        <w:rPr>
          <w:noProof/>
        </w:rPr>
      </w:pPr>
      <w:r>
        <w:rPr>
          <w:noProof/>
        </w:rPr>
        <w:t>TARYBOS REGLAMENTAS</w:t>
      </w:r>
    </w:p>
    <w:p>
      <w:pPr>
        <w:pStyle w:val="Titreobjet"/>
        <w:rPr>
          <w:noProof/>
        </w:rPr>
      </w:pPr>
      <w:r>
        <w:rPr>
          <w:noProof/>
        </w:rPr>
        <w:t>kuriuo iš dalies keičiamas Reglamentas (EEB, Euratomas) Nr. 1553/89 dėl galutinių vienodų nuosavų lėšų, kaupiamų iš pridėtinės vertės mokesčio, surinkimo priemonių</w:t>
      </w:r>
    </w:p>
    <w:p>
      <w:pPr>
        <w:pStyle w:val="Institutionquiagit"/>
        <w:rPr>
          <w:noProof/>
        </w:rPr>
      </w:pPr>
      <w:r>
        <w:rPr>
          <w:noProof/>
        </w:rPr>
        <w:t>EUROPOS SĄJUNGOS TARYBA,</w:t>
      </w:r>
    </w:p>
    <w:p>
      <w:pPr>
        <w:rPr>
          <w:noProof/>
        </w:rPr>
      </w:pPr>
      <w:r>
        <w:rPr>
          <w:noProof/>
        </w:rPr>
        <w:t>atsižvelgdama į Sutartį dėl Europos Sąjungos veikimo, ypač į jos 322 straipsnio 2 dalį,</w:t>
      </w:r>
    </w:p>
    <w:p>
      <w:pPr>
        <w:rPr>
          <w:noProof/>
        </w:rPr>
      </w:pPr>
      <w:r>
        <w:rPr>
          <w:noProof/>
        </w:rPr>
        <w:t>atsižvelgdama į Europos atominės energijos bendrijos steigimo sutartį, ypač į jos 106a straipsnį,</w:t>
      </w:r>
    </w:p>
    <w:p>
      <w:pPr>
        <w:rPr>
          <w:noProof/>
        </w:rPr>
      </w:pPr>
      <w:r>
        <w:rPr>
          <w:noProof/>
        </w:rPr>
        <w:t>atsižvelgdama į Europos Komisijos pasiūlymą,</w:t>
      </w:r>
    </w:p>
    <w:p>
      <w:pPr>
        <w:rPr>
          <w:noProof/>
        </w:rPr>
      </w:pPr>
      <w:r>
        <w:rPr>
          <w:noProof/>
        </w:rPr>
        <w:t>atsižvelgdama į Europos Parlamento nuomonę</w:t>
      </w:r>
      <w:r>
        <w:rPr>
          <w:rStyle w:val="FootnoteReference"/>
          <w:noProof/>
        </w:rPr>
        <w:footnoteReference w:id="9"/>
      </w:r>
      <w:r>
        <w:rPr>
          <w:noProof/>
        </w:rPr>
        <w:t>,</w:t>
      </w:r>
    </w:p>
    <w:p>
      <w:pPr>
        <w:rPr>
          <w:noProof/>
        </w:rPr>
      </w:pPr>
      <w:r>
        <w:rPr>
          <w:noProof/>
        </w:rPr>
        <w:t>atsižvelgdama į Europos Audito Rūmų nuomonę</w:t>
      </w:r>
      <w:r>
        <w:rPr>
          <w:rStyle w:val="FootnoteReference"/>
          <w:noProof/>
        </w:rPr>
        <w:footnoteReference w:id="10"/>
      </w:r>
      <w:r>
        <w:rPr>
          <w:noProof/>
        </w:rPr>
        <w:t>,</w:t>
      </w:r>
    </w:p>
    <w:p>
      <w:pPr>
        <w:rPr>
          <w:noProof/>
        </w:rPr>
      </w:pPr>
      <w:r>
        <w:rPr>
          <w:noProof/>
        </w:rPr>
        <w:t>kadangi:</w:t>
      </w:r>
    </w:p>
    <w:p>
      <w:pPr>
        <w:pStyle w:val="ManualConsidrant"/>
        <w:rPr>
          <w:noProof/>
        </w:rPr>
      </w:pPr>
      <w:r>
        <w:t>(1)</w:t>
      </w:r>
      <w:r>
        <w:tab/>
      </w:r>
      <w:r>
        <w:rPr>
          <w:noProof/>
        </w:rPr>
        <w:t>Tarybos sprendimo 20xx/xxxx/ES, Euratomas</w:t>
      </w:r>
      <w:r>
        <w:rPr>
          <w:rStyle w:val="FootnoteReference"/>
          <w:noProof/>
        </w:rPr>
        <w:footnoteReference w:id="11"/>
      </w:r>
      <w:r>
        <w:rPr>
          <w:noProof/>
        </w:rPr>
        <w:t> 2 straipsnio 1 dalies b punkte nurodyta pridėtinės vertės mokesčio dalimi pagrįsti Sąjungos nuosavi ištekliai (toliau – standartinio tarifo pridėtinės vertės mokesčiu pagrįsti nuosavi ištekliai) turėtų būti Sąjungai teikiami geriausiomis sąlygomis. Todėl valstybėms narėms reikėtų nustatyti šių išteklių teikimo į Sąjungos biudžetą taisykles;</w:t>
      </w:r>
    </w:p>
    <w:p>
      <w:pPr>
        <w:pStyle w:val="ManualConsidrant"/>
        <w:rPr>
          <w:noProof/>
        </w:rPr>
      </w:pPr>
      <w:r>
        <w:t>(2)</w:t>
      </w:r>
      <w:r>
        <w:tab/>
      </w:r>
      <w:r>
        <w:rPr>
          <w:noProof/>
        </w:rPr>
        <w:t>siekiant paprastumo bei skaidrumo ir sumažinti administracinę naštą, standartinio tarifo pridėtinės vertės mokesčiu pagrįsti nuosavi ištekliai turėtų būti apskaičiuojami remiantis standartiniu tarifu apmokestinamų sandorių bendra Sąjungos dalimi. Ta dalis turėtų būti standartiniu tarifu apmokestinamų galutiniam vartojimui skirtų tiekiamų prekių arba teikiamų paslaugų valstybėse narėse per penkerių metų laikotarpį mažiausių dalių vidurkis, apskaičiuotas naudojant nacionalines sąskaitas ir fiskalinius duomenis, patvirtintus Nuosavų išteklių patariamojo komiteto;</w:t>
      </w:r>
    </w:p>
    <w:p>
      <w:pPr>
        <w:pStyle w:val="ManualConsidrant"/>
        <w:rPr>
          <w:noProof/>
        </w:rPr>
      </w:pPr>
      <w:r>
        <w:t>(3)</w:t>
      </w:r>
      <w:r>
        <w:tab/>
      </w:r>
      <w:r>
        <w:rPr>
          <w:noProof/>
        </w:rPr>
        <w:t xml:space="preserve">standartinio tarifo pridėtinės vertės mokesčiu pagrįstų nuosavų išteklių bazės apskaičiavimo tvarka turėtų būti nustatyta vienodai, pradedant nuo to, kad vienintelis galutinis standartinio tarifo pridėtinės vertės mokesčiu pagrįstų nuosavų išteklių bazės nustatymo metodas turi būti pagrįstas kiekvienais konkrečiais kalendoriniais metais faktiškai gautomis pajamomis; </w:t>
      </w:r>
    </w:p>
    <w:p>
      <w:pPr>
        <w:pStyle w:val="ManualConsidrant"/>
        <w:rPr>
          <w:noProof/>
        </w:rPr>
      </w:pPr>
      <w:r>
        <w:t>(4)</w:t>
      </w:r>
      <w:r>
        <w:tab/>
      </w:r>
      <w:r>
        <w:rPr>
          <w:noProof/>
        </w:rPr>
        <w:t>todėl Reglamentas (EEB, Euratomas) Nr. 1553/89 turėtų būti atitinkamai iš dalies pakeistas;</w:t>
      </w:r>
    </w:p>
    <w:p>
      <w:pPr>
        <w:pStyle w:val="ManualConsidrant"/>
        <w:rPr>
          <w:noProof/>
        </w:rPr>
      </w:pPr>
      <w:r>
        <w:t>(5)</w:t>
      </w:r>
      <w:r>
        <w:tab/>
      </w:r>
      <w:r>
        <w:rPr>
          <w:noProof/>
        </w:rPr>
        <w:t>siekiant nuoseklumo šis reglamentas turėtų įsigalioti tą pačią dieną, kaip Sprendimas 20xx/xxxx/ES, Euratomas, ir turėtų būti taikomas nuo 2021 m. sausio 1 d. Tačiau Reglamento (EEB, Euratomas) Nr. 1553/89 pakeitimai neturėtų būti taikomi pridėtinės vertės mokesčiu pagrįstų nuosavų išteklių bazės ataskaitų už finansinius metus iki 2021 m. patikslinimui,</w:t>
      </w:r>
    </w:p>
    <w:p>
      <w:pPr>
        <w:pStyle w:val="Formuledadoption"/>
        <w:rPr>
          <w:noProof/>
        </w:rPr>
      </w:pPr>
      <w:r>
        <w:rPr>
          <w:noProof/>
        </w:rPr>
        <w:t>PRIĖMĖ ŠĮ REGLAMENTĄ:</w:t>
      </w:r>
    </w:p>
    <w:p>
      <w:pPr>
        <w:pStyle w:val="Titrearticle"/>
        <w:rPr>
          <w:noProof/>
        </w:rPr>
      </w:pPr>
      <w:r>
        <w:rPr>
          <w:noProof/>
        </w:rPr>
        <w:t>1 straipsnis</w:t>
      </w:r>
    </w:p>
    <w:p>
      <w:pPr>
        <w:rPr>
          <w:noProof/>
        </w:rPr>
      </w:pPr>
      <w:r>
        <w:rPr>
          <w:noProof/>
        </w:rPr>
        <w:t>Reglamentas (EEB, Euratomas) Nr. 1553/89 iš dalies keičiamas taip:</w:t>
      </w:r>
    </w:p>
    <w:p>
      <w:pPr>
        <w:pStyle w:val="Point0number"/>
        <w:numPr>
          <w:ilvl w:val="0"/>
          <w:numId w:val="15"/>
        </w:numPr>
        <w:rPr>
          <w:noProof/>
        </w:rPr>
      </w:pPr>
      <w:r>
        <w:rPr>
          <w:noProof/>
        </w:rPr>
        <w:t>panaikinamas padalijimas į šias antraštines dalis, kurios išbraukiamos:</w:t>
      </w:r>
    </w:p>
    <w:p>
      <w:pPr>
        <w:pStyle w:val="Point1letter"/>
        <w:rPr>
          <w:noProof/>
        </w:rPr>
      </w:pPr>
      <w:r>
        <w:rPr>
          <w:noProof/>
        </w:rPr>
        <w:t>„I antraštinė dalis. Bendrosios nuostatos“;</w:t>
      </w:r>
    </w:p>
    <w:p>
      <w:pPr>
        <w:pStyle w:val="Point1letter"/>
        <w:rPr>
          <w:noProof/>
        </w:rPr>
      </w:pPr>
      <w:r>
        <w:rPr>
          <w:noProof/>
        </w:rPr>
        <w:t>„II antraštinė dalis. Taikymo sritis“;</w:t>
      </w:r>
    </w:p>
    <w:p>
      <w:pPr>
        <w:pStyle w:val="Point1letter"/>
        <w:rPr>
          <w:noProof/>
        </w:rPr>
      </w:pPr>
      <w:r>
        <w:rPr>
          <w:noProof/>
        </w:rPr>
        <w:t>„III antraštinė dalis. Skaičiavimo metodas“;</w:t>
      </w:r>
    </w:p>
    <w:p>
      <w:pPr>
        <w:pStyle w:val="Point1letter"/>
        <w:rPr>
          <w:noProof/>
        </w:rPr>
      </w:pPr>
      <w:r>
        <w:rPr>
          <w:noProof/>
        </w:rPr>
        <w:t>„IV antraštinė dalis. Nuostatos dėl nuosavų išteklių apskaitos ir panaudojimo“;</w:t>
      </w:r>
    </w:p>
    <w:p>
      <w:pPr>
        <w:pStyle w:val="Point1letter"/>
        <w:rPr>
          <w:noProof/>
        </w:rPr>
      </w:pPr>
      <w:r>
        <w:rPr>
          <w:noProof/>
        </w:rPr>
        <w:t>„V antraštinė dalis. Nuostatos dėl kontrolės“;</w:t>
      </w:r>
    </w:p>
    <w:p>
      <w:pPr>
        <w:pStyle w:val="Point1letter"/>
        <w:rPr>
          <w:noProof/>
        </w:rPr>
      </w:pPr>
      <w:r>
        <w:rPr>
          <w:noProof/>
        </w:rPr>
        <w:t>„VI antraštinė dalis. Baigiamosios nuostatos“;</w:t>
      </w:r>
    </w:p>
    <w:p>
      <w:pPr>
        <w:pStyle w:val="Point0number"/>
        <w:rPr>
          <w:noProof/>
        </w:rPr>
      </w:pPr>
      <w:r>
        <w:rPr>
          <w:noProof/>
        </w:rPr>
        <w:t>1 straipsnis pakeičiamas taip:</w:t>
      </w:r>
    </w:p>
    <w:p>
      <w:pPr>
        <w:pStyle w:val="Titrearticle"/>
        <w:rPr>
          <w:noProof/>
        </w:rPr>
      </w:pPr>
      <w:r>
        <w:rPr>
          <w:noProof/>
        </w:rPr>
        <w:t>„1 straipsnis</w:t>
      </w:r>
    </w:p>
    <w:p>
      <w:pPr>
        <w:rPr>
          <w:noProof/>
        </w:rPr>
      </w:pPr>
      <w:r>
        <w:rPr>
          <w:noProof/>
        </w:rPr>
        <w:t>Standartinio tarifo pridėtinės vertės mokesčiu pagrįsti nuosavi ištekliai apskaičiuojami, pagal šį reglamentą nustatytai standartinio tarifo pridėtinės vertės mokesčiu pagrįstų nuosavų išteklių bazei taikant pagal Tarybos sprendimą 20xx/xxxx/ES* nustatytą vienodą pareikalavimo tarifą.</w:t>
      </w:r>
    </w:p>
    <w:p>
      <w:pPr>
        <w:pBdr>
          <w:bottom w:val="single" w:sz="6" w:space="1" w:color="auto"/>
        </w:pBdr>
        <w:rPr>
          <w:noProof/>
        </w:rPr>
      </w:pPr>
      <w:r>
        <w:rPr>
          <w:noProof/>
        </w:rPr>
        <w:t>Standartinis pridėtinės vertės mokesčio tarifas yra Tarybos direktyvos 2006/112/EB** 96 straipsnyje nurodytas pridėtinės vertės mokesčio tarifas.</w:t>
      </w:r>
    </w:p>
    <w:p>
      <w:pPr>
        <w:rPr>
          <w:noProof/>
        </w:rPr>
      </w:pPr>
      <w:r>
        <w:rPr>
          <w:noProof/>
        </w:rPr>
        <w:t>* [Data] Tarybos sprendimas 20xx/xxxx/ES, Euratomas dėl Europos Sąjungos nuosavų išteklių sistemos (OL L [...], [...], p. [...]).</w:t>
      </w:r>
    </w:p>
    <w:p>
      <w:pPr>
        <w:rPr>
          <w:noProof/>
        </w:rPr>
      </w:pPr>
      <w:r>
        <w:rPr>
          <w:noProof/>
        </w:rPr>
        <w:t>** Tarybos direktyva 2006/112/EB dėl pridėtinės vertės mokesčio bendros sistemos (OL L 347, 2006 12 11, p. 1).“;</w:t>
      </w:r>
    </w:p>
    <w:p>
      <w:pPr>
        <w:pStyle w:val="Point0number"/>
        <w:rPr>
          <w:noProof/>
        </w:rPr>
      </w:pPr>
      <w:r>
        <w:rPr>
          <w:noProof/>
        </w:rPr>
        <w:t>2 straipsnis išbraukiamas;</w:t>
      </w:r>
    </w:p>
    <w:p>
      <w:pPr>
        <w:pStyle w:val="Point0number"/>
        <w:rPr>
          <w:noProof/>
        </w:rPr>
      </w:pPr>
      <w:r>
        <w:rPr>
          <w:noProof/>
        </w:rPr>
        <w:t>3 ir 4 straipsniai pakeičiami taip:</w:t>
      </w:r>
    </w:p>
    <w:p>
      <w:pPr>
        <w:pStyle w:val="Titrearticle"/>
        <w:rPr>
          <w:noProof/>
        </w:rPr>
      </w:pPr>
      <w:r>
        <w:rPr>
          <w:noProof/>
        </w:rPr>
        <w:t>„3 straipsnis</w:t>
      </w:r>
    </w:p>
    <w:p>
      <w:pPr>
        <w:pStyle w:val="ManualNumPar1"/>
        <w:rPr>
          <w:noProof/>
        </w:rPr>
      </w:pPr>
      <w:r>
        <w:t>1.</w:t>
      </w:r>
      <w:r>
        <w:tab/>
      </w:r>
      <w:r>
        <w:rPr>
          <w:noProof/>
        </w:rPr>
        <w:t xml:space="preserve">Konkretiems kalendoriniams metams kiekviena valstybė narė apskaičiuoja standartinio tarifo pridėtinės vertės mokesčiu pagrįstų nuosavų išteklių bazę, atsižvelgdama į visas grynąsias tos valstybės narės tais pačiais kalendoriniais metais gautas pajamas iš apmokestinamųjų sandorių, nurodytų Direktyvos 2006/112/EB 2 straipsnyje. Ta suma patikslinama, kad būtų atsižvelgta į šias sumas: </w:t>
      </w:r>
    </w:p>
    <w:p>
      <w:pPr>
        <w:pStyle w:val="Point1letter"/>
        <w:numPr>
          <w:ilvl w:val="3"/>
          <w:numId w:val="7"/>
        </w:numPr>
        <w:rPr>
          <w:noProof/>
        </w:rPr>
      </w:pPr>
      <w:r>
        <w:rPr>
          <w:noProof/>
        </w:rPr>
        <w:t>visas sumas, kurios nuosavų išteklių apskaičiavimo tikslais turėtų būti laikomos sandoriais, kurie sudaryti valstybėje narėje arba yra jai skirti, nors jie buvo sudaryti Direktyvos 2006/112/EB 6 straipsnyje nurodytoje teritorijoje arba yra jai skirti;</w:t>
      </w:r>
    </w:p>
    <w:p>
      <w:pPr>
        <w:pStyle w:val="Point1letter"/>
        <w:rPr>
          <w:noProof/>
        </w:rPr>
      </w:pPr>
      <w:r>
        <w:rPr>
          <w:noProof/>
        </w:rPr>
        <w:t>visas sumas, gautas iš kurios nors Direktyvos 2006/112/EB 7 straipsnyje nurodytos vietovės, jei valstybės narės gali įrodyti, kad pajamos buvo pervestos į tą vietovę.</w:t>
      </w:r>
    </w:p>
    <w:p>
      <w:pPr>
        <w:pStyle w:val="ManualNumPar1"/>
        <w:rPr>
          <w:noProof/>
        </w:rPr>
      </w:pPr>
      <w:r>
        <w:t>2.</w:t>
      </w:r>
      <w:r>
        <w:tab/>
      </w:r>
      <w:r>
        <w:rPr>
          <w:noProof/>
        </w:rPr>
        <w:t>Pagal 1 dalį gauta suma padauginama iš 45 %.</w:t>
      </w:r>
    </w:p>
    <w:p>
      <w:pPr>
        <w:pStyle w:val="ManualNumPar1"/>
        <w:rPr>
          <w:noProof/>
        </w:rPr>
      </w:pPr>
      <w:r>
        <w:t>3.</w:t>
      </w:r>
      <w:r>
        <w:tab/>
      </w:r>
      <w:r>
        <w:rPr>
          <w:noProof/>
        </w:rPr>
        <w:t xml:space="preserve">Pagal 2 dalį gauta suma padalijama iš atitinkamoje valstybėje narėje pagal Direktyvą 2006/112/EB tais metais, kuriais buvo gautos pajamos iš pridėtinės vertės mokesčio, taikomo standartinio pridėtinės vertės mokesčio tarifo. </w:t>
      </w:r>
    </w:p>
    <w:p>
      <w:pPr>
        <w:pStyle w:val="ManualNumPar1"/>
        <w:rPr>
          <w:noProof/>
        </w:rPr>
      </w:pPr>
      <w:r>
        <w:t>4.</w:t>
      </w:r>
      <w:r>
        <w:tab/>
      </w:r>
      <w:r>
        <w:rPr>
          <w:noProof/>
        </w:rPr>
        <w:t>Pagal 3 dalį gauta suma padauginama iš Tarybos reglamento (ES, Euratomas) 20xx/xxxx* 1 straipsnio 1 dalyje nurodyto vienodo pareikalavimo tarifo, kad būtų gauti standartinio tarifo pridėtinės vertės mokesčiu pagrįsti nuosavi ištekliai, kurie turi būti pateikti į Sąjungos biudžetą.</w:t>
      </w:r>
    </w:p>
    <w:p>
      <w:pPr>
        <w:pStyle w:val="ManualNumPar1"/>
        <w:rPr>
          <w:noProof/>
        </w:rPr>
      </w:pPr>
      <w:r>
        <w:t>5.</w:t>
      </w:r>
      <w:r>
        <w:tab/>
      </w:r>
      <w:r>
        <w:rPr>
          <w:noProof/>
        </w:rPr>
        <w:t>Jei pažeidžiama Direktyva 2006/112/EB ir dėl to Sąjungos standartinio tarifo pridėtinės vertės mokesčiu pagrįstų nuosavų išteklių sumažėja, Sąjunga turi teisę gauti visą atitinkamų nuosavų išteklių sumą ir delspinigius už vėlavimą, kaip nustatyta Tarybos reglamento (ES, Euratomas) Nr. 609/2014** 12 straipsnyje.</w:t>
      </w:r>
    </w:p>
    <w:p>
      <w:pPr>
        <w:pStyle w:val="Titrearticle"/>
        <w:rPr>
          <w:noProof/>
        </w:rPr>
      </w:pPr>
      <w:r>
        <w:rPr>
          <w:noProof/>
        </w:rPr>
        <w:t>4 straipsnis</w:t>
      </w:r>
    </w:p>
    <w:p>
      <w:pPr>
        <w:pStyle w:val="ManualNumPar1"/>
        <w:rPr>
          <w:noProof/>
        </w:rPr>
      </w:pPr>
      <w:r>
        <w:t>1.</w:t>
      </w:r>
      <w:r>
        <w:tab/>
      </w:r>
      <w:r>
        <w:rPr>
          <w:noProof/>
        </w:rPr>
        <w:t xml:space="preserve">Standartinio tarifo pridėtinės vertės mokesčiu pagrįstų nuosavų išteklių bazė apskaičiuojama kalendoriniams metams. </w:t>
      </w:r>
    </w:p>
    <w:p>
      <w:pPr>
        <w:pStyle w:val="ManualNumPar1"/>
        <w:rPr>
          <w:noProof/>
        </w:rPr>
      </w:pPr>
      <w:r>
        <w:t>2.</w:t>
      </w:r>
      <w:r>
        <w:tab/>
      </w:r>
      <w:r>
        <w:rPr>
          <w:noProof/>
        </w:rPr>
        <w:t xml:space="preserve">Jei valstybė narė pakeičia standartinį pridėtinės vertės mokesčio tarifą, patikslintas tarifas yra taikomas nuo pirmosios mėnesio, einančio po mėnesio, kurį įsigaliojo naujasis standartinis tarifas, dienos. Abu tarifai apskaičiuojami remiantis </w:t>
      </w:r>
      <w:r>
        <w:rPr>
          <w:i/>
          <w:noProof/>
        </w:rPr>
        <w:t>pro rata temporis</w:t>
      </w:r>
      <w:r>
        <w:rPr>
          <w:noProof/>
        </w:rPr>
        <w:t xml:space="preserve"> principu, kad būtų galima atlikti 3 straipsnio 3 dalyje nurodytą skaičiavimą.</w:t>
      </w:r>
    </w:p>
    <w:p>
      <w:pPr>
        <w:rPr>
          <w:noProof/>
        </w:rPr>
      </w:pPr>
      <w:r>
        <w:rPr>
          <w:noProof/>
        </w:rPr>
        <w:t>* [Data] Tarybos reglamentas (ES, Euratomas) 20xx/xxxx, kuriuo nustatomos Europos Sąjungos nuosavų išteklių sistemos įgyvendinimo priemonės (OL L [...], [...], p. [...]).</w:t>
      </w:r>
    </w:p>
    <w:p>
      <w:pPr>
        <w:rPr>
          <w:noProof/>
        </w:rPr>
      </w:pPr>
      <w:r>
        <w:rPr>
          <w:noProof/>
        </w:rPr>
        <w:t>** 2014 m. gegužės 26 d. Tarybos reglamentas (ES, Euratomas) Nr. 609/2014 dėl tradicinių, PVM ir BNP pagrįstų nuosavų išteklių teikimo metodų ir tvarkos ir dėl priemonių, skirtų grynųjų pinigų poreikiui patenkinti (OL L 168, 2014 6 7, p. 39).“;</w:t>
      </w:r>
    </w:p>
    <w:p>
      <w:pPr>
        <w:pStyle w:val="Point0number"/>
        <w:rPr>
          <w:noProof/>
        </w:rPr>
      </w:pPr>
      <w:r>
        <w:rPr>
          <w:noProof/>
        </w:rPr>
        <w:t>5 ir 6 straipsniai išbraukiami;</w:t>
      </w:r>
    </w:p>
    <w:p>
      <w:pPr>
        <w:pStyle w:val="Point0number"/>
        <w:rPr>
          <w:noProof/>
        </w:rPr>
      </w:pPr>
      <w:r>
        <w:rPr>
          <w:noProof/>
        </w:rPr>
        <w:t>7 straipsnio 1 ir 2 dalys pakeičiamos taip:</w:t>
      </w:r>
    </w:p>
    <w:p>
      <w:pPr>
        <w:rPr>
          <w:noProof/>
        </w:rPr>
      </w:pPr>
      <w:r>
        <w:rPr>
          <w:noProof/>
        </w:rPr>
        <w:t>„1.</w:t>
      </w:r>
      <w:r>
        <w:rPr>
          <w:noProof/>
        </w:rPr>
        <w:tab/>
        <w:t>Ne vėliau kaip liepos 31 d. valstybės narės nusiunčia Komisijai ataskaitą už praėjusius kalendorinius metus apie bendrą standartinio tarifo pridėtinės vertės mokesčiu pagrįstų nuosavų išteklių bazės sumą, kuri apskaičiuojama pagal 3 straipsnį ir kuriai taikytinas 1 straipsnyje nurodytas tarifas.</w:t>
      </w:r>
    </w:p>
    <w:p>
      <w:pPr>
        <w:rPr>
          <w:noProof/>
        </w:rPr>
      </w:pPr>
      <w:r>
        <w:rPr>
          <w:noProof/>
        </w:rPr>
        <w:t>2.</w:t>
      </w:r>
      <w:r>
        <w:rPr>
          <w:noProof/>
        </w:rPr>
        <w:tab/>
        <w:t>Ataskaitoje pateikiami visi bazei nustatyti naudojami duomenys, būtini Reglamento (ES, Euratomas) 20xx/xxxx 4 straipsnio 7 dalyje nurodytiems patikrinimams atlikti.</w:t>
      </w:r>
    </w:p>
    <w:p>
      <w:pPr>
        <w:pStyle w:val="Point0number"/>
        <w:rPr>
          <w:noProof/>
        </w:rPr>
      </w:pPr>
      <w:r>
        <w:rPr>
          <w:noProof/>
        </w:rPr>
        <w:t>8 straipsnis pakeičiamas taip:</w:t>
      </w:r>
    </w:p>
    <w:p>
      <w:pPr>
        <w:pStyle w:val="Titrearticle"/>
        <w:rPr>
          <w:noProof/>
        </w:rPr>
      </w:pPr>
      <w:r>
        <w:rPr>
          <w:noProof/>
        </w:rPr>
        <w:t>„8 straipsnis</w:t>
      </w:r>
    </w:p>
    <w:p>
      <w:pPr>
        <w:rPr>
          <w:noProof/>
        </w:rPr>
      </w:pPr>
      <w:r>
        <w:rPr>
          <w:noProof/>
        </w:rPr>
        <w:t>Ne vėliau kaip kiekvienų metų balandžio 15 d. valstybės narės nusiunčia Komisijai standartinio tarifo pridėtinės vertės mokesčiu pagrįstų nuosavų išteklių bazės prognozę ateinantiems finansiniams metams.“;</w:t>
      </w:r>
    </w:p>
    <w:p>
      <w:pPr>
        <w:pStyle w:val="Point0number"/>
        <w:rPr>
          <w:noProof/>
        </w:rPr>
      </w:pPr>
      <w:r>
        <w:rPr>
          <w:noProof/>
        </w:rPr>
        <w:t>10 straipsnis pakeičiamas taip:</w:t>
      </w:r>
    </w:p>
    <w:p>
      <w:pPr>
        <w:pStyle w:val="Titrearticle"/>
        <w:rPr>
          <w:noProof/>
        </w:rPr>
      </w:pPr>
      <w:r>
        <w:rPr>
          <w:noProof/>
        </w:rPr>
        <w:t>„10 straipsnis</w:t>
      </w:r>
    </w:p>
    <w:p>
      <w:pPr>
        <w:pStyle w:val="ManualNumPar1"/>
        <w:rPr>
          <w:noProof/>
        </w:rPr>
      </w:pPr>
      <w:r>
        <w:t>1.</w:t>
      </w:r>
      <w:r>
        <w:tab/>
      </w:r>
      <w:r>
        <w:rPr>
          <w:noProof/>
        </w:rPr>
        <w:t xml:space="preserve">Ne vėliau kaip kiekvienų finansinių metų balandžio 30 d. valstybės narės informuoja Komisiją apie sprendimus ir susijusius pakeitimus, kuriuos jos siūlo priimti tam, kad nustatytų 3 straipsnio 1 dalyje nurodytą sumą. Siūlomame sprendime nurodomas, kur tinkama, duomenų, kuriuos jos laiko tinkamais, pobūdis ir pateikiama kiekvieno iš šių patikslinimų bazės vertės prognozė. </w:t>
      </w:r>
    </w:p>
    <w:p>
      <w:pPr>
        <w:pStyle w:val="Text1"/>
        <w:rPr>
          <w:noProof/>
        </w:rPr>
      </w:pPr>
      <w:r>
        <w:rPr>
          <w:noProof/>
        </w:rPr>
        <w:t>Komisija ne vėliau kaip gegužės 31 d. nusiunčia kitoms valstybėms narėms iš kiekvienos valstybės narės gautą pirmoje pastraipoje nurodytą informaciją.</w:t>
      </w:r>
    </w:p>
    <w:p>
      <w:pPr>
        <w:pStyle w:val="ManualNumPar1"/>
        <w:rPr>
          <w:noProof/>
        </w:rPr>
      </w:pPr>
      <w:r>
        <w:t>2.</w:t>
      </w:r>
      <w:r>
        <w:tab/>
      </w:r>
      <w:r>
        <w:rPr>
          <w:noProof/>
        </w:rPr>
        <w:t>Komisija gali priimti įgyvendinimo aktus dėl valstybių narių pagal 1 dalį siūlomų sprendimų. Tie įgyvendinimo aktai priimami laikantis 13 straipsnio 2 dalyje nurodytos patariamosios procedūros.“;</w:t>
      </w:r>
    </w:p>
    <w:p>
      <w:pPr>
        <w:pStyle w:val="Point0number"/>
        <w:rPr>
          <w:noProof/>
        </w:rPr>
      </w:pPr>
      <w:r>
        <w:rPr>
          <w:noProof/>
        </w:rPr>
        <w:t>11 straipsnis iš dalies keičiamas taip:</w:t>
      </w:r>
    </w:p>
    <w:p>
      <w:pPr>
        <w:pStyle w:val="Point1letter"/>
        <w:rPr>
          <w:noProof/>
        </w:rPr>
      </w:pPr>
      <w:r>
        <w:rPr>
          <w:noProof/>
        </w:rPr>
        <w:t>1 dalis išbraukiama;</w:t>
      </w:r>
    </w:p>
    <w:p>
      <w:pPr>
        <w:pStyle w:val="Point1letter"/>
        <w:rPr>
          <w:noProof/>
        </w:rPr>
      </w:pPr>
      <w:r>
        <w:rPr>
          <w:noProof/>
        </w:rPr>
        <w:t>3 dalis pakeičiama taip:</w:t>
      </w:r>
    </w:p>
    <w:p>
      <w:pPr>
        <w:rPr>
          <w:noProof/>
        </w:rPr>
      </w:pPr>
      <w:r>
        <w:rPr>
          <w:noProof/>
        </w:rPr>
        <w:t>„Atlikus Reglamento (ES, Euratomas) 20xx/xxxx 4 straipsnio 7 dalyje nurodytus patikrinimus, konkrečių finansinių metų metinė ataskaita yra patikslinama, kaip nurodyta 9 straipsnyje.“;</w:t>
      </w:r>
    </w:p>
    <w:p>
      <w:pPr>
        <w:pStyle w:val="Point0number"/>
        <w:rPr>
          <w:noProof/>
        </w:rPr>
      </w:pPr>
      <w:r>
        <w:rPr>
          <w:noProof/>
        </w:rPr>
        <w:t xml:space="preserve">12 straipsnis pakeičiamas taip: </w:t>
      </w:r>
    </w:p>
    <w:p>
      <w:pPr>
        <w:pStyle w:val="Titrearticle"/>
        <w:rPr>
          <w:noProof/>
        </w:rPr>
      </w:pPr>
      <w:r>
        <w:rPr>
          <w:noProof/>
        </w:rPr>
        <w:t>„12 straipsnis</w:t>
      </w:r>
    </w:p>
    <w:p>
      <w:pPr>
        <w:pStyle w:val="ManualNumPar1"/>
        <w:rPr>
          <w:noProof/>
        </w:rPr>
      </w:pPr>
      <w:r>
        <w:t>1.</w:t>
      </w:r>
      <w:r>
        <w:tab/>
      </w:r>
      <w:r>
        <w:rPr>
          <w:noProof/>
        </w:rPr>
        <w:t>Kiekvienais metais valstybės narės pateikia Komisijai informaciją apie visus svarbius administracinių procesų ir procedūrų, kuriuos jos taiko rinkdamos pridėtinės vertės mokestį, pakeitimus.</w:t>
      </w:r>
    </w:p>
    <w:p>
      <w:pPr>
        <w:pStyle w:val="ManualNumPar1"/>
        <w:rPr>
          <w:noProof/>
        </w:rPr>
      </w:pPr>
      <w:r>
        <w:t>2.</w:t>
      </w:r>
      <w:r>
        <w:tab/>
      </w:r>
      <w:r>
        <w:rPr>
          <w:noProof/>
        </w:rPr>
        <w:t>Komisija su atitinkama valstybe nare aptaria, ar reikėtų tokius procesus ir procedūras tobulinti siekiant pagerinti jų efektyvumą.</w:t>
      </w:r>
    </w:p>
    <w:p>
      <w:pPr>
        <w:pStyle w:val="ManualNumPar1"/>
        <w:rPr>
          <w:noProof/>
        </w:rPr>
      </w:pPr>
      <w:r>
        <w:t>3.</w:t>
      </w:r>
      <w:r>
        <w:tab/>
      </w:r>
      <w:r>
        <w:rPr>
          <w:noProof/>
        </w:rPr>
        <w:t>Komisija kas penkerius metus pateikia ataskaitą apie priemones, kurių buvo imtasi, apie valstybių narių pažangą, padarytą surenkant pridėtinės vertės mokestį, ir apie visus numatomus patobulinimus.</w:t>
      </w:r>
    </w:p>
    <w:p>
      <w:pPr>
        <w:pStyle w:val="Text1"/>
        <w:rPr>
          <w:noProof/>
        </w:rPr>
      </w:pPr>
      <w:r>
        <w:rPr>
          <w:noProof/>
        </w:rPr>
        <w:t>Pirmą kartą Komisija tokią ataskaitą Europos Parlamentui ir Tarybai pateikia ne vėliau kaip 2023 m. gruodžio 31 d.“;</w:t>
      </w:r>
    </w:p>
    <w:p>
      <w:pPr>
        <w:pStyle w:val="Point0number"/>
        <w:rPr>
          <w:noProof/>
        </w:rPr>
      </w:pPr>
      <w:r>
        <w:rPr>
          <w:noProof/>
        </w:rPr>
        <w:t>13 straipsnis pakeičiamas taip:</w:t>
      </w:r>
    </w:p>
    <w:p>
      <w:pPr>
        <w:pStyle w:val="Titrearticle"/>
        <w:rPr>
          <w:noProof/>
        </w:rPr>
      </w:pPr>
      <w:r>
        <w:rPr>
          <w:noProof/>
        </w:rPr>
        <w:t>„13 straipsnis</w:t>
      </w:r>
    </w:p>
    <w:p>
      <w:pPr>
        <w:pStyle w:val="ManualNumPar1"/>
        <w:rPr>
          <w:noProof/>
        </w:rPr>
      </w:pPr>
      <w:r>
        <w:t>1.</w:t>
      </w:r>
      <w:r>
        <w:tab/>
      </w:r>
      <w:r>
        <w:rPr>
          <w:noProof/>
        </w:rPr>
        <w:t>Komisijai padeda Nuosavų išteklių patariamasis komitetas, įsteigtas Reglamento (ES, Euratomas) 20xx/xxxx 9 straipsniu. Tai komitetas, kaip nustatyta Europos Parlamento ir Tarybos Reglamente (ES) Nr. 182/2011*.</w:t>
      </w:r>
    </w:p>
    <w:p>
      <w:pPr>
        <w:pStyle w:val="ManualNumPar1"/>
        <w:rPr>
          <w:noProof/>
        </w:rPr>
      </w:pPr>
      <w:r>
        <w:t>2.</w:t>
      </w:r>
      <w:r>
        <w:tab/>
      </w:r>
      <w:r>
        <w:rPr>
          <w:noProof/>
        </w:rPr>
        <w:t>Kai daroma nuoroda į šią dalį, taikomas Reglamento (ES) Nr. 182/2011 4 straipsnis.</w:t>
      </w:r>
    </w:p>
    <w:p>
      <w:pPr>
        <w:rPr>
          <w:noProof/>
        </w:rPr>
      </w:pPr>
      <w:r>
        <w:rPr>
          <w:noProof/>
        </w:rPr>
        <w:t>* 2011 m. vasario 16 d. Europos Parlamento ir Tarybos reglamentas (ES) Nr. 182/2011, kuriuo nustatomos valstybių narių vykdomos Komisijos naudojimosi įgyvendinimo įgaliojimais kontrolės mechanizmų taisyklės ir bendrieji principai (OL L 55, 2011 2 28, p. 13).“.</w:t>
      </w:r>
    </w:p>
    <w:p>
      <w:pPr>
        <w:pStyle w:val="Titrearticle"/>
        <w:rPr>
          <w:noProof/>
        </w:rPr>
      </w:pPr>
      <w:r>
        <w:rPr>
          <w:noProof/>
        </w:rPr>
        <w:t>2 straipsnis</w:t>
      </w:r>
    </w:p>
    <w:p>
      <w:pPr>
        <w:rPr>
          <w:noProof/>
        </w:rPr>
      </w:pPr>
      <w:r>
        <w:rPr>
          <w:noProof/>
        </w:rPr>
        <w:t>Šis reglamentas įsigalioja Sprendimo 20xx/xxxx/ES, Euratomas įsigaliojimo dieną.</w:t>
      </w:r>
    </w:p>
    <w:p>
      <w:pPr>
        <w:rPr>
          <w:noProof/>
        </w:rPr>
      </w:pPr>
      <w:r>
        <w:rPr>
          <w:noProof/>
        </w:rPr>
        <w:t>Jis taikomas nuo 2021 m. sausio 1 d.</w:t>
      </w:r>
    </w:p>
    <w:p>
      <w:pPr>
        <w:rPr>
          <w:noProof/>
        </w:rPr>
      </w:pPr>
      <w:r>
        <w:rPr>
          <w:noProof/>
        </w:rPr>
        <w:t>Tačiau 1 straipsnis netaikomas pridėtinės vertės mokesčiu pagrįstų nuosavų išteklių bazės ataskaitų už finansinius metus iki 2021 m. patikslinimui.</w:t>
      </w:r>
    </w:p>
    <w:p>
      <w:pPr>
        <w:pStyle w:val="Applicationdirecte"/>
        <w:rPr>
          <w:noProof/>
        </w:rPr>
      </w:pPr>
      <w:r>
        <w:rPr>
          <w:noProof/>
        </w:rPr>
        <w:t>Šis reglamentas privalomas visas ir tiesiogiai taikomas visose valstybėse narėse.</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5BFF3B" w16cid:durableId="1E77C242"/>
  <w16cid:commentId w16cid:paraId="233524B3" w16cid:durableId="1E77C2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1989 m. gegužės 29 d. Tarybos reglamentas (EEB, Euratomas) Nr. 1553/89 dėl galutinių vienodų nuosavų išteklių, kaupiamų iš pridėtinės vertės mokesčio, surinkimo priemonių (OL L 155, 1989 6 7, p. 9).</w:t>
      </w:r>
    </w:p>
  </w:footnote>
  <w:footnote w:id="3">
    <w:p>
      <w:pPr>
        <w:pStyle w:val="FootnoteText"/>
      </w:pPr>
      <w:r>
        <w:rPr>
          <w:rStyle w:val="FootnoteReference"/>
        </w:rPr>
        <w:footnoteRef/>
      </w:r>
      <w:r>
        <w:tab/>
        <w:t xml:space="preserve">COM(2018) 325 </w:t>
      </w:r>
      <w:r>
        <w:rPr>
          <w:i/>
        </w:rPr>
        <w:t>final</w:t>
      </w:r>
      <w:r>
        <w:t>, 2018 5 2.</w:t>
      </w:r>
    </w:p>
  </w:footnote>
  <w:footnote w:id="4">
    <w:p>
      <w:pPr>
        <w:pStyle w:val="FootnoteText"/>
      </w:pPr>
      <w:r>
        <w:rPr>
          <w:rStyle w:val="FootnoteReference"/>
        </w:rPr>
        <w:footnoteRef/>
      </w:r>
      <w:r>
        <w:tab/>
        <w:t>„ES finansavimas ateityje – Aukšto lygio grupės nuosavų išteklių klausimais galutinė ataskaita ir rekomendacijos“, 2016 m. gruodžio mėn.</w:t>
      </w:r>
    </w:p>
  </w:footnote>
  <w:footnote w:id="5">
    <w:p>
      <w:pPr>
        <w:pStyle w:val="FootnoteText"/>
      </w:pPr>
      <w:r>
        <w:rPr>
          <w:rStyle w:val="FootnoteReference"/>
        </w:rPr>
        <w:footnoteRef/>
      </w:r>
      <w:r>
        <w:tab/>
        <w:t>2014 m. gegužės 26 d. Tarybos sprendimas 2014/335/ES, Euratomas dėl Europos Sąjungos nuosavų išteklių sistemos (OL L 168, 2014 6 7, p. 105).</w:t>
      </w:r>
    </w:p>
  </w:footnote>
  <w:footnote w:id="6">
    <w:p>
      <w:pPr>
        <w:pStyle w:val="FootnoteText"/>
      </w:pPr>
      <w:r>
        <w:rPr>
          <w:rStyle w:val="FootnoteReference"/>
        </w:rPr>
        <w:footnoteRef/>
      </w:r>
      <w:r>
        <w:tab/>
        <w:t>2014 m. gegužės 26 d. Tarybos reglamentas (ES, Euratomas) Nr. 609/2014 dėl tradicinių, PVM ir BNP pagrįstų nuosavų išteklių teikimo metodų ir tvarkos ir dėl priemonių, skirtų grynųjų pinigų poreikiui patenkinti (OL L 168, 2014 6 7, p. 39).</w:t>
      </w:r>
    </w:p>
  </w:footnote>
  <w:footnote w:id="7">
    <w:p>
      <w:pPr>
        <w:pStyle w:val="FootnoteText"/>
      </w:pPr>
      <w:r>
        <w:rPr>
          <w:rStyle w:val="FootnoteReference"/>
        </w:rPr>
        <w:footnoteRef/>
      </w:r>
      <w:r>
        <w:tab/>
        <w:t xml:space="preserve">COM(2018) 326 </w:t>
      </w:r>
      <w:r>
        <w:rPr>
          <w:i/>
        </w:rPr>
        <w:t>final</w:t>
      </w:r>
      <w:r>
        <w:t>, 2018 5 2.</w:t>
      </w:r>
    </w:p>
  </w:footnote>
  <w:footnote w:id="8">
    <w:p>
      <w:pPr>
        <w:pStyle w:val="FootnoteText"/>
      </w:pPr>
      <w:r>
        <w:rPr>
          <w:rStyle w:val="FootnoteReference"/>
        </w:rPr>
        <w:footnoteRef/>
      </w:r>
      <w:r>
        <w:tab/>
        <w:t>2006 m. lapkričio 28 d. Tarybos direktyva 2006/112/EB dėl pridėtinės vertės mokesčio bendros sistemos (OL L 347, 2006 12 11, p. 1).</w:t>
      </w:r>
    </w:p>
  </w:footnote>
  <w:footnote w:id="9">
    <w:p>
      <w:pPr>
        <w:pStyle w:val="FootnoteText"/>
        <w:rPr>
          <w:lang w:val="pl-PL"/>
        </w:rPr>
      </w:pPr>
      <w:r>
        <w:rPr>
          <w:rStyle w:val="FootnoteReference"/>
        </w:rPr>
        <w:footnoteRef/>
      </w:r>
      <w:r>
        <w:tab/>
        <w:t>OL C […], […], p. […].</w:t>
      </w:r>
    </w:p>
  </w:footnote>
  <w:footnote w:id="10">
    <w:p>
      <w:pPr>
        <w:pStyle w:val="FootnoteText"/>
        <w:rPr>
          <w:lang w:val="pl-PL"/>
        </w:rPr>
      </w:pPr>
      <w:r>
        <w:rPr>
          <w:rStyle w:val="FootnoteReference"/>
        </w:rPr>
        <w:footnoteRef/>
      </w:r>
      <w:r>
        <w:tab/>
        <w:t>OL C […], […], p. […].</w:t>
      </w:r>
    </w:p>
  </w:footnote>
  <w:footnote w:id="11">
    <w:p>
      <w:pPr>
        <w:pStyle w:val="FootnoteText"/>
        <w:rPr>
          <w:lang w:val="pl-PL"/>
        </w:rPr>
      </w:pPr>
      <w:r>
        <w:rPr>
          <w:rStyle w:val="FootnoteReference"/>
        </w:rPr>
        <w:footnoteRef/>
      </w:r>
      <w:r>
        <w:tab/>
        <w:t>OL L […], […], 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7C01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AAC07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92B54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22652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804525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EF8631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738B8B6"/>
    <w:lvl w:ilvl="0">
      <w:start w:val="1"/>
      <w:numFmt w:val="decimal"/>
      <w:pStyle w:val="ListNumber"/>
      <w:lvlText w:val="%1."/>
      <w:lvlJc w:val="left"/>
      <w:pPr>
        <w:tabs>
          <w:tab w:val="num" w:pos="360"/>
        </w:tabs>
        <w:ind w:left="360" w:hanging="360"/>
      </w:pPr>
    </w:lvl>
  </w:abstractNum>
  <w:abstractNum w:abstractNumId="7">
    <w:nsid w:val="FFFFFF89"/>
    <w:multiLevelType w:val="singleLevel"/>
    <w:tmpl w:val="BAE8DC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21"/>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1"/>
  </w:num>
  <w:num w:numId="19">
    <w:abstractNumId w:val="0"/>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4 16:20:0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025DEDA-F2C1-4079-B636-0DDB432D9CB9"/>
    <w:docVar w:name="LW_COVERPAGE_TYPE" w:val="1"/>
    <w:docVar w:name="LW_CROSSREFERENCE" w:val="&lt;UNUSED&gt;"/>
    <w:docVar w:name="LW_DocType" w:val="COM"/>
    <w:docVar w:name="LW_EMISSION" w:val="2018 05 02"/>
    <w:docVar w:name="LW_EMISSION_ISODATE" w:val="2018-05-02"/>
    <w:docVar w:name="LW_EMISSION_LOCATION" w:val="BRX"/>
    <w:docVar w:name="LW_EMISSION_PREFIX" w:val="Briuselis,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133"/>
    <w:docVar w:name="LW_REF.II.NEW.CP_YEAR" w:val="2018"/>
    <w:docVar w:name="LW_REF.INST.NEW" w:val="COM"/>
    <w:docVar w:name="LW_REF.INST.NEW_ADOPTED" w:val="final"/>
    <w:docVar w:name="LW_REF.INST.NEW_TEXT" w:val="(2018) 3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kuriuo i\u353? dalies kei\u269?iamas Reglamentas (EEB, Euratomas) Nr. 1553/89 d\u279?l galutini\u371? vienod\u371? nuosav\u371? l\u279?\u353?\u371?, kaupiam\u371? i\u353? prid\u279?tin\u279?s vert\u279?s mokes\u269?io, surinkimo priemoni\u371?"/>
    <w:docVar w:name="LW_TYPE.DOC.CP" w:val="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odyText">
    <w:name w:val="Body Text"/>
    <w:basedOn w:val="Normal"/>
    <w:link w:val="BodyTextChar"/>
    <w:uiPriority w:val="1"/>
    <w:qFormat/>
    <w:pPr>
      <w:widowControl w:val="0"/>
      <w:autoSpaceDE w:val="0"/>
      <w:autoSpaceDN w:val="0"/>
      <w:spacing w:before="0" w:after="0"/>
      <w:jc w:val="left"/>
    </w:pPr>
    <w:rPr>
      <w:rFonts w:eastAsia="Times New Roman"/>
      <w:sz w:val="19"/>
      <w:szCs w:val="19"/>
    </w:rPr>
  </w:style>
  <w:style w:type="character" w:customStyle="1" w:styleId="BodyTextChar">
    <w:name w:val="Body Text Char"/>
    <w:basedOn w:val="DefaultParagraphFont"/>
    <w:link w:val="BodyText"/>
    <w:uiPriority w:val="1"/>
    <w:rPr>
      <w:rFonts w:ascii="Times New Roman" w:eastAsia="Times New Roman" w:hAnsi="Times New Roman" w:cs="Times New Roman"/>
      <w:sz w:val="19"/>
      <w:szCs w:val="19"/>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odyText">
    <w:name w:val="Body Text"/>
    <w:basedOn w:val="Normal"/>
    <w:link w:val="BodyTextChar"/>
    <w:uiPriority w:val="1"/>
    <w:qFormat/>
    <w:pPr>
      <w:widowControl w:val="0"/>
      <w:autoSpaceDE w:val="0"/>
      <w:autoSpaceDN w:val="0"/>
      <w:spacing w:before="0" w:after="0"/>
      <w:jc w:val="left"/>
    </w:pPr>
    <w:rPr>
      <w:rFonts w:eastAsia="Times New Roman"/>
      <w:sz w:val="19"/>
      <w:szCs w:val="19"/>
    </w:rPr>
  </w:style>
  <w:style w:type="character" w:customStyle="1" w:styleId="BodyTextChar">
    <w:name w:val="Body Text Char"/>
    <w:basedOn w:val="DefaultParagraphFont"/>
    <w:link w:val="BodyText"/>
    <w:uiPriority w:val="1"/>
    <w:rPr>
      <w:rFonts w:ascii="Times New Roman" w:eastAsia="Times New Roman" w:hAnsi="Times New Roman" w:cs="Times New Roman"/>
      <w:sz w:val="19"/>
      <w:szCs w:val="19"/>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5666">
      <w:bodyDiv w:val="1"/>
      <w:marLeft w:val="0"/>
      <w:marRight w:val="0"/>
      <w:marTop w:val="0"/>
      <w:marBottom w:val="0"/>
      <w:divBdr>
        <w:top w:val="none" w:sz="0" w:space="0" w:color="auto"/>
        <w:left w:val="none" w:sz="0" w:space="0" w:color="auto"/>
        <w:bottom w:val="none" w:sz="0" w:space="0" w:color="auto"/>
        <w:right w:val="none" w:sz="0" w:space="0" w:color="auto"/>
      </w:divBdr>
    </w:div>
    <w:div w:id="378746415">
      <w:bodyDiv w:val="1"/>
      <w:marLeft w:val="0"/>
      <w:marRight w:val="0"/>
      <w:marTop w:val="0"/>
      <w:marBottom w:val="0"/>
      <w:divBdr>
        <w:top w:val="none" w:sz="0" w:space="0" w:color="auto"/>
        <w:left w:val="none" w:sz="0" w:space="0" w:color="auto"/>
        <w:bottom w:val="none" w:sz="0" w:space="0" w:color="auto"/>
        <w:right w:val="none" w:sz="0" w:space="0" w:color="auto"/>
      </w:divBdr>
    </w:div>
    <w:div w:id="749738167">
      <w:bodyDiv w:val="1"/>
      <w:marLeft w:val="0"/>
      <w:marRight w:val="0"/>
      <w:marTop w:val="0"/>
      <w:marBottom w:val="0"/>
      <w:divBdr>
        <w:top w:val="none" w:sz="0" w:space="0" w:color="auto"/>
        <w:left w:val="none" w:sz="0" w:space="0" w:color="auto"/>
        <w:bottom w:val="none" w:sz="0" w:space="0" w:color="auto"/>
        <w:right w:val="none" w:sz="0" w:space="0" w:color="auto"/>
      </w:divBdr>
    </w:div>
    <w:div w:id="1361396332">
      <w:bodyDiv w:val="1"/>
      <w:marLeft w:val="0"/>
      <w:marRight w:val="0"/>
      <w:marTop w:val="0"/>
      <w:marBottom w:val="0"/>
      <w:divBdr>
        <w:top w:val="none" w:sz="0" w:space="0" w:color="auto"/>
        <w:left w:val="none" w:sz="0" w:space="0" w:color="auto"/>
        <w:bottom w:val="none" w:sz="0" w:space="0" w:color="auto"/>
        <w:right w:val="none" w:sz="0" w:space="0" w:color="auto"/>
      </w:divBdr>
    </w:div>
    <w:div w:id="1659915713">
      <w:bodyDiv w:val="1"/>
      <w:marLeft w:val="0"/>
      <w:marRight w:val="0"/>
      <w:marTop w:val="0"/>
      <w:marBottom w:val="0"/>
      <w:divBdr>
        <w:top w:val="none" w:sz="0" w:space="0" w:color="auto"/>
        <w:left w:val="none" w:sz="0" w:space="0" w:color="auto"/>
        <w:bottom w:val="none" w:sz="0" w:space="0" w:color="auto"/>
        <w:right w:val="none" w:sz="0" w:space="0" w:color="auto"/>
      </w:divBdr>
    </w:div>
    <w:div w:id="1692028307">
      <w:bodyDiv w:val="1"/>
      <w:marLeft w:val="0"/>
      <w:marRight w:val="0"/>
      <w:marTop w:val="0"/>
      <w:marBottom w:val="0"/>
      <w:divBdr>
        <w:top w:val="none" w:sz="0" w:space="0" w:color="auto"/>
        <w:left w:val="none" w:sz="0" w:space="0" w:color="auto"/>
        <w:bottom w:val="none" w:sz="0" w:space="0" w:color="auto"/>
        <w:right w:val="none" w:sz="0" w:space="0" w:color="auto"/>
      </w:divBdr>
    </w:div>
    <w:div w:id="1958684149">
      <w:bodyDiv w:val="1"/>
      <w:marLeft w:val="0"/>
      <w:marRight w:val="0"/>
      <w:marTop w:val="0"/>
      <w:marBottom w:val="0"/>
      <w:divBdr>
        <w:top w:val="none" w:sz="0" w:space="0" w:color="auto"/>
        <w:left w:val="none" w:sz="0" w:space="0" w:color="auto"/>
        <w:bottom w:val="none" w:sz="0" w:space="0" w:color="auto"/>
        <w:right w:val="none" w:sz="0" w:space="0" w:color="auto"/>
      </w:divBdr>
      <w:divsChild>
        <w:div w:id="661662048">
          <w:marLeft w:val="0"/>
          <w:marRight w:val="0"/>
          <w:marTop w:val="0"/>
          <w:marBottom w:val="0"/>
          <w:divBdr>
            <w:top w:val="none" w:sz="0" w:space="0" w:color="auto"/>
            <w:left w:val="none" w:sz="0" w:space="0" w:color="auto"/>
            <w:bottom w:val="none" w:sz="0" w:space="0" w:color="auto"/>
            <w:right w:val="none" w:sz="0" w:space="0" w:color="auto"/>
          </w:divBdr>
        </w:div>
        <w:div w:id="1598978085">
          <w:marLeft w:val="0"/>
          <w:marRight w:val="0"/>
          <w:marTop w:val="0"/>
          <w:marBottom w:val="0"/>
          <w:divBdr>
            <w:top w:val="none" w:sz="0" w:space="0" w:color="auto"/>
            <w:left w:val="none" w:sz="0" w:space="0" w:color="auto"/>
            <w:bottom w:val="none" w:sz="0" w:space="0" w:color="auto"/>
            <w:right w:val="none" w:sz="0" w:space="0" w:color="auto"/>
          </w:divBdr>
        </w:div>
        <w:div w:id="1519346848">
          <w:marLeft w:val="0"/>
          <w:marRight w:val="0"/>
          <w:marTop w:val="0"/>
          <w:marBottom w:val="0"/>
          <w:divBdr>
            <w:top w:val="none" w:sz="0" w:space="0" w:color="auto"/>
            <w:left w:val="none" w:sz="0" w:space="0" w:color="auto"/>
            <w:bottom w:val="none" w:sz="0" w:space="0" w:color="auto"/>
            <w:right w:val="none" w:sz="0" w:space="0" w:color="auto"/>
          </w:divBdr>
        </w:div>
        <w:div w:id="1902250250">
          <w:marLeft w:val="0"/>
          <w:marRight w:val="0"/>
          <w:marTop w:val="0"/>
          <w:marBottom w:val="0"/>
          <w:divBdr>
            <w:top w:val="none" w:sz="0" w:space="0" w:color="auto"/>
            <w:left w:val="none" w:sz="0" w:space="0" w:color="auto"/>
            <w:bottom w:val="none" w:sz="0" w:space="0" w:color="auto"/>
            <w:right w:val="none" w:sz="0" w:space="0" w:color="auto"/>
          </w:divBdr>
        </w:div>
        <w:div w:id="1572959300">
          <w:marLeft w:val="0"/>
          <w:marRight w:val="0"/>
          <w:marTop w:val="0"/>
          <w:marBottom w:val="0"/>
          <w:divBdr>
            <w:top w:val="none" w:sz="0" w:space="0" w:color="auto"/>
            <w:left w:val="none" w:sz="0" w:space="0" w:color="auto"/>
            <w:bottom w:val="none" w:sz="0" w:space="0" w:color="auto"/>
            <w:right w:val="none" w:sz="0" w:space="0" w:color="auto"/>
          </w:divBdr>
        </w:div>
      </w:divsChild>
    </w:div>
    <w:div w:id="20854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F62F566B6F5A54B836441EDBF78D9E4" ma:contentTypeVersion="1" ma:contentTypeDescription="Create a new document in this library." ma:contentTypeScope="" ma:versionID="090cbd4403d3e637825df014b956ea67">
  <xsd:schema xmlns:xsd="http://www.w3.org/2001/XMLSchema" xmlns:xs="http://www.w3.org/2001/XMLSchema" xmlns:p="http://schemas.microsoft.com/office/2006/metadata/properties" xmlns:ns3="4b000966-a7c4-4b01-8bf4-80f725bfe09b" targetNamespace="http://schemas.microsoft.com/office/2006/metadata/properties" ma:root="true" ma:fieldsID="bb0e027ce7901fc0c7391a5a3b57f750" ns3:_="">
    <xsd:import namespace="4b000966-a7c4-4b01-8bf4-80f725bfe09b"/>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00966-a7c4-4b01-8bf4-80f725bfe09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4b000966-a7c4-4b01-8bf4-80f725bfe09b">Not Started</EC_Collab_Status>
    <EC_Collab_Reference xmlns="4b000966-a7c4-4b01-8bf4-80f725bfe09b" xsi:nil="true"/>
    <EC_Collab_DocumentLanguage xmlns="4b000966-a7c4-4b01-8bf4-80f725bfe09b">EN</EC_Collab_DocumentLanguag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6DB7B25-527B-4B92-ABF4-19BA4EA7D771}">
  <ds:schemaRefs>
    <ds:schemaRef ds:uri="http://schemas.microsoft.com/sharepoint/v3/contenttype/forms"/>
  </ds:schemaRefs>
</ds:datastoreItem>
</file>

<file path=customXml/itemProps2.xml><?xml version="1.0" encoding="utf-8"?>
<ds:datastoreItem xmlns:ds="http://schemas.openxmlformats.org/officeDocument/2006/customXml" ds:itemID="{1727B1C2-BF42-4A15-BF6D-09E6A8F97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00966-a7c4-4b01-8bf4-80f725bfe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D1E09-D0D0-46FE-93FB-937F09A4D77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 ds:uri="4b000966-a7c4-4b01-8bf4-80f725bfe09b"/>
    <ds:schemaRef ds:uri="http://schemas.microsoft.com/office/2006/metadata/properties"/>
  </ds:schemaRefs>
</ds:datastoreItem>
</file>

<file path=customXml/itemProps4.xml><?xml version="1.0" encoding="utf-8"?>
<ds:datastoreItem xmlns:ds="http://schemas.openxmlformats.org/officeDocument/2006/customXml" ds:itemID="{36B6B70B-43CD-4E6D-AAE2-18666733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2600</Words>
  <Characters>17707</Characters>
  <Application>Microsoft Office Word</Application>
  <DocSecurity>0</DocSecurity>
  <Lines>310</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2018-04-19T21:17:00Z</cp:lastPrinted>
  <dcterms:created xsi:type="dcterms:W3CDTF">2018-05-04T12:27:00Z</dcterms:created>
  <dcterms:modified xsi:type="dcterms:W3CDTF">2018-05-04T14:20:00Z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0x010100258AA79CEB83498886A3A0868112325000DF62F566B6F5A54B836441EDBF78D9E4</vt:lpwstr>
  </property>
  <property fmtid="{D5CDD505-2E9C-101B-9397-08002B2CF9AE}" pid="11" name="DQCStatus">
    <vt:lpwstr>Green (DQC version 03)</vt:lpwstr>
  </property>
</Properties>
</file>