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139CE7C-EC91-45D5-9422-6E3576F6AA6F" style="width:450.4pt;height:351.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u w:val="none"/>
        </w:rPr>
      </w:pPr>
      <w:bookmarkStart w:id="0" w:name="_GoBack"/>
      <w:bookmarkEnd w:id="0"/>
      <w:r>
        <w:rPr>
          <w:noProof/>
          <w:u w:val="none"/>
        </w:rPr>
        <w:lastRenderedPageBreak/>
        <w:t>BEGRUNDELSE</w:t>
      </w:r>
    </w:p>
    <w:p>
      <w:pPr>
        <w:pStyle w:val="ManualHeading1"/>
        <w:rPr>
          <w:noProof/>
        </w:rPr>
      </w:pPr>
      <w:r>
        <w:t>1.</w:t>
      </w:r>
      <w:r>
        <w:tab/>
      </w:r>
      <w:r>
        <w:rPr>
          <w:noProof/>
        </w:rPr>
        <w:t>Baggrund for forslaget</w:t>
      </w:r>
    </w:p>
    <w:p>
      <w:pPr>
        <w:pBdr>
          <w:top w:val="nil"/>
          <w:left w:val="nil"/>
          <w:bottom w:val="nil"/>
          <w:right w:val="nil"/>
          <w:between w:val="nil"/>
          <w:bar w:val="nil"/>
        </w:pBdr>
        <w:spacing w:before="0" w:after="240"/>
        <w:rPr>
          <w:rFonts w:eastAsia="Arial Unicode MS"/>
          <w:noProof/>
        </w:rPr>
      </w:pPr>
      <w:r>
        <w:rPr>
          <w:noProof/>
        </w:rPr>
        <w:t>Formålet med dette forslag er at foretage en betydelig forenkling af de aspekter af egne indtægter, som vedrører moms, gennem en ændring af Rådets forordning (EØF, Euratom) nr. 1553/89</w:t>
      </w:r>
      <w:r>
        <w:rPr>
          <w:rStyle w:val="FootnoteReference"/>
          <w:noProof/>
        </w:rPr>
        <w:footnoteReference w:id="2"/>
      </w:r>
      <w:r>
        <w:rPr>
          <w:noProof/>
        </w:rPr>
        <w:t xml:space="preserve">: Vægten lægges nu på leverancer til normalsats (således at brugen af den vejede gennemsnitssats ikke er nødvendig), mens antallet af justeringer reduceres til et absolut minimum og de finansielle godtgørelser bliver fjernet. Desuden foreslås en fælles procentsats baseret på medlemsstaternes seneste finanspolitiske data. </w:t>
      </w:r>
    </w:p>
    <w:p>
      <w:pPr>
        <w:pBdr>
          <w:top w:val="nil"/>
          <w:left w:val="nil"/>
          <w:bottom w:val="nil"/>
          <w:right w:val="nil"/>
          <w:between w:val="nil"/>
          <w:bar w:val="nil"/>
        </w:pBdr>
        <w:spacing w:before="0" w:after="240"/>
        <w:rPr>
          <w:rFonts w:eastAsia="Arial Unicode MS"/>
          <w:noProof/>
        </w:rPr>
      </w:pPr>
      <w:r>
        <w:rPr>
          <w:noProof/>
        </w:rPr>
        <w:t>Forslaget udgør en integreret del af reformen af Ordningen for egne indtægter, som er fastsat i Kommissionens forslag til Rådets afgørelse om ordningen for Den Europæiske Unions egne indtægter</w:t>
      </w:r>
      <w:r>
        <w:rPr>
          <w:rStyle w:val="FootnoteReference"/>
          <w:noProof/>
        </w:rPr>
        <w:footnoteReference w:id="3"/>
      </w:r>
      <w:r>
        <w:rPr>
          <w:noProof/>
        </w:rPr>
        <w:t>. Denne reform følger de henstillinger, der er foreslået af Gruppen på Højt Plan vedrørende Egne Indtægter, som offentliggjorde sin endelige rapport i december 2016</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Forslaget bygger på tidligere erfaringer med forvaltning af egne indtægter og sigter mod at forenkle beregningen af egne indtægter baseret på moms. Det strømliner ligeledes de praktiske ordninger. Der redegøres nærmere for forslaget i afsnit 5 nedenfor.</w:t>
      </w:r>
    </w:p>
    <w:p>
      <w:pPr>
        <w:pBdr>
          <w:top w:val="nil"/>
          <w:left w:val="nil"/>
          <w:bottom w:val="nil"/>
          <w:right w:val="nil"/>
          <w:between w:val="nil"/>
          <w:bar w:val="nil"/>
        </w:pBdr>
        <w:spacing w:before="0" w:after="240"/>
        <w:rPr>
          <w:noProof/>
        </w:rPr>
      </w:pPr>
      <w:r>
        <w:rPr>
          <w:noProof/>
        </w:rPr>
        <w:t xml:space="preserve">I betragtning af arten af de egne indtægter afhænger deres forvaltning af den korrekte anvendelse af andre EU-politikker, navnlig politikkerne for det indre marked og beskatning. </w:t>
      </w:r>
    </w:p>
    <w:p>
      <w:pPr>
        <w:pStyle w:val="ManualHeading1"/>
        <w:rPr>
          <w:noProof/>
        </w:rPr>
      </w:pPr>
      <w:r>
        <w:t>2.</w:t>
      </w:r>
      <w:r>
        <w:tab/>
      </w:r>
      <w:r>
        <w:rPr>
          <w:noProof/>
        </w:rPr>
        <w:t xml:space="preserve">Retsgrundlag, nærhedsprincippet og proportionalitet </w:t>
      </w:r>
    </w:p>
    <w:p>
      <w:pPr>
        <w:rPr>
          <w:noProof/>
        </w:rPr>
      </w:pPr>
      <w:r>
        <w:rPr>
          <w:noProof/>
        </w:rPr>
        <w:t>Retsgrundlaget for dette forordningsforslag er artikel 322, stk. 2, i traktaten om Den Europæiske Unions funktionsmåde. Af artikel 8, stk. 2, i Rådets afgørelse 2014/335/EU, Euratom</w:t>
      </w:r>
      <w:r>
        <w:rPr>
          <w:rStyle w:val="FootnoteReference"/>
          <w:noProof/>
        </w:rPr>
        <w:footnoteReference w:id="5"/>
      </w:r>
      <w:r>
        <w:rPr>
          <w:noProof/>
        </w:rPr>
        <w:t xml:space="preserve"> og artikel 6, stk. 3, i forslaget til afgørelsen om egne indtægter fremgår det, at medlemsstaterne skal stille indtægter til rådighed for Kommissionen i henhold til de forordninger, der er vedtaget i henhold til artikel 322, stk. 2, i traktaten om Den Europæiske Unions funktionsmåde. Da denne forordning ændrer en eksisterende forordning, er det desuden hensigtsmæssigt at anvende samme type retsakt. </w:t>
      </w:r>
    </w:p>
    <w:p>
      <w:pPr>
        <w:rPr>
          <w:rFonts w:eastAsia="Arial Unicode MS"/>
          <w:noProof/>
        </w:rPr>
      </w:pPr>
      <w:r>
        <w:rPr>
          <w:noProof/>
        </w:rPr>
        <w:t>På grund af karakteren af Unionens budget og de egne indtægter, som udgør indtægtssiden af EU-budgettet, bør ordningen for egne indtægter og disse indtægters overdragelse forvaltes ud fra et EU-dækkende perspektiv, og denne opgave kan ikke varetages af medlemsstaterne.</w:t>
      </w:r>
    </w:p>
    <w:p>
      <w:pPr>
        <w:rPr>
          <w:noProof/>
        </w:rPr>
      </w:pPr>
      <w:r>
        <w:rPr>
          <w:noProof/>
        </w:rPr>
        <w:t>Den foreslåede forordning supplerer de allerede eksisterende bestemmelser med hensyn til "overdragelse", navnlig forordning (EU, Euratom) nr. 609/2014</w:t>
      </w:r>
      <w:r>
        <w:rPr>
          <w:rStyle w:val="FootnoteReference"/>
          <w:noProof/>
        </w:rPr>
        <w:footnoteReference w:id="6"/>
      </w:r>
      <w:r>
        <w:rPr>
          <w:noProof/>
        </w:rPr>
        <w:t xml:space="preserve">. </w:t>
      </w:r>
    </w:p>
    <w:p>
      <w:pPr>
        <w:rPr>
          <w:noProof/>
        </w:rPr>
      </w:pPr>
      <w:r>
        <w:rPr>
          <w:noProof/>
        </w:rPr>
        <w:t>Det er i Unionens og medlemsstaterne interesse at sikre, at denne ordning for egne indtægter fungerer godt, og det er formålet med den foreslåede forordning at lette samarbejdet mellem dem.</w:t>
      </w:r>
    </w:p>
    <w:p>
      <w:pPr>
        <w:pStyle w:val="ManualHeading1"/>
        <w:rPr>
          <w:noProof/>
        </w:rPr>
      </w:pPr>
      <w:r>
        <w:lastRenderedPageBreak/>
        <w:t>3.</w:t>
      </w:r>
      <w:r>
        <w:tab/>
      </w:r>
      <w:r>
        <w:rPr>
          <w:noProof/>
        </w:rPr>
        <w:t>Resultater af efterfølgende evalueringer, høringer af interesserede parter og konsekvensanalyser</w:t>
      </w:r>
    </w:p>
    <w:p>
      <w:pPr>
        <w:rPr>
          <w:noProof/>
        </w:rPr>
      </w:pPr>
      <w:r>
        <w:rPr>
          <w:noProof/>
        </w:rPr>
        <w:t>Forslaget er en del af lovgivningspakken om egne indtægter for perioden 2021-2027. Med henblik på en forenkling af de momsbaserede egne indtægter bør forordningen om egne indtægter hidrørende fra merværdiafgiften ændres.</w:t>
      </w:r>
    </w:p>
    <w:p>
      <w:pPr>
        <w:rPr>
          <w:noProof/>
        </w:rPr>
      </w:pPr>
      <w:r>
        <w:rPr>
          <w:noProof/>
        </w:rPr>
        <w:t>Begrundelsen til forslaget til afgørelsen om egne indtægter indeholder oplysninger om de seneste rapporter og dokumenter, hvori behovet for en reform af ordningen for Unionens egne indtægter analyseres.</w:t>
      </w:r>
    </w:p>
    <w:p>
      <w:pPr>
        <w:rPr>
          <w:noProof/>
        </w:rPr>
      </w:pPr>
      <w:r>
        <w:rPr>
          <w:noProof/>
        </w:rPr>
        <w:t>Dette forslag er ikke knyttet til programmet for målrettet og effektiv regulering. Det er rettet til medlemsstaterne og ikke til mikrovirksomheder, små og mellemstore virksomheder eller andre interessenter. Det er i princippet neutralt med hensyn til den EU-sektorspecifikke konkurrenceevne og international handel. Forslaget har ingen konsekvenser for beskyttelsen af de grundlæggende rettigheder.</w:t>
      </w:r>
    </w:p>
    <w:p>
      <w:pPr>
        <w:pStyle w:val="ManualHeading1"/>
        <w:rPr>
          <w:noProof/>
        </w:rPr>
      </w:pPr>
      <w:r>
        <w:t>4.</w:t>
      </w:r>
      <w:r>
        <w:tab/>
      </w:r>
      <w:r>
        <w:rPr>
          <w:noProof/>
        </w:rPr>
        <w:t>VIRKNINGER FOR BUDGETTET</w:t>
      </w:r>
    </w:p>
    <w:p>
      <w:pPr>
        <w:pBdr>
          <w:top w:val="nil"/>
          <w:left w:val="nil"/>
          <w:bottom w:val="nil"/>
          <w:right w:val="nil"/>
          <w:between w:val="nil"/>
          <w:bar w:val="nil"/>
        </w:pBdr>
        <w:spacing w:before="0" w:after="240"/>
        <w:rPr>
          <w:noProof/>
        </w:rPr>
      </w:pPr>
      <w:r>
        <w:rPr>
          <w:noProof/>
        </w:rPr>
        <w:t>De budgetmæssige virkninger af dette forslag og lovgivningspakken om egne indtægter er beskrevet i den finansieringsoversigt, der er vedlagt forslaget til overdragelsesforordningen for nye egne indtægter</w:t>
      </w:r>
      <w:r>
        <w:rPr>
          <w:rStyle w:val="FootnoteReference"/>
          <w:noProof/>
        </w:rPr>
        <w:footnoteReference w:id="7"/>
      </w:r>
      <w:r>
        <w:rPr>
          <w:noProof/>
        </w:rPr>
        <w:t xml:space="preserve">. Reformen af ordningen for egne indtægter, herunder den reformerede ordning for moms, kan gennemføres med det samme niveau af administrationsbevillinger og personale som med den nuværende ordning. </w:t>
      </w:r>
    </w:p>
    <w:p>
      <w:pPr>
        <w:pStyle w:val="ManualHeading1"/>
        <w:rPr>
          <w:noProof/>
        </w:rPr>
      </w:pPr>
      <w:r>
        <w:t>5.</w:t>
      </w:r>
      <w:r>
        <w:tab/>
      </w:r>
      <w:r>
        <w:rPr>
          <w:noProof/>
        </w:rPr>
        <w:t>Andre forhold</w:t>
      </w:r>
    </w:p>
    <w:p>
      <w:pPr>
        <w:rPr>
          <w:noProof/>
          <w:color w:val="000000"/>
        </w:rPr>
      </w:pPr>
      <w:r>
        <w:rPr>
          <w:noProof/>
          <w:color w:val="000000"/>
        </w:rPr>
        <w:t>Anvendelsen af denne forordning vil være genstand for regelmæssige drøftelser i Det Rådgivende Udvalg for Egne Indtægter, sådan som det i øjeblikket er tilfældet.</w:t>
      </w:r>
    </w:p>
    <w:p>
      <w:pPr>
        <w:rPr>
          <w:noProof/>
          <w:color w:val="000000"/>
        </w:rPr>
      </w:pPr>
      <w:r>
        <w:rPr>
          <w:noProof/>
          <w:color w:val="000000"/>
        </w:rPr>
        <w:t>Kommissionens forslag kan sammenfattes således:</w:t>
      </w:r>
    </w:p>
    <w:p>
      <w:pPr>
        <w:keepNext/>
        <w:spacing w:before="240"/>
        <w:rPr>
          <w:noProof/>
          <w:color w:val="000000"/>
        </w:rPr>
      </w:pPr>
      <w:r>
        <w:rPr>
          <w:noProof/>
          <w:color w:val="000000"/>
        </w:rPr>
        <w:t>Ved forslagets artikel 1, stk. 1, slettes den tidligere underinddeling i 6 afsnit i forordning (EØF, Euratom) nr. 1553/89.</w:t>
      </w:r>
    </w:p>
    <w:p>
      <w:pPr>
        <w:spacing w:before="240"/>
        <w:rPr>
          <w:b/>
          <w:noProof/>
          <w:color w:val="000000"/>
        </w:rPr>
      </w:pPr>
      <w:r>
        <w:rPr>
          <w:noProof/>
        </w:rPr>
        <w:t>Ved artikel 1, stk. 2, i forslaget ændres artikel 1 i forordning (EØF, Euratom) nr. 1553/89 som følger:</w:t>
      </w:r>
    </w:p>
    <w:p>
      <w:pPr>
        <w:pStyle w:val="Tiret0"/>
        <w:numPr>
          <w:ilvl w:val="0"/>
          <w:numId w:val="13"/>
        </w:numPr>
        <w:ind w:left="851"/>
        <w:rPr>
          <w:noProof/>
        </w:rPr>
      </w:pPr>
      <w:r>
        <w:rPr>
          <w:noProof/>
        </w:rPr>
        <w:t>Artikel 1 ajourføres for at afspejle, at fokus med hensyn til de momsbaserede egne indtægter nu rettes mod leverancer til endeligt forbrug til normalsats. I artiklen henvises også til den ensartede bidragssats, som er omhandlet i forslaget til den nye afgørelse om egne indtægter. Normalsatsen for moms bør forstås som den momssats, der er omhandlet i artikel 96 Rådets direktiv 2006/112/EF om det fælles merværdiafgiftssystem</w:t>
      </w:r>
      <w:r>
        <w:rPr>
          <w:rStyle w:val="FootnoteReference"/>
          <w:noProof/>
        </w:rPr>
        <w:footnoteReference w:id="8"/>
      </w:r>
      <w:r>
        <w:rPr>
          <w:noProof/>
        </w:rPr>
        <w:t>.</w:t>
      </w:r>
    </w:p>
    <w:p>
      <w:pPr>
        <w:rPr>
          <w:noProof/>
        </w:rPr>
      </w:pPr>
      <w:r>
        <w:rPr>
          <w:noProof/>
        </w:rPr>
        <w:t xml:space="preserve">Ved artikel 1, stk. 3, i forslaget slettes artikel 2 i forordning (EØF, Euratom) nr. 1553/89. </w:t>
      </w:r>
    </w:p>
    <w:p>
      <w:pPr>
        <w:pStyle w:val="Tiret0"/>
        <w:rPr>
          <w:noProof/>
        </w:rPr>
      </w:pPr>
      <w:r>
        <w:rPr>
          <w:noProof/>
        </w:rPr>
        <w:t>De normative bestemmelser flyttes til artikel 3, mens de ikkenormative bestemmelser, hvori rammerne fastlægges, nu findes i betragtningerne.</w:t>
      </w:r>
    </w:p>
    <w:p>
      <w:pPr>
        <w:spacing w:before="240"/>
        <w:rPr>
          <w:b/>
          <w:noProof/>
          <w:color w:val="000000"/>
        </w:rPr>
      </w:pPr>
      <w:r>
        <w:rPr>
          <w:noProof/>
        </w:rPr>
        <w:t>Ved artikel 1, stk. 4, erstattes artikel 3 og 4 i forordning (EØF, Euratom) nr. 1553/89:</w:t>
      </w:r>
    </w:p>
    <w:p>
      <w:pPr>
        <w:pStyle w:val="Tiret0"/>
        <w:numPr>
          <w:ilvl w:val="0"/>
          <w:numId w:val="5"/>
        </w:numPr>
        <w:rPr>
          <w:noProof/>
        </w:rPr>
      </w:pPr>
      <w:r>
        <w:rPr>
          <w:noProof/>
        </w:rPr>
        <w:lastRenderedPageBreak/>
        <w:t>artikel 3, stk. 1: For at tilvejebringe en ukontroversiel og pålidelig datakilde skal det normalsatsberegnede grundlag for momsbaserede egne indtægter udledes af de samlede nettoindtægter fra den moms, som er blevet opkrævet i løbet af et kalenderår i hver enkelt medlemsstat. Indtægterne korrigeres for de specifikke territorielle aspekter anført i momsdirektivet</w:t>
      </w:r>
    </w:p>
    <w:p>
      <w:pPr>
        <w:pStyle w:val="Tiret0"/>
        <w:numPr>
          <w:ilvl w:val="0"/>
          <w:numId w:val="5"/>
        </w:numPr>
        <w:rPr>
          <w:noProof/>
        </w:rPr>
      </w:pPr>
      <w:r>
        <w:rPr>
          <w:noProof/>
        </w:rPr>
        <w:t>artikel 3, stk. 2: For at udlede leverancerne til endeligt forbrug til normalsats ganges de samlede nettoindtægter med den fælles EU-andel</w:t>
      </w:r>
    </w:p>
    <w:p>
      <w:pPr>
        <w:pStyle w:val="Tiret0"/>
        <w:numPr>
          <w:ilvl w:val="0"/>
          <w:numId w:val="5"/>
        </w:numPr>
        <w:rPr>
          <w:noProof/>
        </w:rPr>
      </w:pPr>
      <w:r>
        <w:rPr>
          <w:noProof/>
        </w:rPr>
        <w:t>artikel 3, stk. 3: Eftersom medlemsstaterne anvender forskellige normalsatser, kan den ensartede bidragssats ikke anvendes på indtægterne. Derfor bør leverancerne til endeligt forbrug til normalsats i stedet divideres med den pågældende medlemsstats normalsats for at nå frem til det normalsatsberegnede grundlag for momsindtægterne</w:t>
      </w:r>
    </w:p>
    <w:p>
      <w:pPr>
        <w:pStyle w:val="Tiret0"/>
        <w:numPr>
          <w:ilvl w:val="0"/>
          <w:numId w:val="5"/>
        </w:numPr>
        <w:rPr>
          <w:noProof/>
        </w:rPr>
      </w:pPr>
      <w:r>
        <w:rPr>
          <w:noProof/>
        </w:rPr>
        <w:t>artikel 3, stk. 4: Den ensartede bidragssats anvendes på det normalsatsberegnede grundlag for momsindtægterne for at nå frem de normalsatsberegnede momsbaserede egne indtægter, der skal tilflyde EU-budgettet</w:t>
      </w:r>
    </w:p>
    <w:p>
      <w:pPr>
        <w:pStyle w:val="Tiret0"/>
        <w:numPr>
          <w:ilvl w:val="0"/>
          <w:numId w:val="5"/>
        </w:numPr>
        <w:rPr>
          <w:noProof/>
        </w:rPr>
      </w:pPr>
      <w:r>
        <w:rPr>
          <w:noProof/>
        </w:rPr>
        <w:t>artikel 3, stk. 5: Hvis en medlemsstat overtræder momsdirektivet, bør nettoindtægterne fra momsopkrævningen korrigeres med henblik på at sikre ligebehandling mellem medlemsstaterne</w:t>
      </w:r>
    </w:p>
    <w:p>
      <w:pPr>
        <w:pStyle w:val="Tiret0"/>
        <w:numPr>
          <w:ilvl w:val="0"/>
          <w:numId w:val="5"/>
        </w:numPr>
        <w:rPr>
          <w:noProof/>
        </w:rPr>
      </w:pPr>
      <w:r>
        <w:rPr>
          <w:noProof/>
        </w:rPr>
        <w:t xml:space="preserve">artikel 4: Artikel 4 indeholder standardmetoden for den beregning, der foretages, når en medlemsstat under iagttagelse af de korrekte procedurer vælger at ændre sin normalsats for moms. Metoden tager hensyn til satserne før og efter ændringen. </w:t>
      </w:r>
    </w:p>
    <w:p>
      <w:pPr>
        <w:spacing w:before="240"/>
        <w:rPr>
          <w:b/>
          <w:noProof/>
          <w:color w:val="000000"/>
        </w:rPr>
      </w:pPr>
      <w:r>
        <w:rPr>
          <w:noProof/>
        </w:rPr>
        <w:t>Ved artikel 1, stk. 5, i forslaget slettes artikel 5 og 6 i forordning (EØF, Euratom) nr. 1553/89:</w:t>
      </w:r>
    </w:p>
    <w:p>
      <w:pPr>
        <w:pStyle w:val="Tiret0"/>
        <w:numPr>
          <w:ilvl w:val="0"/>
          <w:numId w:val="5"/>
        </w:numPr>
        <w:rPr>
          <w:noProof/>
        </w:rPr>
      </w:pPr>
      <w:r>
        <w:rPr>
          <w:noProof/>
        </w:rPr>
        <w:t xml:space="preserve">Artikel 5 og 6 udgår, da der med forslaget fastlægges en minimal anvendelse af justeringer, og der ikke gives mulighed for godtgørelser. </w:t>
      </w:r>
    </w:p>
    <w:p>
      <w:pPr>
        <w:spacing w:before="240"/>
        <w:rPr>
          <w:b/>
          <w:noProof/>
          <w:color w:val="000000"/>
        </w:rPr>
      </w:pPr>
      <w:bookmarkStart w:id="1" w:name="_CopyToNewDocument_"/>
      <w:bookmarkEnd w:id="1"/>
      <w:r>
        <w:rPr>
          <w:noProof/>
        </w:rPr>
        <w:t>Ved artikel 1, stk. 6, i forslaget ændres artikel 7 i forordning (EØF, Euratom) nr. 1553/89 som følger:</w:t>
      </w:r>
    </w:p>
    <w:p>
      <w:pPr>
        <w:pStyle w:val="Tiret0"/>
        <w:numPr>
          <w:ilvl w:val="0"/>
          <w:numId w:val="5"/>
        </w:numPr>
        <w:rPr>
          <w:noProof/>
        </w:rPr>
      </w:pPr>
      <w:r>
        <w:rPr>
          <w:noProof/>
        </w:rPr>
        <w:t xml:space="preserve">Artikel 7 forbliver stort set uændret. Deri erstattes "inden" med "senest" i begyndelsen af stk. 1. I stk. 2 foretages konsekvensændringer som følge af, at artikel 5 og 6 udgår, og at artikel 11 flyttes til artikel 4, stk. 7, i Rådets forordning (EU, Euratom) No 20xx/xxxx. </w:t>
      </w:r>
    </w:p>
    <w:p>
      <w:pPr>
        <w:spacing w:before="240"/>
        <w:rPr>
          <w:b/>
          <w:noProof/>
          <w:color w:val="000000"/>
        </w:rPr>
      </w:pPr>
      <w:r>
        <w:rPr>
          <w:noProof/>
        </w:rPr>
        <w:t>Ved artikel 1, stk. 7, i forslaget erstattes artikel 8 i forordning (EØF, Euratom) nr. 1553/89:</w:t>
      </w:r>
    </w:p>
    <w:p>
      <w:pPr>
        <w:pStyle w:val="Tiret0"/>
        <w:numPr>
          <w:ilvl w:val="0"/>
          <w:numId w:val="5"/>
        </w:numPr>
        <w:rPr>
          <w:noProof/>
        </w:rPr>
      </w:pPr>
      <w:r>
        <w:rPr>
          <w:noProof/>
        </w:rPr>
        <w:t>Artikel 8 forbliver grundlægende uændret. Henvisningen til "grundlaget for momsindtægterne" erstattes med "det normalsatsberegnede grundlag for momsbaserede egne indtægter ".</w:t>
      </w:r>
    </w:p>
    <w:p>
      <w:pPr>
        <w:spacing w:before="240"/>
        <w:rPr>
          <w:noProof/>
        </w:rPr>
      </w:pPr>
      <w:r>
        <w:rPr>
          <w:noProof/>
        </w:rPr>
        <w:t>Ved artikel 1, stk. 8, i forslaget erstattes artikel 10 i forordning (EØF, Euratom) nr. 1553/89:</w:t>
      </w:r>
    </w:p>
    <w:p>
      <w:pPr>
        <w:pStyle w:val="Tiret0"/>
        <w:numPr>
          <w:ilvl w:val="0"/>
          <w:numId w:val="5"/>
        </w:numPr>
        <w:rPr>
          <w:noProof/>
        </w:rPr>
      </w:pPr>
      <w:r>
        <w:rPr>
          <w:noProof/>
        </w:rPr>
        <w:t>Artikel 10 forbliver grundlæggende uændret, men ændres for at afspejle forslagets anvendelsesområde. Henvisningen til artiklerne 5 og 6 er blevet fjernet, da det foreslås, at godtgørelserne og visse justeringer indstilles. For at forenkle procedurerne er artikel 10, stk. 2, blevet ændret fra "Kommissionen undersøger [...]" til "Kommissionen kan vedtage [...]".</w:t>
      </w:r>
    </w:p>
    <w:p>
      <w:pPr>
        <w:spacing w:before="240"/>
        <w:rPr>
          <w:noProof/>
        </w:rPr>
      </w:pPr>
      <w:r>
        <w:rPr>
          <w:noProof/>
        </w:rPr>
        <w:t>Ved artikel 1, stk. 9, i forslaget ændres artikel 11 i forordning (EØF, Euratom) nr. 1553/89:</w:t>
      </w:r>
    </w:p>
    <w:p>
      <w:pPr>
        <w:pStyle w:val="Tiret0"/>
        <w:numPr>
          <w:ilvl w:val="0"/>
          <w:numId w:val="5"/>
        </w:numPr>
        <w:rPr>
          <w:noProof/>
        </w:rPr>
      </w:pPr>
      <w:r>
        <w:rPr>
          <w:noProof/>
        </w:rPr>
        <w:t xml:space="preserve">Artikel 11, stk. 1, flyttes til artikel 4, stk. 7, i Rådets forordning (EU, Euratom) 20xx/xxxx. Den tekst, der flyttes, forbliver grundlæggende uændret, men er blevet </w:t>
      </w:r>
      <w:r>
        <w:rPr>
          <w:noProof/>
        </w:rPr>
        <w:lastRenderedPageBreak/>
        <w:t>tilpasset som følge af, at den vejede gennemsnitssats ikke er en del af nærværende forslag. Artikel 11, stk. 3, er blevet omformuleret, så den afspejler, at kontrolbestemmelserne er blevet flyttet til Rådets forordning (EU, Euratom) nr. 20xx/xxxx.</w:t>
      </w:r>
    </w:p>
    <w:p>
      <w:pPr>
        <w:spacing w:before="240"/>
        <w:rPr>
          <w:noProof/>
        </w:rPr>
      </w:pPr>
      <w:r>
        <w:rPr>
          <w:noProof/>
        </w:rPr>
        <w:t>Ved artikel 1, stk. 10, i forslaget ændres artikel 12 i forordning (EØF, Euratom) nr. 1553/89:</w:t>
      </w:r>
    </w:p>
    <w:p>
      <w:pPr>
        <w:pStyle w:val="Tiret0"/>
        <w:numPr>
          <w:ilvl w:val="0"/>
          <w:numId w:val="5"/>
        </w:numPr>
        <w:rPr>
          <w:noProof/>
        </w:rPr>
      </w:pPr>
      <w:r>
        <w:rPr>
          <w:noProof/>
        </w:rPr>
        <w:t>Artikel 12 forbliver grundlæggende uændret, men ændres for at afspejle forslagets anvendelsesområde. Der stilles krav til medlemsstaterne om at underrette Kommissionen om momsopkrævningen på et mere generelt plan og om at begrænse underretningen til relevante ændringer i de administrative processer og procedurer i forbindelse med opkrævning af moms. Desuden er den for Kommissionen gældende rapporteringsperiode blevet bragt i overensstemmelse med de perioder, der er fastsat i andre forordninger og direktiver om afgifter. Med henblik på at vurdere effektiviteten af momsopkrævningsprocedurerne er det mere relevant, at medlemsstaterne rapporterer om de forbedringer, de har foretaget, end om selve procedurerne. Teksten er blevet ændret i overensstemmelse hermed.</w:t>
      </w:r>
    </w:p>
    <w:p>
      <w:pPr>
        <w:spacing w:before="240"/>
        <w:rPr>
          <w:noProof/>
        </w:rPr>
      </w:pPr>
      <w:r>
        <w:rPr>
          <w:noProof/>
        </w:rPr>
        <w:t>Ved artikel 1, stk. 11, i forslaget erstattes artikel 13 i forordning (EØF, Euratom) nr. 1553/89:</w:t>
      </w:r>
    </w:p>
    <w:p>
      <w:pPr>
        <w:pStyle w:val="Tiret0"/>
        <w:numPr>
          <w:ilvl w:val="0"/>
          <w:numId w:val="5"/>
        </w:numPr>
        <w:rPr>
          <w:noProof/>
        </w:rPr>
      </w:pPr>
      <w:r>
        <w:rPr>
          <w:noProof/>
        </w:rPr>
        <w:t>Artikel 13 ændres for at afspejle forslagets anvendelsesområde. Dette opnås ved at fjerne henvisningerne til "bemyndigelse".</w:t>
      </w:r>
    </w:p>
    <w:p>
      <w:pPr>
        <w:spacing w:before="240"/>
        <w:rPr>
          <w:b/>
          <w:noProof/>
          <w:color w:val="000000"/>
        </w:rPr>
      </w:pPr>
      <w:r>
        <w:rPr>
          <w:noProof/>
        </w:rPr>
        <w:t>Forslagets artikel 2 omhandler forordningens ikrafttræden, anvendelse og tilbagevirkende kraft og dets indvirkning på ordningen for momsbaserede egne indtægter.</w:t>
      </w:r>
    </w:p>
    <w:p>
      <w:pPr>
        <w:rPr>
          <w:noProof/>
        </w:rPr>
      </w:pPr>
      <w:r>
        <w:rPr>
          <w:noProof/>
        </w:rPr>
        <w:t>Denne forordning bør træde i kraft samtidig med den nye afgørelse om egne indtægter. Det er hensigten, at den nye ordning for egne indtægter fra moms skal finde anvendelse med tilbagevirkende kraft fra begyndelsen af perioden, dvs. den 1. januar 2021, således at berigtigelser af oversigter fra før denne dato skal følge de regler, der var gældende på det pågældende tidspunkt.</w:t>
      </w:r>
    </w:p>
    <w:p>
      <w:pPr>
        <w:rPr>
          <w:noProof/>
        </w:rPr>
      </w:pPr>
      <w:r>
        <w:rPr>
          <w:noProof/>
        </w:rPr>
        <w:t>Endelig er der en generel terminologisk ændring fra "momsindtægter" til "momsbaserede egne indtægter".</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2018/0133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om ændring af Rådets forordning (EØF, Euratom) nr. 1553/89 om den endelige ordning for ensartet opkrævning af egne indtægter hidrørende fra merværdiafgiften</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322, stk. 2,</w:t>
      </w:r>
    </w:p>
    <w:p>
      <w:pPr>
        <w:rPr>
          <w:noProof/>
        </w:rPr>
      </w:pPr>
      <w:r>
        <w:rPr>
          <w:noProof/>
        </w:rPr>
        <w:t>under henvisning til traktaten om oprettelse af Det Europæiske Atomenergifællesskab, særlig artikel 106A,</w:t>
      </w:r>
    </w:p>
    <w:p>
      <w:pPr>
        <w:rPr>
          <w:noProof/>
        </w:rPr>
      </w:pPr>
      <w:r>
        <w:rPr>
          <w:noProof/>
        </w:rPr>
        <w:t>under henvisning til forslag fra Europa-Kommissionen,</w:t>
      </w:r>
    </w:p>
    <w:p>
      <w:pPr>
        <w:rPr>
          <w:noProof/>
        </w:rPr>
      </w:pPr>
      <w:r>
        <w:rPr>
          <w:noProof/>
        </w:rPr>
        <w:t>under henvisning til udtalelse fra Europa-Parlamentet</w:t>
      </w:r>
      <w:r>
        <w:rPr>
          <w:rStyle w:val="FootnoteReference"/>
          <w:noProof/>
        </w:rPr>
        <w:footnoteReference w:id="9"/>
      </w:r>
      <w:r>
        <w:rPr>
          <w:noProof/>
        </w:rPr>
        <w:t>,</w:t>
      </w:r>
    </w:p>
    <w:p>
      <w:pPr>
        <w:rPr>
          <w:noProof/>
        </w:rPr>
      </w:pPr>
      <w:r>
        <w:rPr>
          <w:noProof/>
        </w:rPr>
        <w:t>Under henvisning til udtalelse fra Den Europæiske Revisionsret</w:t>
      </w:r>
      <w:r>
        <w:rPr>
          <w:rStyle w:val="FootnoteReference"/>
          <w:noProof/>
        </w:rPr>
        <w:footnoteReference w:id="10"/>
      </w:r>
      <w:r>
        <w:rPr>
          <w:noProof/>
        </w:rPr>
        <w:t>, og</w:t>
      </w:r>
    </w:p>
    <w:p>
      <w:pPr>
        <w:rPr>
          <w:noProof/>
        </w:rPr>
      </w:pPr>
      <w:r>
        <w:rPr>
          <w:noProof/>
        </w:rPr>
        <w:t>ud fra følgende betragtninger:</w:t>
      </w:r>
    </w:p>
    <w:p>
      <w:pPr>
        <w:pStyle w:val="ManualConsidrant"/>
        <w:rPr>
          <w:noProof/>
        </w:rPr>
      </w:pPr>
      <w:r>
        <w:t>(1)</w:t>
      </w:r>
      <w:r>
        <w:tab/>
      </w:r>
      <w:r>
        <w:rPr>
          <w:noProof/>
        </w:rPr>
        <w:t>Unionens egne indtægter baseret på en andel af momsen, som er omhandlet i artikel 2, stk. 1, litra b), i Rådets afgørelse 20xx/xxxx/EU, Euratom</w:t>
      </w:r>
      <w:r>
        <w:rPr>
          <w:rStyle w:val="FootnoteReference"/>
          <w:noProof/>
        </w:rPr>
        <w:footnoteReference w:id="11"/>
      </w:r>
      <w:r>
        <w:rPr>
          <w:noProof/>
        </w:rPr>
        <w:t>, ("normalsatsberegnede momsbaserede egne indtægter") bør stilles til rådighed for Unionen på de bedst mulige betingelser. I overensstemmelse hermed bør der fastsættes bestemmelser om, hvordan medlemsstaterne stiller disse ressourcer til rådighed for Unionens budget.</w:t>
      </w:r>
    </w:p>
    <w:p>
      <w:pPr>
        <w:pStyle w:val="ManualConsidrant"/>
        <w:rPr>
          <w:noProof/>
        </w:rPr>
      </w:pPr>
      <w:r>
        <w:t>(2)</w:t>
      </w:r>
      <w:r>
        <w:tab/>
      </w:r>
      <w:r>
        <w:rPr>
          <w:noProof/>
        </w:rPr>
        <w:t>For at gøre det så enkelt og gennemsigtigt som muligt og for at mindske de administrative byrder bør de normalsatsberegnede momsbaserede egne indtægter beregnes på grundlag af en fælles EU-andel af normalsatspålagte transaktioner. Denne andel bør repræsentere gennemsnittet af de laveste andele af leverancer til endeligt forbrug til normalsats i medlemsstaterne over en periode på fem år og beregnes ved hjælp af nationalregnskaber og finanspolitiske data godkendt af Det Rådgivende Udvalg for Egne Indtægter.</w:t>
      </w:r>
    </w:p>
    <w:p>
      <w:pPr>
        <w:pStyle w:val="ManualConsidrant"/>
        <w:rPr>
          <w:noProof/>
        </w:rPr>
      </w:pPr>
      <w:r>
        <w:t>(3)</w:t>
      </w:r>
      <w:r>
        <w:tab/>
      </w:r>
      <w:r>
        <w:rPr>
          <w:noProof/>
        </w:rPr>
        <w:t xml:space="preserve">De nærmere regler for beregning af det normalsatsberegnede grundlag for momsbaserede egne indtægter bør fastsættes på en ensartet måde, således at der gås ud fra de faktisk opkrævede indtægter for hvert kalenderår som den eneste endelige ordning for fastlæggelse af det normalsatsberegnede grundlag for de momsbaserede egne indtægter. </w:t>
      </w:r>
    </w:p>
    <w:p>
      <w:pPr>
        <w:pStyle w:val="ManualConsidrant"/>
        <w:rPr>
          <w:noProof/>
        </w:rPr>
      </w:pPr>
      <w:r>
        <w:t>(4)</w:t>
      </w:r>
      <w:r>
        <w:tab/>
      </w:r>
      <w:r>
        <w:rPr>
          <w:noProof/>
        </w:rPr>
        <w:t>Forordning (EØF, Euratom) nr. 1553/89 bør derfor ændres.</w:t>
      </w:r>
    </w:p>
    <w:p>
      <w:pPr>
        <w:pStyle w:val="ManualConsidrant"/>
        <w:rPr>
          <w:noProof/>
        </w:rPr>
      </w:pPr>
      <w:r>
        <w:t>(5)</w:t>
      </w:r>
      <w:r>
        <w:tab/>
      </w:r>
      <w:r>
        <w:rPr>
          <w:noProof/>
        </w:rPr>
        <w:t xml:space="preserve">Af overensstemmelseshensyn bør denne forordning træde i kraft samme dag som afgørelse 20xx/xxxx/EU, Euratom, og den bør anvendes fra den 1. januar 2021. Ændringerne af forordning (EØF, Euratom) nr. 1553/89 bør imidlertid ikke finde </w:t>
      </w:r>
      <w:r>
        <w:rPr>
          <w:noProof/>
        </w:rPr>
        <w:lastRenderedPageBreak/>
        <w:t>anvendelse med hensyn til berigtigelser af oversigter over det normalsatsberegnede grundlag for momsbaserede egne indtægter for regnskabsårene før 2021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I forordning (EØF, Euratom) nr. 1553/89 foretages følgende ændringer:</w:t>
      </w:r>
    </w:p>
    <w:p>
      <w:pPr>
        <w:pStyle w:val="Point0number"/>
        <w:numPr>
          <w:ilvl w:val="0"/>
          <w:numId w:val="15"/>
        </w:numPr>
        <w:rPr>
          <w:noProof/>
          <w:vanish/>
          <w:specVanish/>
        </w:rPr>
      </w:pPr>
      <w:r>
        <w:rPr>
          <w:noProof/>
        </w:rPr>
        <w:t>Følgende underinddelinger og deres overskrifter udgår:</w:t>
      </w:r>
    </w:p>
    <w:p>
      <w:pPr>
        <w:pStyle w:val="Point1letter"/>
        <w:rPr>
          <w:noProof/>
        </w:rPr>
      </w:pPr>
      <w:r>
        <w:rPr>
          <w:noProof/>
        </w:rPr>
        <w:t xml:space="preserve"> "Afsnit I Almindelige bestemmelser"</w:t>
      </w:r>
    </w:p>
    <w:p>
      <w:pPr>
        <w:pStyle w:val="Point1letter"/>
        <w:rPr>
          <w:noProof/>
        </w:rPr>
      </w:pPr>
      <w:bookmarkStart w:id="2" w:name="DQCNUMB_1"/>
      <w:bookmarkEnd w:id="2"/>
      <w:r>
        <w:rPr>
          <w:noProof/>
        </w:rPr>
        <w:t>"Afsnit II Anvendelsesområde"</w:t>
      </w:r>
    </w:p>
    <w:p>
      <w:pPr>
        <w:pStyle w:val="Point1letter"/>
        <w:rPr>
          <w:noProof/>
        </w:rPr>
      </w:pPr>
      <w:bookmarkStart w:id="3" w:name="DQCNUMB_2"/>
      <w:bookmarkEnd w:id="3"/>
      <w:r>
        <w:rPr>
          <w:noProof/>
        </w:rPr>
        <w:t>"Afsnit III Beregningsmetode"</w:t>
      </w:r>
    </w:p>
    <w:p>
      <w:pPr>
        <w:pStyle w:val="Point1letter"/>
        <w:rPr>
          <w:noProof/>
        </w:rPr>
      </w:pPr>
      <w:bookmarkStart w:id="4" w:name="DQCNUMB_3"/>
      <w:bookmarkEnd w:id="4"/>
      <w:r>
        <w:rPr>
          <w:noProof/>
        </w:rPr>
        <w:t>"Afsnit IV Bestemmelser vedrørende regnskabsføring og overdragelse"</w:t>
      </w:r>
    </w:p>
    <w:p>
      <w:pPr>
        <w:pStyle w:val="Point1letter"/>
        <w:rPr>
          <w:noProof/>
        </w:rPr>
      </w:pPr>
      <w:bookmarkStart w:id="5" w:name="DQCNUMB_4"/>
      <w:bookmarkEnd w:id="5"/>
      <w:r>
        <w:rPr>
          <w:noProof/>
        </w:rPr>
        <w:t>"Afsnit V Kontrolbestemmelser"</w:t>
      </w:r>
    </w:p>
    <w:p>
      <w:pPr>
        <w:pStyle w:val="Point1letter"/>
        <w:rPr>
          <w:noProof/>
        </w:rPr>
      </w:pPr>
      <w:bookmarkStart w:id="6" w:name="DQCNUMB_5"/>
      <w:bookmarkEnd w:id="6"/>
      <w:r>
        <w:rPr>
          <w:noProof/>
        </w:rPr>
        <w:t>"Afsnit VI Afsluttende bestemmelser":</w:t>
      </w:r>
    </w:p>
    <w:p>
      <w:pPr>
        <w:pStyle w:val="Point0number"/>
        <w:rPr>
          <w:noProof/>
        </w:rPr>
      </w:pPr>
      <w:bookmarkStart w:id="7" w:name="DQCNUMB_6"/>
      <w:bookmarkEnd w:id="7"/>
      <w:r>
        <w:rPr>
          <w:noProof/>
        </w:rPr>
        <w:t>Artikel 1 affattes således:</w:t>
      </w:r>
    </w:p>
    <w:p>
      <w:pPr>
        <w:pStyle w:val="Titrearticle"/>
        <w:rPr>
          <w:noProof/>
        </w:rPr>
      </w:pPr>
      <w:bookmarkStart w:id="8" w:name="DQCNUMB_7"/>
      <w:bookmarkEnd w:id="8"/>
      <w:r>
        <w:rPr>
          <w:noProof/>
        </w:rPr>
        <w:t>"Artikel 1</w:t>
      </w:r>
    </w:p>
    <w:p>
      <w:pPr>
        <w:rPr>
          <w:noProof/>
        </w:rPr>
      </w:pPr>
      <w:r>
        <w:rPr>
          <w:noProof/>
        </w:rPr>
        <w:t>De normalsatsberegnede momsbaserede egne indtægter beregnes ved, at en ensartet bidragssats, der fastsættes i overensstemmelse med Rådets afgørelse 20xx/xxxx/EU*, anvendes på det normalsatsberegnede grundlag for momsbaserede egne indtægter, som fastlægges i overensstemmelse med denne forordning.</w:t>
      </w:r>
    </w:p>
    <w:p>
      <w:pPr>
        <w:pBdr>
          <w:bottom w:val="single" w:sz="6" w:space="1" w:color="auto"/>
        </w:pBdr>
        <w:rPr>
          <w:noProof/>
        </w:rPr>
      </w:pPr>
      <w:r>
        <w:rPr>
          <w:noProof/>
        </w:rPr>
        <w:t>Ved normalsatsen for moms forstås den momssats, som er omhandlet i artikel 96 i Rådets direktiv 2006/112/EF**.</w:t>
      </w:r>
    </w:p>
    <w:p>
      <w:pPr>
        <w:rPr>
          <w:noProof/>
        </w:rPr>
      </w:pPr>
      <w:r>
        <w:rPr>
          <w:noProof/>
        </w:rPr>
        <w:t>* Rådets afgørelse 20xx/xxxx/EU, Euratom af [DATO] om ordningen for Den Europæiske Unions egne indtægter (EUT L [...] af [...], s. […]).</w:t>
      </w:r>
    </w:p>
    <w:p>
      <w:pPr>
        <w:rPr>
          <w:noProof/>
        </w:rPr>
      </w:pPr>
      <w:r>
        <w:rPr>
          <w:noProof/>
        </w:rPr>
        <w:t>** Rådets direktiv 2006/112/EF om det fælles merværdiafgiftssystem (EUT L 347 af 11.12.2006, s. 1)."</w:t>
      </w:r>
    </w:p>
    <w:p>
      <w:pPr>
        <w:pStyle w:val="Point0number"/>
        <w:rPr>
          <w:noProof/>
        </w:rPr>
      </w:pPr>
      <w:bookmarkStart w:id="9" w:name="DQCNUMB_8"/>
      <w:bookmarkEnd w:id="9"/>
      <w:r>
        <w:rPr>
          <w:noProof/>
        </w:rPr>
        <w:t>Artikel 2 udgår.</w:t>
      </w:r>
    </w:p>
    <w:p>
      <w:pPr>
        <w:pStyle w:val="Point0number"/>
        <w:rPr>
          <w:noProof/>
        </w:rPr>
      </w:pPr>
      <w:bookmarkStart w:id="10" w:name="DQCNUMB_9"/>
      <w:bookmarkEnd w:id="10"/>
      <w:r>
        <w:rPr>
          <w:noProof/>
        </w:rPr>
        <w:t>Artikel 3 og 4 affattes således:</w:t>
      </w:r>
    </w:p>
    <w:p>
      <w:pPr>
        <w:pStyle w:val="Titrearticle"/>
        <w:rPr>
          <w:noProof/>
        </w:rPr>
      </w:pPr>
      <w:bookmarkStart w:id="11" w:name="DQCNUMB_10"/>
      <w:bookmarkEnd w:id="11"/>
      <w:r>
        <w:rPr>
          <w:noProof/>
        </w:rPr>
        <w:t>"Artikel 3</w:t>
      </w:r>
    </w:p>
    <w:p>
      <w:pPr>
        <w:pStyle w:val="ManualNumPar1"/>
        <w:rPr>
          <w:noProof/>
        </w:rPr>
      </w:pPr>
      <w:bookmarkStart w:id="12" w:name="DQCNUMB_11"/>
      <w:bookmarkEnd w:id="12"/>
      <w:r>
        <w:t>1.</w:t>
      </w:r>
      <w:r>
        <w:tab/>
      </w:r>
      <w:r>
        <w:rPr>
          <w:noProof/>
        </w:rPr>
        <w:t xml:space="preserve">Hver medlemsstat foretager for et givent kalenderår beregningen af det normalsatsberegnede grundlag for momsbaserede egne indtægter ud fra de samlede nettoindtægter fra den moms, som medlemsstaten samme år har opkrævet i forbindelse med de momspligtige transaktioner, der er omhandlet i artikel 2 i direktiv 2006/112/EF. Beløbet korrigeres for at tage hensyn til følgende beløb: </w:t>
      </w:r>
    </w:p>
    <w:p>
      <w:pPr>
        <w:pStyle w:val="Point1letter"/>
        <w:numPr>
          <w:ilvl w:val="3"/>
          <w:numId w:val="7"/>
        </w:numPr>
        <w:rPr>
          <w:noProof/>
        </w:rPr>
      </w:pPr>
      <w:bookmarkStart w:id="13" w:name="DQCNUMB_12"/>
      <w:bookmarkEnd w:id="13"/>
      <w:r>
        <w:rPr>
          <w:noProof/>
        </w:rPr>
        <w:t>beløb, der, hvad egne indtægter angår, behandles som transaktioner med oprindelse i eller bestemt for en medlemsstat, selv om de har oprindelse i eller er bestemt for et område omhandlet i artikel 6 i direktiv 2006/112/EF</w:t>
      </w:r>
    </w:p>
    <w:p>
      <w:pPr>
        <w:pStyle w:val="Point1letter"/>
        <w:rPr>
          <w:noProof/>
        </w:rPr>
      </w:pPr>
      <w:bookmarkStart w:id="14" w:name="DQCNUMB_13"/>
      <w:bookmarkEnd w:id="14"/>
      <w:r>
        <w:rPr>
          <w:noProof/>
        </w:rPr>
        <w:t>beløb, der stammer fra et af de steder, der omhandles i artikel 7 i direktiv 2006/112/EF, forudsat at medlemsstaterne kan bevise, at indtægten er overdraget til dette sted.</w:t>
      </w:r>
    </w:p>
    <w:p>
      <w:pPr>
        <w:pStyle w:val="ManualNumPar1"/>
        <w:rPr>
          <w:noProof/>
        </w:rPr>
      </w:pPr>
      <w:bookmarkStart w:id="15" w:name="DQCNUMB_14"/>
      <w:bookmarkEnd w:id="15"/>
      <w:r>
        <w:lastRenderedPageBreak/>
        <w:t>2.</w:t>
      </w:r>
      <w:r>
        <w:tab/>
      </w:r>
      <w:r>
        <w:rPr>
          <w:noProof/>
        </w:rPr>
        <w:t>Det beløb, der fremkommer i overensstemmelse med stk. 1, ganges med 45 %.</w:t>
      </w:r>
    </w:p>
    <w:p>
      <w:pPr>
        <w:pStyle w:val="ManualNumPar1"/>
        <w:rPr>
          <w:noProof/>
        </w:rPr>
      </w:pPr>
      <w:bookmarkStart w:id="16" w:name="DQCNUMB_15"/>
      <w:bookmarkEnd w:id="16"/>
      <w:r>
        <w:t>3.</w:t>
      </w:r>
      <w:r>
        <w:tab/>
      </w:r>
      <w:r>
        <w:rPr>
          <w:noProof/>
        </w:rPr>
        <w:t xml:space="preserve">Det beløb, der fremkommer i overensstemmelse med stk. 2, divideres med den normalsats for moms, som finder anvendelse i den pågældende medlemsstat i medfør af direktiv 2006/112/EF i opkrævningsåret for momsindtægterne. </w:t>
      </w:r>
    </w:p>
    <w:p>
      <w:pPr>
        <w:pStyle w:val="ManualNumPar1"/>
        <w:rPr>
          <w:noProof/>
        </w:rPr>
      </w:pPr>
      <w:bookmarkStart w:id="17" w:name="DQCNUMB_16"/>
      <w:bookmarkEnd w:id="17"/>
      <w:r>
        <w:t>4.</w:t>
      </w:r>
      <w:r>
        <w:tab/>
      </w:r>
      <w:r>
        <w:rPr>
          <w:noProof/>
        </w:rPr>
        <w:t>Det beløb, der fremkommer i overensstemmelse med stk. 3, ganges med den ensartede bidragssats, som er omhandlet i artikel 1, stk. 1, i Rådets forordning (EU, Euratom) nr. 20xx/xxxx* for at nå frem til de normalsatsberegnede momsbaserede egne indtægter, der skal stilles til rådighed for Unionens budget.</w:t>
      </w:r>
    </w:p>
    <w:p>
      <w:pPr>
        <w:pStyle w:val="ManualNumPar1"/>
        <w:rPr>
          <w:noProof/>
        </w:rPr>
      </w:pPr>
      <w:bookmarkStart w:id="18" w:name="DQCNUMB_17"/>
      <w:bookmarkEnd w:id="18"/>
      <w:r>
        <w:t>5.</w:t>
      </w:r>
      <w:r>
        <w:tab/>
      </w:r>
      <w:r>
        <w:rPr>
          <w:noProof/>
        </w:rPr>
        <w:t>Hvis direktiv 2006/112/EF overtrædes og Unionens normalsatsberegnede momsbaserede egne indtægter derved mindskes, er Unionen berettiget til at modtage hele summen af de pågældende egne indtægter plus renter for forsinkelsen, jf. artikel 12 i Rådets forordning (EU, Euratom) nr. 609/2014**.</w:t>
      </w:r>
    </w:p>
    <w:p>
      <w:pPr>
        <w:pStyle w:val="Titrearticle"/>
        <w:rPr>
          <w:noProof/>
        </w:rPr>
      </w:pPr>
      <w:bookmarkStart w:id="19" w:name="DQCNUMB_18"/>
      <w:bookmarkEnd w:id="19"/>
      <w:r>
        <w:rPr>
          <w:noProof/>
        </w:rPr>
        <w:t>Artikel 4</w:t>
      </w:r>
    </w:p>
    <w:p>
      <w:pPr>
        <w:pStyle w:val="ManualNumPar1"/>
        <w:rPr>
          <w:noProof/>
        </w:rPr>
      </w:pPr>
      <w:bookmarkStart w:id="20" w:name="DQCNUMB_19"/>
      <w:bookmarkEnd w:id="20"/>
      <w:r>
        <w:t>1.</w:t>
      </w:r>
      <w:r>
        <w:tab/>
      </w:r>
      <w:r>
        <w:rPr>
          <w:noProof/>
        </w:rPr>
        <w:t xml:space="preserve">Det normalsatsberegnede grundlag for momsbaserede egne indtægter skal beregnes efter kalenderår. </w:t>
      </w:r>
    </w:p>
    <w:p>
      <w:pPr>
        <w:pStyle w:val="ManualNumPar1"/>
        <w:rPr>
          <w:noProof/>
        </w:rPr>
      </w:pPr>
      <w:bookmarkStart w:id="21" w:name="DQCNUMB_20"/>
      <w:bookmarkEnd w:id="21"/>
      <w:r>
        <w:t>2.</w:t>
      </w:r>
      <w:r>
        <w:tab/>
      </w:r>
      <w:r>
        <w:rPr>
          <w:noProof/>
        </w:rPr>
        <w:t>Når en medlemsstat foretager ændringer i normalsatsen for moms, anvendes den reviderede sats fra den første dag i måneden efter den måned, hvor den nye normalsats trådte i kraft. Der foretages en tidsvægtning af de to satser med henblik på den i artikel 3, stk. 3, omhandlede beregning.</w:t>
      </w:r>
    </w:p>
    <w:p>
      <w:pPr>
        <w:rPr>
          <w:noProof/>
        </w:rPr>
      </w:pPr>
      <w:bookmarkStart w:id="22" w:name="DQCNUMB_21"/>
      <w:bookmarkEnd w:id="22"/>
      <w:r>
        <w:rPr>
          <w:noProof/>
        </w:rPr>
        <w:t>* Rådets forordning (EU, Euratom) nr. 20xx/xxxx af [DATE] om fastsættelse af gennemførelsesforanstaltninger til ordningen for Den Europæiske Unions egne indtægter (EUT L [...] af [...], s. [...]).</w:t>
      </w:r>
    </w:p>
    <w:p>
      <w:pPr>
        <w:rPr>
          <w:noProof/>
        </w:rPr>
      </w:pPr>
      <w:r>
        <w:rPr>
          <w:noProof/>
        </w:rPr>
        <w:t>** Rådets forordning (EU, Euratom) nr. 609/2014 af 26. maj 2014 om metoderne og proceduren for overdragelse af de traditionelle egne indtægter og egne indtægter fra moms og BNI og om foranstaltningerne for at opfylde likviditetskrav (EUT L 168 af 7.6.2014, s. 39)."</w:t>
      </w:r>
    </w:p>
    <w:p>
      <w:pPr>
        <w:pStyle w:val="Point0number"/>
        <w:rPr>
          <w:noProof/>
        </w:rPr>
      </w:pPr>
      <w:bookmarkStart w:id="23" w:name="DQCNUMB_22"/>
      <w:bookmarkEnd w:id="23"/>
      <w:r>
        <w:rPr>
          <w:noProof/>
        </w:rPr>
        <w:t>Artikel 5 og 6 udgår.</w:t>
      </w:r>
    </w:p>
    <w:p>
      <w:pPr>
        <w:pStyle w:val="Point0number"/>
        <w:rPr>
          <w:noProof/>
        </w:rPr>
      </w:pPr>
      <w:bookmarkStart w:id="24" w:name="DQCNUMB_23"/>
      <w:bookmarkEnd w:id="24"/>
      <w:r>
        <w:rPr>
          <w:noProof/>
        </w:rPr>
        <w:t>Artikel 7, stk. 1 og 2, affattes således:</w:t>
      </w:r>
    </w:p>
    <w:p>
      <w:pPr>
        <w:rPr>
          <w:noProof/>
        </w:rPr>
      </w:pPr>
      <w:bookmarkStart w:id="25" w:name="DQCNUMB_24"/>
      <w:bookmarkEnd w:id="25"/>
      <w:r>
        <w:rPr>
          <w:noProof/>
        </w:rPr>
        <w:t>"1.</w:t>
      </w:r>
      <w:r>
        <w:rPr>
          <w:noProof/>
        </w:rPr>
        <w:tab/>
        <w:t>Senest den 31. juli tilsender medlemsstaterne Kommissionen en oversigt over det samlede beløb for det normalsatsberegnede grundlag for momsbaserede egne indtægter, beregnet i overensstemmelse med artikel 3, for det foregående kalenderår, på hvilket den i artikel 1 omhandlede sats skal anvendes.</w:t>
      </w:r>
    </w:p>
    <w:p>
      <w:pPr>
        <w:rPr>
          <w:noProof/>
        </w:rPr>
      </w:pPr>
      <w:r>
        <w:rPr>
          <w:noProof/>
        </w:rPr>
        <w:t>2.</w:t>
      </w:r>
      <w:r>
        <w:rPr>
          <w:noProof/>
        </w:rPr>
        <w:tab/>
        <w:t>Denne oversigt skal indeholde alle de nødvendige oplysninger, som er anvendt til fastlæggelse af grundlaget, og som behøves med henblik på de i artikel 4, stk. 7, i forordning (EU, Euratom) nr. 20xx/xxxx omhandlede kontrolbesøg."</w:t>
      </w:r>
    </w:p>
    <w:p>
      <w:pPr>
        <w:pStyle w:val="Point0number"/>
        <w:rPr>
          <w:noProof/>
        </w:rPr>
      </w:pPr>
      <w:bookmarkStart w:id="26" w:name="DQCNUMB_25"/>
      <w:bookmarkEnd w:id="26"/>
      <w:r>
        <w:rPr>
          <w:noProof/>
        </w:rPr>
        <w:t>Artikel 8 affattes således:</w:t>
      </w:r>
    </w:p>
    <w:p>
      <w:pPr>
        <w:pStyle w:val="Titrearticle"/>
        <w:rPr>
          <w:noProof/>
        </w:rPr>
      </w:pPr>
      <w:bookmarkStart w:id="27" w:name="DQCNUMB_26"/>
      <w:bookmarkEnd w:id="27"/>
      <w:r>
        <w:rPr>
          <w:noProof/>
        </w:rPr>
        <w:t>"Artikel 8</w:t>
      </w:r>
    </w:p>
    <w:p>
      <w:pPr>
        <w:rPr>
          <w:noProof/>
        </w:rPr>
      </w:pPr>
      <w:r>
        <w:rPr>
          <w:noProof/>
        </w:rPr>
        <w:t>Medlemsstaterne tilsender hvert år senest den 15. april Kommissionen et skøn over det normalsatsberegnede grundlag for momsbaserede egne indtægter for det følgende regnskabsår."</w:t>
      </w:r>
    </w:p>
    <w:p>
      <w:pPr>
        <w:pStyle w:val="Point0number"/>
        <w:rPr>
          <w:noProof/>
        </w:rPr>
      </w:pPr>
      <w:bookmarkStart w:id="28" w:name="DQCNUMB_27"/>
      <w:bookmarkEnd w:id="28"/>
      <w:r>
        <w:rPr>
          <w:noProof/>
        </w:rPr>
        <w:t>Artikel 10 affattes således:</w:t>
      </w:r>
    </w:p>
    <w:p>
      <w:pPr>
        <w:pStyle w:val="Titrearticle"/>
        <w:rPr>
          <w:noProof/>
        </w:rPr>
      </w:pPr>
      <w:bookmarkStart w:id="29" w:name="DQCNUMB_28"/>
      <w:bookmarkEnd w:id="29"/>
      <w:r>
        <w:rPr>
          <w:noProof/>
        </w:rPr>
        <w:lastRenderedPageBreak/>
        <w:t>"Artikel 10</w:t>
      </w:r>
    </w:p>
    <w:p>
      <w:pPr>
        <w:pStyle w:val="ManualNumPar1"/>
        <w:rPr>
          <w:noProof/>
        </w:rPr>
      </w:pPr>
      <w:bookmarkStart w:id="30" w:name="DQCNUMB_29"/>
      <w:bookmarkEnd w:id="30"/>
      <w:r>
        <w:t>1.</w:t>
      </w:r>
      <w:r>
        <w:tab/>
      </w:r>
      <w:r>
        <w:rPr>
          <w:noProof/>
        </w:rPr>
        <w:t xml:space="preserve">For hvert enkelt regnskabsår giver medlemsstaterne senest den 30. april Kommissionen meddelelse om, hvilke løsninger og dertil knyttede ændringer de påtænker at anvende ved fastlæggelsen af det i artikel 3, stk. 1, omhandlede beløb. Foreslåede løsninger skal i givet fald omfatte en angivelse af arten af de oplysninger, de finder hensigtsmæssige, samt en vurdering af værdien af beregningsgrundlaget for hver af disse justeringer. </w:t>
      </w:r>
    </w:p>
    <w:p>
      <w:pPr>
        <w:pStyle w:val="Text1"/>
        <w:rPr>
          <w:noProof/>
        </w:rPr>
      </w:pPr>
      <w:bookmarkStart w:id="31" w:name="DQCNUMB_30"/>
      <w:bookmarkEnd w:id="31"/>
      <w:r>
        <w:rPr>
          <w:noProof/>
        </w:rPr>
        <w:t>Senest den 31. maj tilsender Kommissionen de øvrige medlemsstater de i første afsnit omhandlede oplysninger, som den modtager fra hver medlemsstat.</w:t>
      </w:r>
    </w:p>
    <w:p>
      <w:pPr>
        <w:pStyle w:val="ManualNumPar1"/>
        <w:rPr>
          <w:noProof/>
        </w:rPr>
      </w:pPr>
      <w:bookmarkStart w:id="32" w:name="DQCNUMB_31"/>
      <w:bookmarkEnd w:id="32"/>
      <w:r>
        <w:t>2.</w:t>
      </w:r>
      <w:r>
        <w:tab/>
      </w:r>
      <w:r>
        <w:rPr>
          <w:noProof/>
        </w:rPr>
        <w:t>Kommissionen kan vedtage gennemførelsesretsakter om de løsninger, som medlemsstaterne foreslår i overensstemmelse med stk. 1. Disse gennemførelsesretsakter vedtages efter rådgivningsproceduren i artikel 13, stk. 2."</w:t>
      </w:r>
    </w:p>
    <w:p>
      <w:pPr>
        <w:pStyle w:val="Point0number"/>
        <w:rPr>
          <w:noProof/>
        </w:rPr>
      </w:pPr>
      <w:bookmarkStart w:id="33" w:name="DQCNUMB_32"/>
      <w:bookmarkEnd w:id="33"/>
      <w:r>
        <w:rPr>
          <w:noProof/>
        </w:rPr>
        <w:t>I artikel 11 foretages følgende ændringer:</w:t>
      </w:r>
    </w:p>
    <w:p>
      <w:pPr>
        <w:pStyle w:val="Point1letter"/>
        <w:rPr>
          <w:noProof/>
        </w:rPr>
      </w:pPr>
      <w:bookmarkStart w:id="34" w:name="DQCNUMB_33"/>
      <w:bookmarkEnd w:id="34"/>
      <w:r>
        <w:rPr>
          <w:noProof/>
        </w:rPr>
        <w:t>stk. 1 udgår</w:t>
      </w:r>
    </w:p>
    <w:p>
      <w:pPr>
        <w:pStyle w:val="Point1letter"/>
        <w:rPr>
          <w:noProof/>
        </w:rPr>
      </w:pPr>
      <w:bookmarkStart w:id="35" w:name="DQCNUMB_34"/>
      <w:bookmarkEnd w:id="35"/>
      <w:r>
        <w:rPr>
          <w:noProof/>
        </w:rPr>
        <w:t>stk. 3 affattes således:</w:t>
      </w:r>
    </w:p>
    <w:p>
      <w:pPr>
        <w:rPr>
          <w:noProof/>
        </w:rPr>
      </w:pPr>
      <w:bookmarkStart w:id="36" w:name="DQCNUMB_35"/>
      <w:bookmarkEnd w:id="36"/>
      <w:r>
        <w:rPr>
          <w:noProof/>
        </w:rPr>
        <w:t>"Efter den i artikel 4, stk. 7, i forordning (EU, Euratom) 20xx/xxxx omhandlede kontrol berigtiges årsoversigten for et givet regnskabsår efter de i artikel 9 fastsatte betingelser."</w:t>
      </w:r>
    </w:p>
    <w:p>
      <w:pPr>
        <w:pStyle w:val="Point0number"/>
        <w:rPr>
          <w:noProof/>
        </w:rPr>
      </w:pPr>
      <w:bookmarkStart w:id="37" w:name="DQCNUMB_36"/>
      <w:bookmarkEnd w:id="37"/>
      <w:r>
        <w:rPr>
          <w:noProof/>
        </w:rPr>
        <w:t xml:space="preserve">Artikel 12 affattes således: </w:t>
      </w:r>
    </w:p>
    <w:p>
      <w:pPr>
        <w:pStyle w:val="Titrearticle"/>
        <w:rPr>
          <w:noProof/>
        </w:rPr>
      </w:pPr>
      <w:bookmarkStart w:id="38" w:name="DQCNUMB_37"/>
      <w:bookmarkEnd w:id="38"/>
      <w:r>
        <w:rPr>
          <w:noProof/>
        </w:rPr>
        <w:t>"Artikel 12</w:t>
      </w:r>
    </w:p>
    <w:p>
      <w:pPr>
        <w:pStyle w:val="ManualNumPar1"/>
        <w:rPr>
          <w:noProof/>
        </w:rPr>
      </w:pPr>
      <w:bookmarkStart w:id="39" w:name="DQCNUMB_38"/>
      <w:bookmarkEnd w:id="39"/>
      <w:r>
        <w:t>1.</w:t>
      </w:r>
      <w:r>
        <w:tab/>
      </w:r>
      <w:r>
        <w:rPr>
          <w:noProof/>
        </w:rPr>
        <w:t>Medlemsstaterne underretter hvert år Kommissionen om alle de relevante ændringer i de administrative processer og procedurer, som de anvender i forbindelse med opkrævning af moms.</w:t>
      </w:r>
    </w:p>
    <w:p>
      <w:pPr>
        <w:pStyle w:val="ManualNumPar1"/>
        <w:rPr>
          <w:noProof/>
        </w:rPr>
      </w:pPr>
      <w:bookmarkStart w:id="40" w:name="DQCNUMB_39"/>
      <w:bookmarkEnd w:id="40"/>
      <w:r>
        <w:t>2.</w:t>
      </w:r>
      <w:r>
        <w:tab/>
      </w:r>
      <w:r>
        <w:rPr>
          <w:noProof/>
        </w:rPr>
        <w:t>Kommissionen undersøger i samarbejde med hver enkelt medlemsstat, om der kan foreslås forbedringer til disse processer og procedurer med henblik på at gøre dem mere effektive.</w:t>
      </w:r>
    </w:p>
    <w:p>
      <w:pPr>
        <w:pStyle w:val="ManualNumPar1"/>
        <w:rPr>
          <w:noProof/>
        </w:rPr>
      </w:pPr>
      <w:bookmarkStart w:id="41" w:name="DQCNUMB_40"/>
      <w:bookmarkEnd w:id="41"/>
      <w:r>
        <w:t>3.</w:t>
      </w:r>
      <w:r>
        <w:tab/>
      </w:r>
      <w:r>
        <w:rPr>
          <w:noProof/>
        </w:rPr>
        <w:t>Kommissionen udarbejder hvert femte år en rapport om de af medlemsstaterne trufne foranstaltninger og opnåede fremskridt med hensyn til opkrævningen af moms samt om de forbedringer, der måtte være planlagt.</w:t>
      </w:r>
    </w:p>
    <w:p>
      <w:pPr>
        <w:pStyle w:val="Text1"/>
        <w:rPr>
          <w:noProof/>
        </w:rPr>
      </w:pPr>
      <w:bookmarkStart w:id="42" w:name="DQCNUMB_41"/>
      <w:bookmarkEnd w:id="42"/>
      <w:r>
        <w:rPr>
          <w:noProof/>
        </w:rPr>
        <w:t>Kommissionen forelægger Europa-Parlamentet og Rådet den første af disse rapporter senest den 31. december 2023."</w:t>
      </w:r>
    </w:p>
    <w:p>
      <w:pPr>
        <w:pStyle w:val="Point0number"/>
        <w:rPr>
          <w:noProof/>
        </w:rPr>
      </w:pPr>
      <w:bookmarkStart w:id="43" w:name="DQCNUMB_42"/>
      <w:bookmarkEnd w:id="43"/>
      <w:r>
        <w:rPr>
          <w:noProof/>
        </w:rPr>
        <w:t>Artikel 13 affattes således:</w:t>
      </w:r>
    </w:p>
    <w:p>
      <w:pPr>
        <w:pStyle w:val="Titrearticle"/>
        <w:rPr>
          <w:noProof/>
        </w:rPr>
      </w:pPr>
      <w:bookmarkStart w:id="44" w:name="DQCNUMB_43"/>
      <w:bookmarkEnd w:id="44"/>
      <w:r>
        <w:rPr>
          <w:noProof/>
        </w:rPr>
        <w:t>"Artikel 13</w:t>
      </w:r>
    </w:p>
    <w:p>
      <w:pPr>
        <w:pStyle w:val="ManualNumPar1"/>
        <w:rPr>
          <w:noProof/>
        </w:rPr>
      </w:pPr>
      <w:bookmarkStart w:id="45" w:name="DQCNUMB_44"/>
      <w:bookmarkEnd w:id="45"/>
      <w:r>
        <w:t>1.</w:t>
      </w:r>
      <w:r>
        <w:tab/>
      </w:r>
      <w:r>
        <w:rPr>
          <w:noProof/>
        </w:rPr>
        <w:t>Kommissionen bistås af Det Rådgivende Udvalg for Egne Indtægter, der er nedsat ved artikel 9 i forordning (EU, Euratom) 20xx/xxxx. Dette udvalg er et udvalg som omhandlet i Europa-Parlamentets og Rådets forordning (EU) nr. 182/2011*.</w:t>
      </w:r>
    </w:p>
    <w:p>
      <w:pPr>
        <w:pStyle w:val="ManualNumPar1"/>
        <w:rPr>
          <w:noProof/>
        </w:rPr>
      </w:pPr>
      <w:bookmarkStart w:id="46" w:name="DQCNUMB_45"/>
      <w:bookmarkEnd w:id="46"/>
      <w:r>
        <w:t>2.</w:t>
      </w:r>
      <w:r>
        <w:tab/>
      </w:r>
      <w:r>
        <w:rPr>
          <w:noProof/>
        </w:rPr>
        <w:t>Når der henvises til dette stykke, finder artikel 4 i forordning (EU) nr. 182/2011 anvendelse.</w:t>
      </w:r>
    </w:p>
    <w:p>
      <w:pPr>
        <w:rPr>
          <w:noProof/>
        </w:rPr>
      </w:pPr>
      <w:bookmarkStart w:id="47" w:name="DQCNUMB_46"/>
      <w:bookmarkEnd w:id="47"/>
      <w:r>
        <w:rPr>
          <w:noProof/>
        </w:rPr>
        <w:t>* Europa-Parlamentets og Rådets forordning (EU) nr. 182/2011 af 16. februar 2011 om de generelle regler og principper for, hvordan medlemsstaterne skal kontrollere Kommissionens udøvelse af gennemførelsesbeføjelser (EUT L 55 af 28.2.2011, s. 13)."</w:t>
      </w:r>
    </w:p>
    <w:p>
      <w:pPr>
        <w:pStyle w:val="Titrearticle"/>
        <w:rPr>
          <w:noProof/>
        </w:rPr>
      </w:pPr>
      <w:r>
        <w:rPr>
          <w:noProof/>
        </w:rPr>
        <w:lastRenderedPageBreak/>
        <w:t>Artikel 2</w:t>
      </w:r>
    </w:p>
    <w:p>
      <w:pPr>
        <w:rPr>
          <w:noProof/>
        </w:rPr>
      </w:pPr>
      <w:r>
        <w:rPr>
          <w:noProof/>
        </w:rPr>
        <w:t>Denne forordning træder i kraft på dagen for ikrafttræden af afgørelse 20xx/xxxx/EU, Euratom.</w:t>
      </w:r>
    </w:p>
    <w:p>
      <w:pPr>
        <w:rPr>
          <w:noProof/>
        </w:rPr>
      </w:pPr>
      <w:r>
        <w:rPr>
          <w:noProof/>
        </w:rPr>
        <w:t>Den anvendes fra den 1. januar 2021.</w:t>
      </w:r>
    </w:p>
    <w:p>
      <w:pPr>
        <w:rPr>
          <w:noProof/>
        </w:rPr>
      </w:pPr>
      <w:r>
        <w:rPr>
          <w:noProof/>
        </w:rPr>
        <w:t>Artikel 1 finder imidlertid ikke anvendelse med hensyn til berigtigelser af oversigter over det normalsatsberegnede grundlag for momsbaserede egne indtægter for regnskabsårene før 2021.</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BFF3B" w16cid:durableId="1E77C242"/>
  <w16cid:commentId w16cid:paraId="233524B3" w16cid:durableId="1E77C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Rådets forordning (EØF, Euratom) nr. 1553/89 af 29. maj 1989 om den endelige ordning for ensartet opkrævning af egne indtægter hidrørende fra merværdiafgiften (EFT L 155 af 7.6.1989, s. 9).</w:t>
      </w:r>
    </w:p>
  </w:footnote>
  <w:footnote w:id="3">
    <w:p>
      <w:pPr>
        <w:pStyle w:val="FootnoteText"/>
      </w:pPr>
      <w:r>
        <w:rPr>
          <w:rStyle w:val="FootnoteReference"/>
        </w:rPr>
        <w:footnoteRef/>
      </w:r>
      <w:r>
        <w:tab/>
        <w:t>COM(2018) 325 final af 2.5.2018.</w:t>
      </w:r>
    </w:p>
  </w:footnote>
  <w:footnote w:id="4">
    <w:p>
      <w:pPr>
        <w:pStyle w:val="FootnoteText"/>
      </w:pPr>
      <w:r>
        <w:rPr>
          <w:rStyle w:val="FootnoteReference"/>
        </w:rPr>
        <w:footnoteRef/>
      </w:r>
      <w:r>
        <w:tab/>
        <w:t>EU's fremtidige finansiering. Endelig rapport og henstillinger fra Gruppen på Højt Plan vedrørende Egne Indtægter. December 2016.</w:t>
      </w:r>
    </w:p>
  </w:footnote>
  <w:footnote w:id="5">
    <w:p>
      <w:pPr>
        <w:pStyle w:val="FootnoteText"/>
      </w:pPr>
      <w:r>
        <w:rPr>
          <w:rStyle w:val="FootnoteReference"/>
        </w:rPr>
        <w:footnoteRef/>
      </w:r>
      <w:r>
        <w:tab/>
        <w:t>Rådets afgørelse af 26. maj 2014 om ordningen for Den Europæiske Unions egne indtægter (2014/335/EU, Euratom) (EUT L 168 af 7.6.2014, s. 105).</w:t>
      </w:r>
    </w:p>
  </w:footnote>
  <w:footnote w:id="6">
    <w:p>
      <w:pPr>
        <w:pStyle w:val="FootnoteText"/>
      </w:pPr>
      <w:r>
        <w:rPr>
          <w:rStyle w:val="FootnoteReference"/>
        </w:rPr>
        <w:footnoteRef/>
      </w:r>
      <w:r>
        <w:tab/>
        <w:t>Rådets forordning (EU, Euratom) nr. 609/2014 af 26. maj 2014 om metoderne og proceduren for overdragelse af de traditionelle egne indtægter og egne indtægter fra moms og BNI og om foranstaltningerne for at opfylde likviditetskrav (EUT L 168 af 7.6.2014, s. 39).</w:t>
      </w:r>
    </w:p>
  </w:footnote>
  <w:footnote w:id="7">
    <w:p>
      <w:pPr>
        <w:pStyle w:val="FootnoteText"/>
      </w:pPr>
      <w:r>
        <w:rPr>
          <w:rStyle w:val="FootnoteReference"/>
        </w:rPr>
        <w:footnoteRef/>
      </w:r>
      <w:r>
        <w:tab/>
        <w:t>COM(2018) 326 final af 2.5.2018.</w:t>
      </w:r>
    </w:p>
  </w:footnote>
  <w:footnote w:id="8">
    <w:p>
      <w:pPr>
        <w:pStyle w:val="FootnoteText"/>
      </w:pPr>
      <w:r>
        <w:rPr>
          <w:rStyle w:val="FootnoteReference"/>
        </w:rPr>
        <w:footnoteRef/>
      </w:r>
      <w:r>
        <w:tab/>
        <w:t>Rådets direktiv 2006/112/EF af 28. november 2006 om det fælles merværdiafgiftssystem (EUT L 347 af 11.12.2006, s. 1).</w:t>
      </w:r>
    </w:p>
  </w:footnote>
  <w:footnote w:id="9">
    <w:p>
      <w:pPr>
        <w:pStyle w:val="FootnoteText"/>
      </w:pPr>
      <w:r>
        <w:rPr>
          <w:rStyle w:val="FootnoteReference"/>
        </w:rPr>
        <w:footnoteRef/>
      </w:r>
      <w:r>
        <w:tab/>
        <w:t>EUT C […] af […], s. […].</w:t>
      </w:r>
    </w:p>
  </w:footnote>
  <w:footnote w:id="10">
    <w:p>
      <w:pPr>
        <w:pStyle w:val="FootnoteText"/>
      </w:pPr>
      <w:r>
        <w:rPr>
          <w:rStyle w:val="FootnoteReference"/>
        </w:rPr>
        <w:footnoteRef/>
      </w:r>
      <w:r>
        <w:tab/>
        <w:t>EUT C […] af […], s. […].</w:t>
      </w:r>
    </w:p>
  </w:footnote>
  <w:footnote w:id="11">
    <w:p>
      <w:pPr>
        <w:pStyle w:val="FootnoteText"/>
        <w:rPr>
          <w:lang w:val="pl-PL"/>
        </w:rPr>
      </w:pPr>
      <w:r>
        <w:rPr>
          <w:rStyle w:val="FootnoteReference"/>
        </w:rPr>
        <w:footnoteRef/>
      </w:r>
      <w:r>
        <w:tab/>
        <w:t>EUT L […] af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7C0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AC07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92B5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2265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0452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F863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38B8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AE8DC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0"/>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5:01"/>
    <w:docVar w:name="DQCNUMB_1" w:val="72"/>
    <w:docVar w:name="DQCNUMB_10" w:val="85"/>
    <w:docVar w:name="DQCNUMB_11" w:val="86"/>
    <w:docVar w:name="DQCNUMB_12" w:val="87"/>
    <w:docVar w:name="DQCNUMB_13" w:val="88"/>
    <w:docVar w:name="DQCNUMB_14" w:val="89"/>
    <w:docVar w:name="DQCNUMB_15" w:val="90"/>
    <w:docVar w:name="DQCNUMB_16" w:val="91"/>
    <w:docVar w:name="DQCNUMB_17" w:val="92"/>
    <w:docVar w:name="DQCNUMB_18" w:val="93"/>
    <w:docVar w:name="DQCNUMB_19" w:val="94"/>
    <w:docVar w:name="DQCNUMB_2" w:val="73"/>
    <w:docVar w:name="DQCNUMB_20" w:val="95"/>
    <w:docVar w:name="DQCNUMB_21" w:val="96"/>
    <w:docVar w:name="DQCNUMB_22" w:val="98"/>
    <w:docVar w:name="DQCNUMB_23" w:val="99"/>
    <w:docVar w:name="DQCNUMB_24" w:val="100"/>
    <w:docVar w:name="DQCNUMB_25" w:val="102"/>
    <w:docVar w:name="DQCNUMB_26" w:val="103"/>
    <w:docVar w:name="DQCNUMB_27" w:val="105"/>
    <w:docVar w:name="DQCNUMB_28" w:val="106"/>
    <w:docVar w:name="DQCNUMB_29" w:val="107"/>
    <w:docVar w:name="DQCNUMB_3" w:val="74"/>
    <w:docVar w:name="DQCNUMB_30" w:val="108"/>
    <w:docVar w:name="DQCNUMB_31" w:val="109"/>
    <w:docVar w:name="DQCNUMB_32" w:val="110"/>
    <w:docVar w:name="DQCNUMB_33" w:val="111"/>
    <w:docVar w:name="DQCNUMB_34" w:val="112"/>
    <w:docVar w:name="DQCNUMB_35" w:val="113"/>
    <w:docVar w:name="DQCNUMB_36" w:val="114"/>
    <w:docVar w:name="DQCNUMB_37" w:val="115"/>
    <w:docVar w:name="DQCNUMB_38" w:val="116"/>
    <w:docVar w:name="DQCNUMB_39" w:val="117"/>
    <w:docVar w:name="DQCNUMB_4" w:val="75"/>
    <w:docVar w:name="DQCNUMB_40" w:val="118"/>
    <w:docVar w:name="DQCNUMB_41" w:val="119"/>
    <w:docVar w:name="DQCNUMB_42" w:val="120"/>
    <w:docVar w:name="DQCNUMB_43" w:val="121"/>
    <w:docVar w:name="DQCNUMB_44" w:val="122"/>
    <w:docVar w:name="DQCNUMB_45" w:val="123"/>
    <w:docVar w:name="DQCNUMB_46" w:val="124"/>
    <w:docVar w:name="DQCNUMB_5" w:val="76"/>
    <w:docVar w:name="DQCNUMB_6" w:val="77"/>
    <w:docVar w:name="DQCNUMB_7" w:val="78"/>
    <w:docVar w:name="DQCNUMB_8" w:val="83"/>
    <w:docVar w:name="DQCNUMB_9" w:val="8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B139CE7C-EC91-45D5-9422-6E3576F6AA6F"/>
    <w:docVar w:name="LW_COVERPAGE_TYPE" w:val="1"/>
    <w:docVar w:name="LW_CROSSREFERENCE" w:val="&lt;UNUSED&gt;"/>
    <w:docVar w:name="LW_DocType" w:val="COM"/>
    <w:docVar w:name="LW_EMISSION" w:val="2.5.2018"/>
    <w:docVar w:name="LW_EMISSION_ISODATE" w:val="2018-05-02"/>
    <w:docVar w:name="LW_EMISSION_LOCATION" w:val="BRX"/>
    <w:docVar w:name="LW_EMISSION_PREFIX" w:val="Bruxelles, den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33"/>
    <w:docVar w:name="LW_REF.II.NEW.CP_YEAR" w:val="2018"/>
    <w:docVar w:name="LW_REF.INST.NEW" w:val="COM"/>
    <w:docVar w:name="LW_REF.INST.NEW_ADOPTED" w:val="final"/>
    <w:docVar w:name="LW_REF.INST.NEW_TEXT" w:val="(2018) 3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Rådets forordning (EØF, Euratom) nr. 1553/89 om den endelige ordning for ensartet opkrævning af egne indtægter hidrørende fra merværdiafgiften"/>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odyText">
    <w:name w:val="Body Text"/>
    <w:basedOn w:val="Normal"/>
    <w:link w:val="BodyTextChar"/>
    <w:uiPriority w:val="1"/>
    <w:qFormat/>
    <w:pPr>
      <w:widowControl w:val="0"/>
      <w:autoSpaceDE w:val="0"/>
      <w:autoSpaceDN w:val="0"/>
      <w:spacing w:before="0" w:after="0"/>
      <w:jc w:val="left"/>
    </w:pPr>
    <w:rPr>
      <w:rFonts w:eastAsia="Times New Roman"/>
      <w:sz w:val="19"/>
      <w:szCs w:val="19"/>
    </w:rPr>
  </w:style>
  <w:style w:type="character" w:customStyle="1" w:styleId="BodyTextChar">
    <w:name w:val="Body Text Char"/>
    <w:basedOn w:val="DefaultParagraphFont"/>
    <w:link w:val="BodyText"/>
    <w:uiPriority w:val="1"/>
    <w:rPr>
      <w:rFonts w:ascii="Times New Roman" w:eastAsia="Times New Roman" w:hAnsi="Times New Roman" w:cs="Times New Roman"/>
      <w:sz w:val="19"/>
      <w:szCs w:val="19"/>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5666">
      <w:bodyDiv w:val="1"/>
      <w:marLeft w:val="0"/>
      <w:marRight w:val="0"/>
      <w:marTop w:val="0"/>
      <w:marBottom w:val="0"/>
      <w:divBdr>
        <w:top w:val="none" w:sz="0" w:space="0" w:color="auto"/>
        <w:left w:val="none" w:sz="0" w:space="0" w:color="auto"/>
        <w:bottom w:val="none" w:sz="0" w:space="0" w:color="auto"/>
        <w:right w:val="none" w:sz="0" w:space="0" w:color="auto"/>
      </w:divBdr>
    </w:div>
    <w:div w:id="378746415">
      <w:bodyDiv w:val="1"/>
      <w:marLeft w:val="0"/>
      <w:marRight w:val="0"/>
      <w:marTop w:val="0"/>
      <w:marBottom w:val="0"/>
      <w:divBdr>
        <w:top w:val="none" w:sz="0" w:space="0" w:color="auto"/>
        <w:left w:val="none" w:sz="0" w:space="0" w:color="auto"/>
        <w:bottom w:val="none" w:sz="0" w:space="0" w:color="auto"/>
        <w:right w:val="none" w:sz="0" w:space="0" w:color="auto"/>
      </w:divBdr>
    </w:div>
    <w:div w:id="749738167">
      <w:bodyDiv w:val="1"/>
      <w:marLeft w:val="0"/>
      <w:marRight w:val="0"/>
      <w:marTop w:val="0"/>
      <w:marBottom w:val="0"/>
      <w:divBdr>
        <w:top w:val="none" w:sz="0" w:space="0" w:color="auto"/>
        <w:left w:val="none" w:sz="0" w:space="0" w:color="auto"/>
        <w:bottom w:val="none" w:sz="0" w:space="0" w:color="auto"/>
        <w:right w:val="none" w:sz="0" w:space="0" w:color="auto"/>
      </w:divBdr>
    </w:div>
    <w:div w:id="1361396332">
      <w:bodyDiv w:val="1"/>
      <w:marLeft w:val="0"/>
      <w:marRight w:val="0"/>
      <w:marTop w:val="0"/>
      <w:marBottom w:val="0"/>
      <w:divBdr>
        <w:top w:val="none" w:sz="0" w:space="0" w:color="auto"/>
        <w:left w:val="none" w:sz="0" w:space="0" w:color="auto"/>
        <w:bottom w:val="none" w:sz="0" w:space="0" w:color="auto"/>
        <w:right w:val="none" w:sz="0" w:space="0" w:color="auto"/>
      </w:divBdr>
    </w:div>
    <w:div w:id="1659915713">
      <w:bodyDiv w:val="1"/>
      <w:marLeft w:val="0"/>
      <w:marRight w:val="0"/>
      <w:marTop w:val="0"/>
      <w:marBottom w:val="0"/>
      <w:divBdr>
        <w:top w:val="none" w:sz="0" w:space="0" w:color="auto"/>
        <w:left w:val="none" w:sz="0" w:space="0" w:color="auto"/>
        <w:bottom w:val="none" w:sz="0" w:space="0" w:color="auto"/>
        <w:right w:val="none" w:sz="0" w:space="0" w:color="auto"/>
      </w:divBdr>
    </w:div>
    <w:div w:id="1692028307">
      <w:bodyDiv w:val="1"/>
      <w:marLeft w:val="0"/>
      <w:marRight w:val="0"/>
      <w:marTop w:val="0"/>
      <w:marBottom w:val="0"/>
      <w:divBdr>
        <w:top w:val="none" w:sz="0" w:space="0" w:color="auto"/>
        <w:left w:val="none" w:sz="0" w:space="0" w:color="auto"/>
        <w:bottom w:val="none" w:sz="0" w:space="0" w:color="auto"/>
        <w:right w:val="none" w:sz="0" w:space="0" w:color="auto"/>
      </w:divBdr>
    </w:div>
    <w:div w:id="1958684149">
      <w:bodyDiv w:val="1"/>
      <w:marLeft w:val="0"/>
      <w:marRight w:val="0"/>
      <w:marTop w:val="0"/>
      <w:marBottom w:val="0"/>
      <w:divBdr>
        <w:top w:val="none" w:sz="0" w:space="0" w:color="auto"/>
        <w:left w:val="none" w:sz="0" w:space="0" w:color="auto"/>
        <w:bottom w:val="none" w:sz="0" w:space="0" w:color="auto"/>
        <w:right w:val="none" w:sz="0" w:space="0" w:color="auto"/>
      </w:divBdr>
      <w:divsChild>
        <w:div w:id="661662048">
          <w:marLeft w:val="0"/>
          <w:marRight w:val="0"/>
          <w:marTop w:val="0"/>
          <w:marBottom w:val="0"/>
          <w:divBdr>
            <w:top w:val="none" w:sz="0" w:space="0" w:color="auto"/>
            <w:left w:val="none" w:sz="0" w:space="0" w:color="auto"/>
            <w:bottom w:val="none" w:sz="0" w:space="0" w:color="auto"/>
            <w:right w:val="none" w:sz="0" w:space="0" w:color="auto"/>
          </w:divBdr>
        </w:div>
        <w:div w:id="1598978085">
          <w:marLeft w:val="0"/>
          <w:marRight w:val="0"/>
          <w:marTop w:val="0"/>
          <w:marBottom w:val="0"/>
          <w:divBdr>
            <w:top w:val="none" w:sz="0" w:space="0" w:color="auto"/>
            <w:left w:val="none" w:sz="0" w:space="0" w:color="auto"/>
            <w:bottom w:val="none" w:sz="0" w:space="0" w:color="auto"/>
            <w:right w:val="none" w:sz="0" w:space="0" w:color="auto"/>
          </w:divBdr>
        </w:div>
        <w:div w:id="1519346848">
          <w:marLeft w:val="0"/>
          <w:marRight w:val="0"/>
          <w:marTop w:val="0"/>
          <w:marBottom w:val="0"/>
          <w:divBdr>
            <w:top w:val="none" w:sz="0" w:space="0" w:color="auto"/>
            <w:left w:val="none" w:sz="0" w:space="0" w:color="auto"/>
            <w:bottom w:val="none" w:sz="0" w:space="0" w:color="auto"/>
            <w:right w:val="none" w:sz="0" w:space="0" w:color="auto"/>
          </w:divBdr>
        </w:div>
        <w:div w:id="1902250250">
          <w:marLeft w:val="0"/>
          <w:marRight w:val="0"/>
          <w:marTop w:val="0"/>
          <w:marBottom w:val="0"/>
          <w:divBdr>
            <w:top w:val="none" w:sz="0" w:space="0" w:color="auto"/>
            <w:left w:val="none" w:sz="0" w:space="0" w:color="auto"/>
            <w:bottom w:val="none" w:sz="0" w:space="0" w:color="auto"/>
            <w:right w:val="none" w:sz="0" w:space="0" w:color="auto"/>
          </w:divBdr>
        </w:div>
        <w:div w:id="1572959300">
          <w:marLeft w:val="0"/>
          <w:marRight w:val="0"/>
          <w:marTop w:val="0"/>
          <w:marBottom w:val="0"/>
          <w:divBdr>
            <w:top w:val="none" w:sz="0" w:space="0" w:color="auto"/>
            <w:left w:val="none" w:sz="0" w:space="0" w:color="auto"/>
            <w:bottom w:val="none" w:sz="0" w:space="0" w:color="auto"/>
            <w:right w:val="none" w:sz="0" w:space="0" w:color="auto"/>
          </w:divBdr>
        </w:div>
      </w:divsChild>
    </w:div>
    <w:div w:id="20854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DB7B25-527B-4B92-ABF4-19BA4EA7D771}">
  <ds:schemaRefs>
    <ds:schemaRef ds:uri="http://schemas.microsoft.com/sharepoint/v3/contenttype/forms"/>
  </ds:schemaRefs>
</ds:datastoreItem>
</file>

<file path=customXml/itemProps2.xml><?xml version="1.0" encoding="utf-8"?>
<ds:datastoreItem xmlns:ds="http://schemas.openxmlformats.org/officeDocument/2006/customXml" ds:itemID="{1727B1C2-BF42-4A15-BF6D-09E6A8F9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D1E09-D0D0-46FE-93FB-937F09A4D77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4b000966-a7c4-4b01-8bf4-80f725bfe09b"/>
    <ds:schemaRef ds:uri="http://schemas.microsoft.com/office/2006/metadata/properties"/>
  </ds:schemaRefs>
</ds:datastoreItem>
</file>

<file path=customXml/itemProps4.xml><?xml version="1.0" encoding="utf-8"?>
<ds:datastoreItem xmlns:ds="http://schemas.openxmlformats.org/officeDocument/2006/customXml" ds:itemID="{C5FB6015-8FE4-4864-92F9-0FD5C7EE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2894</Words>
  <Characters>17135</Characters>
  <Application>Microsoft Office Word</Application>
  <DocSecurity>0</DocSecurity>
  <Lines>305</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2018-05-03T14:03:00Z</cp:lastPrinted>
  <dcterms:created xsi:type="dcterms:W3CDTF">2018-05-04T07:52:00Z</dcterms:created>
  <dcterms:modified xsi:type="dcterms:W3CDTF">2018-05-04T14:25:00Z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