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C55988AD-4CA0-408B-A539-A79209C0F886" style="width:450.75pt;height:457.5pt">
            <v:imagedata r:id="rId7" o:title=""/>
          </v:shape>
        </w:pict>
      </w:r>
    </w:p>
    <w:bookmarkEnd w:id="0"/>
    <w:p>
      <w:pPr>
        <w:rPr>
          <w:noProof/>
        </w:rPr>
        <w:sectPr>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134" w:left="1417" w:header="709" w:footer="709" w:gutter="0"/>
          <w:pgNumType w:start="0"/>
          <w:cols w:space="720"/>
          <w:docGrid w:linePitch="360"/>
        </w:sectPr>
      </w:pPr>
    </w:p>
    <w:tbl>
      <w:tblPr>
        <w:tblStyle w:val="TableGrid"/>
        <w:tblW w:w="5000" w:type="pct"/>
        <w:shd w:val="clear" w:color="auto" w:fill="BFBFBF" w:themeFill="background1" w:themeFillShade="BF"/>
        <w:tblCellMar>
          <w:top w:w="28" w:type="dxa"/>
          <w:left w:w="28" w:type="dxa"/>
          <w:bottom w:w="28" w:type="dxa"/>
          <w:right w:w="28" w:type="dxa"/>
        </w:tblCellMar>
        <w:tblLook w:val="04A0" w:firstRow="1" w:lastRow="0" w:firstColumn="1" w:lastColumn="0" w:noHBand="0" w:noVBand="1"/>
      </w:tblPr>
      <w:tblGrid>
        <w:gridCol w:w="9128"/>
      </w:tblGrid>
      <w:tr>
        <w:trPr>
          <w:cantSplit/>
        </w:trPr>
        <w:tc>
          <w:tcPr>
            <w:tcW w:w="9128" w:type="dxa"/>
            <w:tcBorders>
              <w:bottom w:val="single" w:sz="4" w:space="0" w:color="auto"/>
            </w:tcBorders>
            <w:shd w:val="clear" w:color="auto" w:fill="BFBFBF" w:themeFill="background1" w:themeFillShade="BF"/>
            <w:vAlign w:val="center"/>
          </w:tcPr>
          <w:p>
            <w:pPr>
              <w:pStyle w:val="Default"/>
              <w:spacing w:before="60" w:after="60"/>
              <w:jc w:val="center"/>
              <w:rPr>
                <w:noProof/>
                <w:sz w:val="23"/>
                <w:szCs w:val="23"/>
              </w:rPr>
            </w:pPr>
            <w:bookmarkStart w:id="1" w:name="_GoBack"/>
            <w:bookmarkEnd w:id="1"/>
            <w:r>
              <w:rPr>
                <w:b/>
                <w:noProof/>
                <w:sz w:val="23"/>
              </w:rPr>
              <w:lastRenderedPageBreak/>
              <w:t xml:space="preserve">Kopsavilkums </w:t>
            </w:r>
          </w:p>
        </w:tc>
      </w:tr>
      <w:tr>
        <w:trPr>
          <w:cantSplit/>
        </w:trPr>
        <w:tc>
          <w:tcPr>
            <w:tcW w:w="9128" w:type="dxa"/>
            <w:shd w:val="clear" w:color="auto" w:fill="8DB3E2" w:themeFill="text2" w:themeFillTint="66"/>
          </w:tcPr>
          <w:p>
            <w:pPr>
              <w:spacing w:before="60" w:after="60"/>
              <w:jc w:val="center"/>
              <w:rPr>
                <w:rFonts w:ascii="Times New Roman" w:hAnsi="Times New Roman" w:cs="Times New Roman"/>
                <w:noProof/>
              </w:rPr>
            </w:pPr>
            <w:r>
              <w:rPr>
                <w:rFonts w:ascii="Times New Roman" w:hAnsi="Times New Roman"/>
                <w:noProof/>
              </w:rPr>
              <w:t xml:space="preserve">Ietekmes novērtējums par iniciatīvu pārtikas piegādes ķēdes uzlabošanai — netaisnīga tirdzniecības prakse </w:t>
            </w:r>
          </w:p>
        </w:tc>
      </w:tr>
      <w:tr>
        <w:trPr>
          <w:cantSplit/>
        </w:trPr>
        <w:tc>
          <w:tcPr>
            <w:tcW w:w="9128" w:type="dxa"/>
            <w:tcBorders>
              <w:bottom w:val="single" w:sz="4" w:space="0" w:color="auto"/>
            </w:tcBorders>
            <w:shd w:val="clear" w:color="auto" w:fill="BFBFBF" w:themeFill="background1" w:themeFillShade="BF"/>
            <w:vAlign w:val="center"/>
          </w:tcPr>
          <w:p>
            <w:pPr>
              <w:pStyle w:val="Default"/>
              <w:spacing w:before="60" w:after="60"/>
              <w:jc w:val="both"/>
              <w:rPr>
                <w:noProof/>
                <w:sz w:val="23"/>
                <w:szCs w:val="23"/>
              </w:rPr>
            </w:pPr>
            <w:r>
              <w:rPr>
                <w:b/>
                <w:noProof/>
                <w:sz w:val="23"/>
              </w:rPr>
              <w:t xml:space="preserve">A. Rīcības nepieciešamība </w:t>
            </w:r>
          </w:p>
        </w:tc>
      </w:tr>
      <w:tr>
        <w:trPr>
          <w:cantSplit/>
        </w:trPr>
        <w:tc>
          <w:tcPr>
            <w:tcW w:w="9128" w:type="dxa"/>
            <w:tcBorders>
              <w:bottom w:val="single" w:sz="4" w:space="0" w:color="auto"/>
            </w:tcBorders>
            <w:shd w:val="clear" w:color="auto" w:fill="D9D9D9" w:themeFill="background1" w:themeFillShade="D9"/>
          </w:tcPr>
          <w:p>
            <w:pPr>
              <w:pStyle w:val="Default"/>
              <w:keepNext/>
              <w:spacing w:before="60" w:after="60"/>
              <w:jc w:val="both"/>
              <w:rPr>
                <w:noProof/>
                <w:sz w:val="23"/>
                <w:szCs w:val="23"/>
              </w:rPr>
            </w:pPr>
            <w:r>
              <w:rPr>
                <w:b/>
                <w:noProof/>
                <w:sz w:val="23"/>
              </w:rPr>
              <w:t xml:space="preserve">Problēmas būtība un nozīme ES mērogā </w:t>
            </w:r>
          </w:p>
        </w:tc>
      </w:tr>
      <w:tr>
        <w:trPr>
          <w:cantSplit/>
        </w:trPr>
        <w:tc>
          <w:tcPr>
            <w:tcW w:w="9128" w:type="dxa"/>
            <w:shd w:val="clear" w:color="auto" w:fill="FFFFFF" w:themeFill="background1"/>
          </w:tcPr>
          <w:p>
            <w:pPr>
              <w:spacing w:before="40" w:after="40"/>
              <w:jc w:val="both"/>
              <w:rPr>
                <w:rFonts w:ascii="Times New Roman" w:hAnsi="Times New Roman" w:cs="Times New Roman"/>
                <w:noProof/>
              </w:rPr>
            </w:pPr>
            <w:r>
              <w:rPr>
                <w:rFonts w:ascii="Times New Roman" w:hAnsi="Times New Roman"/>
                <w:noProof/>
              </w:rPr>
              <w:t xml:space="preserve">Operatoru iespējas panākt izdevīgākus nosacījumus pārtikas piegādes ķēdē (PPĶ) ir atšķirīgas; vājākās puses (piem., lauksaimnieki) cieš no netaisnīgas tirdzniecības prakses (NTP). Nacionālie NTP režīmi ir atšķirīgi, un starp dalībvalstīm notiek minimāla koordinācija. Tādējādi operatori dažās dalībvalstīs netiek pietiekami aizsargāti, rodas atšķirīgi uzņēmējdarbības apstākļi starp dalībvalstīm un pastāv nenoteiktība pārrobežu tirdzniecībā. </w:t>
            </w:r>
          </w:p>
        </w:tc>
      </w:tr>
      <w:tr>
        <w:trPr>
          <w:cantSplit/>
        </w:trPr>
        <w:tc>
          <w:tcPr>
            <w:tcW w:w="9128" w:type="dxa"/>
            <w:tcBorders>
              <w:bottom w:val="single" w:sz="4" w:space="0" w:color="auto"/>
            </w:tcBorders>
            <w:shd w:val="clear" w:color="auto" w:fill="D9D9D9" w:themeFill="background1" w:themeFillShade="D9"/>
          </w:tcPr>
          <w:p>
            <w:pPr>
              <w:pStyle w:val="Default"/>
              <w:keepNext/>
              <w:spacing w:before="60" w:after="60"/>
              <w:jc w:val="both"/>
              <w:rPr>
                <w:noProof/>
                <w:sz w:val="23"/>
                <w:szCs w:val="23"/>
              </w:rPr>
            </w:pPr>
            <w:r>
              <w:rPr>
                <w:b/>
                <w:noProof/>
                <w:sz w:val="23"/>
              </w:rPr>
              <w:t xml:space="preserve">Izvirzītie mērķi </w:t>
            </w:r>
          </w:p>
        </w:tc>
      </w:tr>
      <w:tr>
        <w:trPr>
          <w:cantSplit/>
        </w:trPr>
        <w:tc>
          <w:tcPr>
            <w:tcW w:w="9128" w:type="dxa"/>
            <w:shd w:val="clear" w:color="auto" w:fill="FFFFFF" w:themeFill="background1"/>
          </w:tcPr>
          <w:p>
            <w:pPr>
              <w:spacing w:before="40" w:after="40"/>
              <w:jc w:val="both"/>
              <w:rPr>
                <w:rFonts w:ascii="Times New Roman" w:hAnsi="Times New Roman" w:cs="Times New Roman"/>
                <w:noProof/>
                <w:sz w:val="23"/>
                <w:szCs w:val="23"/>
              </w:rPr>
            </w:pPr>
            <w:r>
              <w:rPr>
                <w:rFonts w:ascii="Times New Roman" w:hAnsi="Times New Roman"/>
                <w:noProof/>
              </w:rPr>
              <w:t xml:space="preserve">NTP mazināšana veicina vienlīdzīgus konkurences apstākļus un sekmē efektīvu tiesisko aizsardzību operatoriem, kas saskaras ar NTP; tas veicina to KLP mērķu sasniegšanu, kas ir saistīti ar pietiekami augsta dzīves līmeņa panākšanu cilvēkiem, kuri ir iesaistīti lauksaimniecībā, palielina vājāko operatoru noturību un uzlabo PPĶ darbību. </w:t>
            </w:r>
          </w:p>
        </w:tc>
      </w:tr>
      <w:tr>
        <w:trPr>
          <w:cantSplit/>
        </w:trPr>
        <w:tc>
          <w:tcPr>
            <w:tcW w:w="9128" w:type="dxa"/>
            <w:tcBorders>
              <w:bottom w:val="single" w:sz="4" w:space="0" w:color="auto"/>
            </w:tcBorders>
            <w:shd w:val="clear" w:color="auto" w:fill="D9D9D9" w:themeFill="background1" w:themeFillShade="D9"/>
          </w:tcPr>
          <w:p>
            <w:pPr>
              <w:pStyle w:val="Default"/>
              <w:keepNext/>
              <w:spacing w:before="60" w:after="60"/>
              <w:jc w:val="both"/>
              <w:rPr>
                <w:noProof/>
                <w:sz w:val="23"/>
                <w:szCs w:val="23"/>
              </w:rPr>
            </w:pPr>
            <w:r>
              <w:rPr>
                <w:b/>
                <w:noProof/>
                <w:sz w:val="23"/>
              </w:rPr>
              <w:t xml:space="preserve">Kāda ir ES līmeņa rīcības pievienotā vērtība (subsidiaritāte)? </w:t>
            </w:r>
          </w:p>
        </w:tc>
      </w:tr>
      <w:tr>
        <w:trPr>
          <w:cantSplit/>
        </w:trPr>
        <w:tc>
          <w:tcPr>
            <w:tcW w:w="9128" w:type="dxa"/>
            <w:shd w:val="clear" w:color="auto" w:fill="FFFFFF" w:themeFill="background1"/>
          </w:tcPr>
          <w:p>
            <w:pPr>
              <w:spacing w:before="40" w:after="40"/>
              <w:jc w:val="both"/>
              <w:rPr>
                <w:rFonts w:ascii="Times New Roman" w:hAnsi="Times New Roman" w:cs="Times New Roman"/>
                <w:noProof/>
                <w:sz w:val="23"/>
                <w:szCs w:val="23"/>
              </w:rPr>
            </w:pPr>
            <w:r>
              <w:rPr>
                <w:rFonts w:ascii="Times New Roman" w:hAnsi="Times New Roman"/>
                <w:noProof/>
              </w:rPr>
              <w:t xml:space="preserve">ES rīcība nodrošina vienotus obligātos noteikumus, uzlabo aizsardzību pret NTP un mazina šādas prakses ietekmi visā pārtikas piegādes ķēdē. Tā sekmē arī pietiekami augsta dzīves līmeņa panākšanu lauksaimniecības kopienai (LESD 39. pants) un saskaņotību un labākās prakses apmaiņu starp dalībvalstīm; tā panākšana bez ES rīcības būtu sarežģīta. </w:t>
            </w:r>
          </w:p>
        </w:tc>
      </w:tr>
      <w:tr>
        <w:trPr>
          <w:cantSplit/>
        </w:trPr>
        <w:tc>
          <w:tcPr>
            <w:tcW w:w="9128" w:type="dxa"/>
            <w:shd w:val="clear" w:color="auto" w:fill="BFBFBF" w:themeFill="background1" w:themeFillShade="BF"/>
          </w:tcPr>
          <w:p>
            <w:pPr>
              <w:pStyle w:val="Default"/>
              <w:keepNext/>
              <w:spacing w:before="60" w:after="60"/>
              <w:jc w:val="both"/>
              <w:rPr>
                <w:noProof/>
                <w:sz w:val="23"/>
                <w:szCs w:val="23"/>
              </w:rPr>
            </w:pPr>
            <w:r>
              <w:rPr>
                <w:b/>
                <w:noProof/>
                <w:sz w:val="23"/>
              </w:rPr>
              <w:t xml:space="preserve">B. Risinājumi </w:t>
            </w:r>
          </w:p>
        </w:tc>
      </w:tr>
      <w:tr>
        <w:trPr>
          <w:cantSplit/>
        </w:trPr>
        <w:tc>
          <w:tcPr>
            <w:tcW w:w="9128" w:type="dxa"/>
            <w:tcBorders>
              <w:bottom w:val="single" w:sz="4" w:space="0" w:color="auto"/>
            </w:tcBorders>
            <w:shd w:val="clear" w:color="auto" w:fill="D9D9D9" w:themeFill="background1" w:themeFillShade="D9"/>
          </w:tcPr>
          <w:p>
            <w:pPr>
              <w:pStyle w:val="Default"/>
              <w:keepNext/>
              <w:spacing w:before="60" w:after="60"/>
              <w:jc w:val="both"/>
              <w:rPr>
                <w:noProof/>
                <w:sz w:val="23"/>
                <w:szCs w:val="23"/>
              </w:rPr>
            </w:pPr>
            <w:r>
              <w:rPr>
                <w:b/>
                <w:noProof/>
                <w:sz w:val="23"/>
              </w:rPr>
              <w:t xml:space="preserve">Risinājuma iespējas izvirzīto mērķu sasniegšanai — Vēlamais risinājums (ja ir). </w:t>
            </w:r>
          </w:p>
        </w:tc>
      </w:tr>
      <w:tr>
        <w:trPr>
          <w:cantSplit/>
        </w:trPr>
        <w:tc>
          <w:tcPr>
            <w:tcW w:w="9128" w:type="dxa"/>
            <w:shd w:val="clear" w:color="auto" w:fill="FFFFFF" w:themeFill="background1"/>
          </w:tcPr>
          <w:p>
            <w:pPr>
              <w:spacing w:before="40" w:after="40"/>
              <w:jc w:val="both"/>
              <w:rPr>
                <w:rFonts w:ascii="Times New Roman" w:hAnsi="Times New Roman" w:cs="Times New Roman"/>
                <w:noProof/>
              </w:rPr>
            </w:pPr>
            <w:r>
              <w:rPr>
                <w:rFonts w:ascii="Times New Roman" w:hAnsi="Times New Roman"/>
                <w:noProof/>
              </w:rPr>
              <w:t>Risinājumi ir iedalīti atkarībā no harmonizācijas, NTP aizliegumu tvēruma, aptvertajiem produktiem un operatoriem, izpildes un saskaņotības starp dalībvalstīm. Vēlamais risinājums: daļēja NTP noteikumu harmonizācija, aptverot lauksaimniecības un pārstrādes produktus, aizsargājot MVU, paredzot minimālās izpildes prasības un izpildes mehānismu ES līmenī.</w:t>
            </w:r>
          </w:p>
        </w:tc>
      </w:tr>
      <w:tr>
        <w:trPr>
          <w:cantSplit/>
        </w:trPr>
        <w:tc>
          <w:tcPr>
            <w:tcW w:w="9128" w:type="dxa"/>
            <w:tcBorders>
              <w:bottom w:val="single" w:sz="4" w:space="0" w:color="auto"/>
            </w:tcBorders>
            <w:shd w:val="clear" w:color="auto" w:fill="D9D9D9" w:themeFill="background1" w:themeFillShade="D9"/>
          </w:tcPr>
          <w:p>
            <w:pPr>
              <w:pStyle w:val="Default"/>
              <w:keepNext/>
              <w:spacing w:before="60" w:after="60"/>
              <w:jc w:val="both"/>
              <w:rPr>
                <w:noProof/>
                <w:sz w:val="23"/>
                <w:szCs w:val="23"/>
              </w:rPr>
            </w:pPr>
            <w:r>
              <w:rPr>
                <w:b/>
                <w:noProof/>
                <w:sz w:val="23"/>
              </w:rPr>
              <w:t xml:space="preserve">Ieinteresēto personu viedokļi. Atbalsts konkrētiem risinājumiem </w:t>
            </w:r>
          </w:p>
        </w:tc>
      </w:tr>
      <w:tr>
        <w:trPr>
          <w:cantSplit/>
        </w:trPr>
        <w:tc>
          <w:tcPr>
            <w:tcW w:w="9128" w:type="dxa"/>
            <w:shd w:val="clear" w:color="auto" w:fill="FFFFFF" w:themeFill="background1"/>
          </w:tcPr>
          <w:p>
            <w:pPr>
              <w:spacing w:before="40" w:after="40"/>
              <w:jc w:val="both"/>
              <w:rPr>
                <w:rFonts w:ascii="Times New Roman" w:hAnsi="Times New Roman" w:cs="Times New Roman"/>
                <w:noProof/>
              </w:rPr>
            </w:pPr>
            <w:r>
              <w:rPr>
                <w:rFonts w:ascii="Times New Roman" w:hAnsi="Times New Roman"/>
                <w:noProof/>
              </w:rPr>
              <w:t xml:space="preserve">Vairums ieinteresēto personu, kas piedalījās atklātajā sabiedriskajā apspriešanā izteica stingru atbalstu ES rīcībai, tostarp prasību izpildei. (Lielie) mazumtirgotāji nepiekrīt, ka NTP tiek plaši izmantota, kā arī iebilst pret ES līmeņa pasākumiem. </w:t>
            </w:r>
          </w:p>
        </w:tc>
      </w:tr>
      <w:tr>
        <w:trPr>
          <w:cantSplit/>
        </w:trPr>
        <w:tc>
          <w:tcPr>
            <w:tcW w:w="9128" w:type="dxa"/>
            <w:shd w:val="clear" w:color="auto" w:fill="BFBFBF" w:themeFill="background1" w:themeFillShade="BF"/>
          </w:tcPr>
          <w:p>
            <w:pPr>
              <w:pStyle w:val="Default"/>
              <w:keepNext/>
              <w:spacing w:before="60" w:after="60"/>
              <w:jc w:val="both"/>
              <w:rPr>
                <w:noProof/>
                <w:sz w:val="23"/>
                <w:szCs w:val="23"/>
              </w:rPr>
            </w:pPr>
            <w:r>
              <w:rPr>
                <w:b/>
                <w:noProof/>
                <w:sz w:val="23"/>
              </w:rPr>
              <w:t xml:space="preserve">C. Vēlamā risinājuma ietekme </w:t>
            </w:r>
          </w:p>
        </w:tc>
      </w:tr>
      <w:tr>
        <w:trPr>
          <w:cantSplit/>
        </w:trPr>
        <w:tc>
          <w:tcPr>
            <w:tcW w:w="9128" w:type="dxa"/>
            <w:tcBorders>
              <w:bottom w:val="single" w:sz="4" w:space="0" w:color="auto"/>
            </w:tcBorders>
            <w:shd w:val="clear" w:color="auto" w:fill="D9D9D9" w:themeFill="background1" w:themeFillShade="D9"/>
          </w:tcPr>
          <w:p>
            <w:pPr>
              <w:pStyle w:val="Default"/>
              <w:keepNext/>
              <w:spacing w:before="60" w:after="60"/>
              <w:jc w:val="both"/>
              <w:rPr>
                <w:noProof/>
                <w:sz w:val="23"/>
                <w:szCs w:val="23"/>
              </w:rPr>
            </w:pPr>
            <w:r>
              <w:rPr>
                <w:b/>
                <w:noProof/>
                <w:sz w:val="23"/>
              </w:rPr>
              <w:t xml:space="preserve">Kādus ieguvumus nodrošinās vēlamais risinājums (ja tāds ir, pretējā gadījumā — galvenie risinājumi)? </w:t>
            </w:r>
          </w:p>
        </w:tc>
      </w:tr>
      <w:tr>
        <w:trPr>
          <w:cantSplit/>
        </w:trPr>
        <w:tc>
          <w:tcPr>
            <w:tcW w:w="9128" w:type="dxa"/>
            <w:shd w:val="clear" w:color="auto" w:fill="FFFFFF" w:themeFill="background1"/>
          </w:tcPr>
          <w:p>
            <w:pPr>
              <w:spacing w:before="40" w:after="40"/>
              <w:jc w:val="both"/>
              <w:rPr>
                <w:rFonts w:ascii="Times New Roman" w:hAnsi="Times New Roman" w:cs="Times New Roman"/>
                <w:noProof/>
              </w:rPr>
            </w:pPr>
            <w:r>
              <w:rPr>
                <w:rFonts w:ascii="Times New Roman" w:hAnsi="Times New Roman"/>
                <w:noProof/>
              </w:rPr>
              <w:t xml:space="preserve">Mazie operatori gūs labumu no NTP tiesību aktos paredzētās aizsardzības, un tā palielina viņu efektivitāti. Minētajiem ieguvumiem vajadzētu izplausties kā pozitīvai sociālai un ekonomiskai ietekmei uz sabiedrību. </w:t>
            </w:r>
          </w:p>
        </w:tc>
      </w:tr>
      <w:tr>
        <w:trPr>
          <w:cantSplit/>
        </w:trPr>
        <w:tc>
          <w:tcPr>
            <w:tcW w:w="9128" w:type="dxa"/>
            <w:tcBorders>
              <w:bottom w:val="single" w:sz="4" w:space="0" w:color="auto"/>
            </w:tcBorders>
            <w:shd w:val="clear" w:color="auto" w:fill="D9D9D9" w:themeFill="background1" w:themeFillShade="D9"/>
          </w:tcPr>
          <w:p>
            <w:pPr>
              <w:pStyle w:val="Default"/>
              <w:keepNext/>
              <w:spacing w:before="60" w:after="60"/>
              <w:jc w:val="both"/>
              <w:rPr>
                <w:noProof/>
                <w:sz w:val="23"/>
                <w:szCs w:val="23"/>
              </w:rPr>
            </w:pPr>
            <w:r>
              <w:rPr>
                <w:b/>
                <w:noProof/>
                <w:sz w:val="23"/>
              </w:rPr>
              <w:t xml:space="preserve">Vēlamā risinājuma (ja tāds ir, pretējā gadījumā — galveno risinājumu) izmaksas </w:t>
            </w:r>
          </w:p>
        </w:tc>
      </w:tr>
      <w:tr>
        <w:trPr>
          <w:cantSplit/>
        </w:trPr>
        <w:tc>
          <w:tcPr>
            <w:tcW w:w="9128" w:type="dxa"/>
            <w:shd w:val="clear" w:color="auto" w:fill="FFFFFF" w:themeFill="background1"/>
          </w:tcPr>
          <w:p>
            <w:pPr>
              <w:spacing w:before="40" w:after="40"/>
              <w:jc w:val="both"/>
              <w:rPr>
                <w:rFonts w:ascii="Times New Roman" w:hAnsi="Times New Roman" w:cs="Times New Roman"/>
                <w:noProof/>
              </w:rPr>
            </w:pPr>
            <w:r>
              <w:rPr>
                <w:rFonts w:ascii="Times New Roman" w:hAnsi="Times New Roman"/>
                <w:noProof/>
              </w:rPr>
              <w:t>Nav sagaidāms, ka uzņēmumiem būs būtiskas atbilstības nodrošināšanas izmaksas. Sagaidāms, ka ietekme uz sabiedrību un vidi būs neitrāla vai pat pozitīva; izmaksas varētu rasties nacionālajām administrācijām (sk. turpmāk).</w:t>
            </w:r>
          </w:p>
        </w:tc>
      </w:tr>
      <w:tr>
        <w:trPr>
          <w:cantSplit/>
        </w:trPr>
        <w:tc>
          <w:tcPr>
            <w:tcW w:w="9128" w:type="dxa"/>
            <w:tcBorders>
              <w:bottom w:val="single" w:sz="4" w:space="0" w:color="auto"/>
            </w:tcBorders>
            <w:shd w:val="clear" w:color="auto" w:fill="D9D9D9" w:themeFill="background1" w:themeFillShade="D9"/>
          </w:tcPr>
          <w:p>
            <w:pPr>
              <w:pStyle w:val="Default"/>
              <w:keepNext/>
              <w:spacing w:before="60" w:after="60"/>
              <w:jc w:val="both"/>
              <w:rPr>
                <w:b/>
                <w:noProof/>
                <w:sz w:val="23"/>
                <w:szCs w:val="23"/>
              </w:rPr>
            </w:pPr>
            <w:r>
              <w:rPr>
                <w:b/>
                <w:noProof/>
                <w:sz w:val="23"/>
              </w:rPr>
              <w:t>Ietekme uz MVU un konkurētspēju</w:t>
            </w:r>
          </w:p>
        </w:tc>
      </w:tr>
      <w:tr>
        <w:trPr>
          <w:cantSplit/>
        </w:trPr>
        <w:tc>
          <w:tcPr>
            <w:tcW w:w="9128" w:type="dxa"/>
            <w:shd w:val="clear" w:color="auto" w:fill="FFFFFF" w:themeFill="background1"/>
          </w:tcPr>
          <w:p>
            <w:pPr>
              <w:spacing w:before="40" w:after="40"/>
              <w:jc w:val="both"/>
              <w:rPr>
                <w:rFonts w:ascii="Times New Roman" w:hAnsi="Times New Roman" w:cs="Times New Roman"/>
                <w:noProof/>
              </w:rPr>
            </w:pPr>
            <w:r>
              <w:rPr>
                <w:rFonts w:ascii="Times New Roman" w:hAnsi="Times New Roman"/>
                <w:noProof/>
              </w:rPr>
              <w:t xml:space="preserve">MVU tiktu labāk aizsargāti, konkurētspēja kopumā pieaugs. </w:t>
            </w:r>
          </w:p>
        </w:tc>
      </w:tr>
      <w:tr>
        <w:trPr>
          <w:cantSplit/>
        </w:trPr>
        <w:tc>
          <w:tcPr>
            <w:tcW w:w="9128" w:type="dxa"/>
            <w:tcBorders>
              <w:bottom w:val="single" w:sz="4" w:space="0" w:color="auto"/>
            </w:tcBorders>
            <w:shd w:val="clear" w:color="auto" w:fill="D9D9D9" w:themeFill="background1" w:themeFillShade="D9"/>
          </w:tcPr>
          <w:p>
            <w:pPr>
              <w:pStyle w:val="Default"/>
              <w:keepNext/>
              <w:spacing w:before="60" w:after="60"/>
              <w:jc w:val="both"/>
              <w:rPr>
                <w:noProof/>
                <w:sz w:val="23"/>
                <w:szCs w:val="23"/>
              </w:rPr>
            </w:pPr>
            <w:r>
              <w:rPr>
                <w:b/>
                <w:noProof/>
                <w:sz w:val="23"/>
              </w:rPr>
              <w:t xml:space="preserve">Nozīmīga ietekme uz valstu budžetiem un pārvaldi </w:t>
            </w:r>
          </w:p>
        </w:tc>
      </w:tr>
      <w:tr>
        <w:trPr>
          <w:cantSplit/>
        </w:trPr>
        <w:tc>
          <w:tcPr>
            <w:tcW w:w="9128" w:type="dxa"/>
            <w:shd w:val="clear" w:color="auto" w:fill="FFFFFF" w:themeFill="background1"/>
          </w:tcPr>
          <w:p>
            <w:pPr>
              <w:spacing w:before="40" w:after="40"/>
              <w:jc w:val="both"/>
              <w:rPr>
                <w:rFonts w:ascii="Times New Roman" w:hAnsi="Times New Roman" w:cs="Times New Roman"/>
                <w:noProof/>
                <w:highlight w:val="yellow"/>
              </w:rPr>
            </w:pPr>
            <w:r>
              <w:rPr>
                <w:rFonts w:ascii="Times New Roman" w:hAnsi="Times New Roman"/>
                <w:noProof/>
              </w:rPr>
              <w:t>Lielākajā daļā dalībvalstu jau ir spēkā daži NTP noteikumi; šīm dalībvalstīm administratīvās izmaksas būs ierobežotas. Pārējām dalībvalstīm izmaksas būs nedaudz lielākas, bet to dalībvalstu pieredze, kurās NTP tiesību akti jau ir spēkā, liecina, ka īstenošanas izmaksas kopumā ir zemas un ka tās var uzņemties esošās struktūras.</w:t>
            </w:r>
          </w:p>
        </w:tc>
      </w:tr>
      <w:tr>
        <w:trPr>
          <w:cantSplit/>
        </w:trPr>
        <w:tc>
          <w:tcPr>
            <w:tcW w:w="9128" w:type="dxa"/>
            <w:tcBorders>
              <w:bottom w:val="single" w:sz="4" w:space="0" w:color="auto"/>
            </w:tcBorders>
            <w:shd w:val="clear" w:color="auto" w:fill="D9D9D9" w:themeFill="background1" w:themeFillShade="D9"/>
          </w:tcPr>
          <w:p>
            <w:pPr>
              <w:pStyle w:val="Default"/>
              <w:keepNext/>
              <w:spacing w:before="60" w:after="60"/>
              <w:jc w:val="both"/>
              <w:rPr>
                <w:noProof/>
                <w:sz w:val="23"/>
                <w:szCs w:val="23"/>
              </w:rPr>
            </w:pPr>
            <w:r>
              <w:rPr>
                <w:b/>
                <w:noProof/>
                <w:sz w:val="23"/>
              </w:rPr>
              <w:t xml:space="preserve">Cita nozīmīga ietekme </w:t>
            </w:r>
          </w:p>
        </w:tc>
      </w:tr>
      <w:tr>
        <w:trPr>
          <w:cantSplit/>
        </w:trPr>
        <w:tc>
          <w:tcPr>
            <w:tcW w:w="9128" w:type="dxa"/>
            <w:shd w:val="clear" w:color="auto" w:fill="FFFFFF" w:themeFill="background1"/>
          </w:tcPr>
          <w:p>
            <w:pPr>
              <w:spacing w:before="40" w:after="40"/>
              <w:jc w:val="both"/>
              <w:rPr>
                <w:rFonts w:ascii="Times New Roman" w:hAnsi="Times New Roman" w:cs="Times New Roman"/>
                <w:noProof/>
                <w:highlight w:val="yellow"/>
              </w:rPr>
            </w:pPr>
            <w:r>
              <w:rPr>
                <w:rFonts w:ascii="Times New Roman" w:hAnsi="Times New Roman"/>
                <w:noProof/>
              </w:rPr>
              <w:t xml:space="preserve">Noteikumi attieksies arī uz piegādātājiem no trešām valstīm. </w:t>
            </w:r>
          </w:p>
        </w:tc>
      </w:tr>
      <w:tr>
        <w:trPr>
          <w:cantSplit/>
        </w:trPr>
        <w:tc>
          <w:tcPr>
            <w:tcW w:w="9128" w:type="dxa"/>
            <w:tcBorders>
              <w:bottom w:val="single" w:sz="4" w:space="0" w:color="auto"/>
            </w:tcBorders>
            <w:shd w:val="clear" w:color="auto" w:fill="D9D9D9" w:themeFill="background1" w:themeFillShade="D9"/>
          </w:tcPr>
          <w:p>
            <w:pPr>
              <w:pStyle w:val="Default"/>
              <w:keepNext/>
              <w:spacing w:before="60" w:after="60"/>
              <w:jc w:val="both"/>
              <w:rPr>
                <w:noProof/>
                <w:sz w:val="23"/>
                <w:szCs w:val="23"/>
              </w:rPr>
            </w:pPr>
            <w:r>
              <w:rPr>
                <w:b/>
                <w:noProof/>
                <w:sz w:val="23"/>
              </w:rPr>
              <w:t xml:space="preserve">Proporcionalitāte </w:t>
            </w:r>
          </w:p>
        </w:tc>
      </w:tr>
      <w:tr>
        <w:trPr>
          <w:cantSplit/>
        </w:trPr>
        <w:tc>
          <w:tcPr>
            <w:tcW w:w="9128" w:type="dxa"/>
            <w:shd w:val="clear" w:color="auto" w:fill="FFFFFF" w:themeFill="background1"/>
          </w:tcPr>
          <w:p>
            <w:pPr>
              <w:spacing w:before="40" w:after="40"/>
              <w:jc w:val="both"/>
              <w:rPr>
                <w:rFonts w:ascii="Times New Roman" w:hAnsi="Times New Roman" w:cs="Times New Roman"/>
                <w:noProof/>
              </w:rPr>
            </w:pPr>
            <w:r>
              <w:rPr>
                <w:rFonts w:ascii="Times New Roman" w:hAnsi="Times New Roman"/>
                <w:noProof/>
              </w:rPr>
              <w:t xml:space="preserve">Ir aptverti tikai MVU, visnelabvēlīgākie NTP veidi un jomas, kurās dalībvalstis pašas nevar sasniegt attiecīgos mērķus. Sagaidāmās izmaksas ir minimālas. Dalībvalstis var saglabāt savus režīmus un paredzēt plašāku šīs politikas tvērumu. </w:t>
            </w:r>
          </w:p>
        </w:tc>
      </w:tr>
      <w:tr>
        <w:trPr>
          <w:cantSplit/>
        </w:trPr>
        <w:tc>
          <w:tcPr>
            <w:tcW w:w="9128" w:type="dxa"/>
            <w:shd w:val="clear" w:color="auto" w:fill="BFBFBF" w:themeFill="background1" w:themeFillShade="BF"/>
          </w:tcPr>
          <w:p>
            <w:pPr>
              <w:pStyle w:val="Default"/>
              <w:keepNext/>
              <w:spacing w:before="60" w:after="60"/>
              <w:jc w:val="both"/>
              <w:rPr>
                <w:noProof/>
              </w:rPr>
            </w:pPr>
            <w:r>
              <w:rPr>
                <w:b/>
                <w:noProof/>
                <w:sz w:val="23"/>
              </w:rPr>
              <w:t xml:space="preserve">D. Turpmākie pasākumi </w:t>
            </w:r>
          </w:p>
        </w:tc>
      </w:tr>
      <w:tr>
        <w:trPr>
          <w:cantSplit/>
        </w:trPr>
        <w:tc>
          <w:tcPr>
            <w:tcW w:w="9128" w:type="dxa"/>
            <w:tcBorders>
              <w:bottom w:val="single" w:sz="4" w:space="0" w:color="auto"/>
            </w:tcBorders>
            <w:shd w:val="clear" w:color="auto" w:fill="D9D9D9" w:themeFill="background1" w:themeFillShade="D9"/>
          </w:tcPr>
          <w:p>
            <w:pPr>
              <w:pStyle w:val="Default"/>
              <w:keepNext/>
              <w:spacing w:before="60" w:after="60"/>
              <w:jc w:val="both"/>
              <w:rPr>
                <w:noProof/>
                <w:sz w:val="23"/>
                <w:szCs w:val="23"/>
              </w:rPr>
            </w:pPr>
            <w:r>
              <w:rPr>
                <w:b/>
                <w:noProof/>
                <w:sz w:val="23"/>
              </w:rPr>
              <w:t>Politikas pārskatīšanas termiņš</w:t>
            </w:r>
          </w:p>
        </w:tc>
      </w:tr>
      <w:tr>
        <w:trPr>
          <w:cantSplit/>
        </w:trPr>
        <w:tc>
          <w:tcPr>
            <w:tcW w:w="9128" w:type="dxa"/>
            <w:shd w:val="clear" w:color="auto" w:fill="FFFFFF" w:themeFill="background1"/>
          </w:tcPr>
          <w:p>
            <w:pPr>
              <w:spacing w:before="40" w:after="40"/>
              <w:jc w:val="both"/>
              <w:rPr>
                <w:rFonts w:ascii="Times New Roman" w:hAnsi="Times New Roman" w:cs="Times New Roman"/>
                <w:noProof/>
              </w:rPr>
            </w:pPr>
            <w:r>
              <w:rPr>
                <w:rFonts w:ascii="Times New Roman" w:hAnsi="Times New Roman"/>
                <w:noProof/>
              </w:rPr>
              <w:t xml:space="preserve">Pamatojoties uz dalībvalstu ziņojumiem, politiku katru gadu uzraudzīs </w:t>
            </w:r>
            <w:r>
              <w:rPr>
                <w:rFonts w:ascii="Times New Roman" w:hAnsi="Times New Roman"/>
                <w:i/>
                <w:noProof/>
              </w:rPr>
              <w:t>ad hoc</w:t>
            </w:r>
            <w:r>
              <w:rPr>
                <w:rFonts w:ascii="Times New Roman" w:hAnsi="Times New Roman"/>
                <w:noProof/>
              </w:rPr>
              <w:t xml:space="preserve"> ekspertu grupa. Pilna pārskatīšana notiks pēc četriem gadiem. </w:t>
            </w:r>
          </w:p>
        </w:tc>
      </w:tr>
    </w:tbl>
    <w:p>
      <w:pPr>
        <w:rPr>
          <w:noProof/>
        </w:rPr>
      </w:pPr>
    </w:p>
    <w:sectPr>
      <w:headerReference w:type="even" r:id="rId14"/>
      <w:headerReference w:type="default" r:id="rId15"/>
      <w:footerReference w:type="even" r:id="rId16"/>
      <w:footerReference w:type="default" r:id="rId17"/>
      <w:headerReference w:type="first" r:id="rId18"/>
      <w:footerReference w:type="first" r:id="rId19"/>
      <w:pgSz w:w="11906" w:h="16838"/>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03950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Pavaddokuments dokumentam"/>
    <w:docVar w:name="LW_CORRIGENDUM" w:val="&lt;UNUSED&gt;"/>
    <w:docVar w:name="LW_COVERPAGE_EXISTS" w:val="True"/>
    <w:docVar w:name="LW_COVERPAGE_GUID" w:val="C55988AD-4CA0-408B-A539-A79209C0F886"/>
    <w:docVar w:name="LW_COVERPAGE_TYPE" w:val="1"/>
    <w:docVar w:name="LW_CROSSREFERENCE" w:val="{COM(2018) 173 final}_x000b_{SWD(2018) 91 final}_x000b_{SWD(2018) 92 final}"/>
    <w:docVar w:name="LW_DocType" w:val="NORMAL"/>
    <w:docVar w:name="LW_EMISSION" w:val="12.4.2018"/>
    <w:docVar w:name="LW_EMISSION_ISODATE" w:val="2018-04-12"/>
    <w:docVar w:name="LW_EMISSION_LOCATION" w:val="BRX"/>
    <w:docVar w:name="LW_EMISSION_PREFIX" w:val="Briselē, "/>
    <w:docVar w:name="LW_EMISSION_SUFFIX" w:val="."/>
    <w:docVar w:name="LW_ID_DOCTYPE_NONLW" w:val="CP-027"/>
    <w:docVar w:name="LW_LANGUE" w:val="LV"/>
    <w:docVar w:name="LW_LEVEL_OF_SENSITIVITY" w:val="Standard treatment"/>
    <w:docVar w:name="LW_NOM.INST" w:val="EIROPAS KOMISIJA"/>
    <w:docVar w:name="LW_NOM.INST_JOINTDOC" w:val="&lt;EMPTY&gt;"/>
    <w:docVar w:name="LW_OBJETACTEPRINCIPAL.CP" w:val="par netaisn\u299?gu tirdzniec\u299?bas praksi starpuz\u326?\u275?mumu attiec\u299?b\u257?s p\u257?rtikas pieg\u257?des \u311?\u275?d\u275?"/>
    <w:docVar w:name="LW_PART_NBR" w:val="1"/>
    <w:docVar w:name="LW_PART_NBR_TOTAL" w:val="1"/>
    <w:docVar w:name="LW_REF.INST.NEW" w:val="SWD"/>
    <w:docVar w:name="LW_REF.INST.NEW_ADOPTED" w:val="final"/>
    <w:docVar w:name="LW_REF.INST.NEW_TEXT" w:val="(2018) 9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Iniciat\u299?va p\u257?rtikas pieg\u257?des \u311?\u275?des uzlabo\u353?anai (netaisn\u299?ga tirdzniec\u299?bas prakse)"/>
    <w:docVar w:name="LW_TYPE.DOC.CP" w:val="KOMISIJAS DIENESTU DARBA DOKUMENTS_x000b__x000b_IETEKMES NOV\u274?RT\u274?JUMA KOPSAVILKUMS_x000b_"/>
    <w:docVar w:name="LW_TYPEACTEPRINCIPAL.CP" w:val="Priek\u353?likums _x000b__x000b_EIROPAS PARLAMENTA UN PADOMES DIREKT\u298?VA"/>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DefaultChar">
    <w:name w:val="Default Char"/>
    <w:basedOn w:val="DefaultParagraphFont"/>
    <w:link w:val="Default"/>
    <w:rPr>
      <w:rFonts w:ascii="Times New Roman" w:hAnsi="Times New Roman" w:cs="Times New Roman"/>
      <w:color w:val="000000"/>
      <w:sz w:val="24"/>
      <w:szCs w:val="24"/>
    </w:rPr>
  </w:style>
  <w:style w:type="character" w:customStyle="1" w:styleId="FooterSensitivityChar">
    <w:name w:val="Footer Sensitivity Char"/>
    <w:basedOn w:val="DefaultChar"/>
    <w:link w:val="FooterSensitivity"/>
    <w:rPr>
      <w:rFonts w:ascii="Times New Roman" w:hAnsi="Times New Roman" w:cs="Times New Roman"/>
      <w:b/>
      <w:color w:val="000000"/>
      <w:sz w:val="32"/>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Char"/>
    <w:link w:val="HeaderSensitivity"/>
    <w:rPr>
      <w:rFonts w:ascii="Times New Roman" w:hAnsi="Times New Roman" w:cs="Times New Roman"/>
      <w:b/>
      <w:color w:val="000000"/>
      <w:sz w:val="32"/>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DefaultChar">
    <w:name w:val="Default Char"/>
    <w:basedOn w:val="DefaultParagraphFont"/>
    <w:link w:val="Default"/>
    <w:rPr>
      <w:rFonts w:ascii="Times New Roman" w:hAnsi="Times New Roman" w:cs="Times New Roman"/>
      <w:color w:val="000000"/>
      <w:sz w:val="24"/>
      <w:szCs w:val="24"/>
    </w:rPr>
  </w:style>
  <w:style w:type="character" w:customStyle="1" w:styleId="FooterSensitivityChar">
    <w:name w:val="Footer Sensitivity Char"/>
    <w:basedOn w:val="DefaultChar"/>
    <w:link w:val="FooterSensitivity"/>
    <w:rPr>
      <w:rFonts w:ascii="Times New Roman" w:hAnsi="Times New Roman" w:cs="Times New Roman"/>
      <w:b/>
      <w:color w:val="000000"/>
      <w:sz w:val="32"/>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Char"/>
    <w:link w:val="HeaderSensitivity"/>
    <w:rPr>
      <w:rFonts w:ascii="Times New Roman" w:hAnsi="Times New Roman" w:cs="Times New Roman"/>
      <w:b/>
      <w:color w:val="000000"/>
      <w:sz w:val="32"/>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481</Words>
  <Characters>3369</Characters>
  <Application>Microsoft Office Word</Application>
  <DocSecurity>0</DocSecurity>
  <Lines>60</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dcterms:created xsi:type="dcterms:W3CDTF">2018-03-27T06:43:00Z</dcterms:created>
  <dcterms:modified xsi:type="dcterms:W3CDTF">2018-04-19T07:24:00Z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ies>
</file>