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919F69A-BB2F-4A5C-A377-4424E04B7B1D" style="width:450.7pt;height:395.5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CONTEXTUL PROPUNERII</w:t>
      </w:r>
    </w:p>
    <w:p>
      <w:pPr>
        <w:pStyle w:val="ManualHeading2"/>
        <w:rPr>
          <w:noProof/>
        </w:rPr>
      </w:pPr>
      <w:r>
        <w:rPr>
          <w:noProof/>
        </w:rPr>
        <w:t>Motivele și obiectivele propunerii</w:t>
      </w:r>
    </w:p>
    <w:p>
      <w:pPr>
        <w:rPr>
          <w:noProof/>
        </w:rPr>
      </w:pPr>
      <w:r>
        <w:rPr>
          <w:noProof/>
        </w:rPr>
        <w:t>Termenul „vehicule agricole și forestiere” acoperă o gamă largă de diferite tipuri de vehicule care au cel puțin două axe, de exemplu, tractoarele cu ecartament îngust, tractoarele de lățime mare, tractoarele cu șenile, remorcile și echipamentele remorcate interschimbabile, precum rulourile compresoare, motocultivatoarele, semănătoarele.</w:t>
      </w:r>
    </w:p>
    <w:p>
      <w:pPr>
        <w:rPr>
          <w:noProof/>
        </w:rPr>
      </w:pPr>
      <w:r>
        <w:rPr>
          <w:noProof/>
        </w:rPr>
        <w:t>Cerințele pentru omologarea de tip a vehiculelor agricole și forestiere sunt prevăzute în Directiva 2003/37/CE</w:t>
      </w:r>
      <w:r>
        <w:rPr>
          <w:rStyle w:val="FootnoteReference"/>
          <w:noProof/>
        </w:rPr>
        <w:footnoteReference w:id="1"/>
      </w:r>
      <w:r>
        <w:rPr>
          <w:noProof/>
        </w:rPr>
        <w:t xml:space="preserve"> și în directivele de punere în aplicare ale acesteia, care au fost abrogate începând cu 1 ianuarie 2016 și înlocuite de Regulamentul (UE) nr. 167/2013</w:t>
      </w:r>
      <w:r>
        <w:rPr>
          <w:rStyle w:val="FootnoteReference"/>
          <w:noProof/>
        </w:rPr>
        <w:footnoteReference w:id="2"/>
      </w:r>
      <w:r>
        <w:rPr>
          <w:noProof/>
        </w:rPr>
        <w:t xml:space="preserve"> și de patru acte delegate și un act de punere în aplicare ale acestuia.</w:t>
      </w:r>
    </w:p>
    <w:p>
      <w:pPr>
        <w:rPr>
          <w:noProof/>
        </w:rPr>
      </w:pPr>
      <w:r>
        <w:rPr>
          <w:noProof/>
        </w:rPr>
        <w:t>În Regulamentul (UE) nr. 167/2013 sunt prevăzute dispoziții fundamentale privind siguranța în funcționare, securitatea în muncă și performanța de mediu. Prin regulamentul respectiv, Comisia este împuternicită să stabilească cerințele tehnice detaliate corespunzătoare, procedurile de încercare și valorile limită, după caz, în patru acte delegate privind (i) securitatea în muncă (cerințe de construcție a vehiculului); (ii) siguranța în funcționare; (iii) frânarea; și (iv) performanțele de mediu și de propulsie. Aceste patru acte delegate au fost publicate în JOUE între decembrie 2014 și februarie 2015.</w:t>
      </w:r>
    </w:p>
    <w:p>
      <w:pPr>
        <w:rPr>
          <w:noProof/>
        </w:rPr>
      </w:pPr>
      <w:r>
        <w:rPr>
          <w:noProof/>
        </w:rPr>
        <w:t>Regulamentul (UE) nr. 167/2013 a limitat împuternicirile Comisiei de a adopta acte delegate la o perioadă de cinci ani, care va expira la 21 martie 2018. Întrucât există o nevoie permanentă de a adapta elemente ale acestor acte delegate la progresul tehnic sau de a aduce alte modificări în conformitate cu împuternicirea Comisiei, proiectul de propunere modifică, de asemenea, articolul 71 alineatul (2) din Regulamentul (UE) nr. 167/2013 pentru a se acorda competența de a adopta acte delegate timp de încă cinci ani cu posibilitatea de prelungire tacită.</w:t>
      </w:r>
    </w:p>
    <w:p>
      <w:pPr>
        <w:rPr>
          <w:noProof/>
        </w:rPr>
      </w:pPr>
      <w:r>
        <w:rPr>
          <w:noProof/>
        </w:rPr>
        <w:t>În plus, anumiți termeni și anumite erori de redactare din Regulamentului (UE) nr. 167/2013 trebuie corectate, precum și un număr limitat de puncte trebuie aliniate la progresul tehnic ca urmare a primei perioade de punere în aplicare a acestor acte.</w:t>
      </w:r>
    </w:p>
    <w:p>
      <w:pPr>
        <w:rPr>
          <w:noProof/>
        </w:rPr>
      </w:pPr>
      <w:r>
        <w:rPr>
          <w:noProof/>
        </w:rPr>
        <w:t>Întrucât cerințele de omologare de tip din Regulamentul (UE) nr. 167/2013 au fost deja aplicabile în mod obligatoriu începând cu 1 ianuarie 2016, acest act este propus spre adoptare cât mai curând posibil, fără să se prevadă, spre deosebire de cazul majorității actelor de omologare de tip, o dată de aplicare separată.</w:t>
      </w:r>
    </w:p>
    <w:p>
      <w:pPr>
        <w:pStyle w:val="ManualHeading1"/>
        <w:rPr>
          <w:noProof/>
        </w:rPr>
      </w:pPr>
      <w:r>
        <w:rPr>
          <w:noProof/>
        </w:rPr>
        <w:t>2.</w:t>
      </w:r>
      <w:r>
        <w:rPr>
          <w:noProof/>
        </w:rPr>
        <w:tab/>
        <w:t>TEMEI JURIDIC, SUBSIDIARITATE ȘI PROPORȚIONALITATE</w:t>
      </w:r>
    </w:p>
    <w:p>
      <w:pPr>
        <w:pStyle w:val="ManualHeading2"/>
        <w:rPr>
          <w:noProof/>
        </w:rPr>
      </w:pPr>
      <w:r>
        <w:rPr>
          <w:noProof/>
        </w:rPr>
        <w:t>•</w:t>
      </w:r>
      <w:r>
        <w:rPr>
          <w:noProof/>
        </w:rPr>
        <w:tab/>
        <w:t>Temeiul juridic</w:t>
      </w:r>
    </w:p>
    <w:p>
      <w:pPr>
        <w:rPr>
          <w:noProof/>
        </w:rPr>
      </w:pPr>
      <w:r>
        <w:rPr>
          <w:noProof/>
        </w:rPr>
        <w:t>Temeiul juridic al prezentului act este identic cu cel al actului care trebuie modificat, articolul 114 din Tratatul privind funcționarea Uniunii Europene.</w:t>
      </w:r>
    </w:p>
    <w:p>
      <w:pPr>
        <w:pStyle w:val="ManualHeading2"/>
        <w:rPr>
          <w:rFonts w:eastAsia="Arial Unicode MS"/>
          <w:noProof/>
          <w:u w:color="000000"/>
          <w:bdr w:val="nil"/>
        </w:rPr>
      </w:pPr>
      <w:r>
        <w:rPr>
          <w:noProof/>
        </w:rPr>
        <w:lastRenderedPageBreak/>
        <w:t>•</w:t>
      </w:r>
      <w:r>
        <w:rPr>
          <w:noProof/>
        </w:rPr>
        <w:tab/>
        <w:t>Subsidiaritate</w:t>
      </w:r>
    </w:p>
    <w:p>
      <w:pPr>
        <w:rPr>
          <w:noProof/>
        </w:rPr>
      </w:pPr>
      <w:r>
        <w:rPr>
          <w:noProof/>
        </w:rPr>
        <w:t xml:space="preserve">Prin Regulamentul (UE) nr. 167/2013 sunt stabilite cerințele de omologare UE de tip cu scopul obținerii unei armonizări totale a dispozițiilor la nivelul UE. Din acest motiv, corecțiile și modificările la Regulamentul (UE) nr. 167/2013 pot fi făcute numai de către Uniune. Acest fapt nu numai că previne fragmentarea pieței interne, dar asigură și standarde de mediu și de siguranță egale în întreaga Uniune. De asemenea, oferă avantajele economiei de scară: produsele pot fi realizate pentru întreaga piață a Uniunii, în loc ca acestea să fie adaptate pentru a obține omologarea de tip națională din fiecare stat membru.  </w:t>
      </w:r>
    </w:p>
    <w:p>
      <w:pPr>
        <w:rPr>
          <w:noProof/>
        </w:rPr>
      </w:pPr>
      <w:r>
        <w:rPr>
          <w:noProof/>
        </w:rPr>
        <w:t>Din aceste motive, prezenta propunere respectă principiul subsidiarității.</w:t>
      </w:r>
    </w:p>
    <w:p>
      <w:pPr>
        <w:rPr>
          <w:noProof/>
        </w:rPr>
      </w:pPr>
    </w:p>
    <w:p>
      <w:pPr>
        <w:pStyle w:val="ManualHeading2"/>
        <w:rPr>
          <w:noProof/>
        </w:rPr>
      </w:pPr>
      <w:r>
        <w:rPr>
          <w:noProof/>
        </w:rPr>
        <w:t>•</w:t>
      </w:r>
      <w:r>
        <w:rPr>
          <w:noProof/>
        </w:rPr>
        <w:tab/>
        <w:t>Proporționalitatea</w:t>
      </w:r>
    </w:p>
    <w:p>
      <w:pPr>
        <w:rPr>
          <w:noProof/>
        </w:rPr>
      </w:pPr>
      <w:r>
        <w:rPr>
          <w:noProof/>
        </w:rPr>
        <w:t>Regulamentul (UE) nr. 167/2013 care cuprinde cerințe pentru omologarea UE de tip se bazează pe principiul armonizării totale. Corecturile și modificările care urmează să fie introduse în cerințele din Regulamentul (UE) nr. 167/2013 pe baza constatărilor din prima perioadă de punere în aplicare sunt, prin urmare, considerate cele mai adecvate pentru a atinge obiectivul subliniat în considerentul (11) din Regulamentul (UE) nr. 167/2013, anume acela de a stabili cerințe tehnice pentru a se obține un nivel ridicat de siguranță a vehiculelor și de performanță de mediu.</w:t>
      </w:r>
    </w:p>
    <w:p>
      <w:pPr>
        <w:pStyle w:val="ManualHeading2"/>
        <w:rPr>
          <w:noProof/>
        </w:rPr>
      </w:pPr>
      <w:r>
        <w:rPr>
          <w:noProof/>
        </w:rPr>
        <w:t>•</w:t>
      </w:r>
      <w:r>
        <w:rPr>
          <w:noProof/>
        </w:rPr>
        <w:tab/>
        <w:t>Alegerea instrumentului</w:t>
      </w:r>
    </w:p>
    <w:p>
      <w:pPr>
        <w:rPr>
          <w:noProof/>
        </w:rPr>
      </w:pPr>
      <w:r>
        <w:rPr>
          <w:noProof/>
        </w:rPr>
        <w:t>Utilizarea unui regulament este considerată oportună, deoarece acesta modifică regulamentul existent.</w:t>
      </w:r>
    </w:p>
    <w:p>
      <w:pPr>
        <w:pStyle w:val="ManualHeading1"/>
        <w:rPr>
          <w:noProof/>
        </w:rPr>
      </w:pPr>
      <w:r>
        <w:rPr>
          <w:noProof/>
        </w:rPr>
        <w:t>3.</w:t>
      </w:r>
      <w:r>
        <w:rPr>
          <w:noProof/>
        </w:rPr>
        <w:tab/>
        <w:t>REZULTATELE EVALUĂRILOR EX POST, ALE CONSULTĂRILOR CU PĂRȚILE INTERESATE ȘI ALE EVALUĂRII IMPACTULUI</w:t>
      </w:r>
    </w:p>
    <w:p>
      <w:pPr>
        <w:pStyle w:val="ManualHeading2"/>
        <w:rPr>
          <w:noProof/>
        </w:rPr>
      </w:pPr>
      <w:r>
        <w:rPr>
          <w:noProof/>
        </w:rPr>
        <w:t>•</w:t>
      </w:r>
      <w:r>
        <w:rPr>
          <w:noProof/>
        </w:rPr>
        <w:tab/>
        <w:t>Evaluările ex post/verificarea adecvării legislației existente</w:t>
      </w:r>
    </w:p>
    <w:p>
      <w:pPr>
        <w:rPr>
          <w:noProof/>
        </w:rPr>
      </w:pPr>
      <w:r>
        <w:rPr>
          <w:noProof/>
        </w:rPr>
        <w:t>Comisia dorește să adapteze la progresul tehnic Regulamentul (UE) nr. 167/2013 prin actualizarea anumitor cerințe și corectarea anumite erori de redactare în urma feedbackului primit de părțile interesate și de statele membre în prima perioadă de punere în aplicare. Mai exact, în prezentul act, sunt introduse clarificări pentru două definiții ale categoriilor de tractoare și sunt corectați anumiți termeni importanți pentru aplicarea uniformă a regulamentului fără interpretări posibile, precum și trimiterile la un act legislativ abrogat.</w:t>
      </w:r>
    </w:p>
    <w:p>
      <w:pPr>
        <w:rPr>
          <w:noProof/>
        </w:rPr>
      </w:pPr>
      <w:r>
        <w:rPr>
          <w:noProof/>
        </w:rPr>
        <w:t>De asemenea, prin prezentul act este extinsă împuternicirea acordată Comisiei de a adopta acte delegate pentru încă cinci ani și este stabilită înnoirea tacită a acesteia, cu excepția cazului în care Consiliul sau Parlamentul European formulează în mod expres obiecții față de aceasta.  Comisia a primit deja din partea părților interesate și a statelor membre solicitări de a extinde această împuternicire.</w:t>
      </w:r>
    </w:p>
    <w:p>
      <w:pPr>
        <w:pStyle w:val="ManualHeading2"/>
        <w:rPr>
          <w:noProof/>
        </w:rPr>
      </w:pPr>
      <w:r>
        <w:rPr>
          <w:noProof/>
        </w:rPr>
        <w:t>•</w:t>
      </w:r>
      <w:r>
        <w:rPr>
          <w:noProof/>
        </w:rPr>
        <w:tab/>
        <w:t>Consultări cu părțile interesate</w:t>
      </w:r>
    </w:p>
    <w:p>
      <w:pPr>
        <w:rPr>
          <w:noProof/>
        </w:rPr>
      </w:pPr>
      <w:r>
        <w:rPr>
          <w:noProof/>
        </w:rPr>
        <w:t xml:space="preserve">La 13 iunie 2017, Comisia a informat participanții la Grupul de lucru privind tractoarele agricole (denumit în continuare WGAT - </w:t>
      </w:r>
      <w:r>
        <w:rPr>
          <w:i/>
          <w:noProof/>
        </w:rPr>
        <w:t>Working Group on Agricultural Tractors</w:t>
      </w:r>
      <w:r>
        <w:rPr>
          <w:noProof/>
        </w:rPr>
        <w:t xml:space="preserve">) cu privire la intenția sa de a înainta această propunere și a explicat pe scurt conținutul și contextul acesteia. Deși nu a existat nicio posibilitate de feedback din cauza procedurii politice de validare aflate în desfășurare la momentul WGAT, până în prezent nu a existat nicio reacție din partea părților interesate, a autorităților de omologare, a serviciilor tehnice sau a partenerilor sociali. Cu toate acestea, dispozițiile actului anexat se bazează pe cereri corespunzătoare formulate de statele membre și de părțile interesate. Din acest motiv, se </w:t>
      </w:r>
      <w:r>
        <w:rPr>
          <w:noProof/>
        </w:rPr>
        <w:lastRenderedPageBreak/>
        <w:t>preconizează că acestea vor sprijini proiectul de document anexat în discuțiile referitoare la acesta prevăzute pentru al doilea trimestru al anului 2018, în paralel cu consultarea interservicii.</w:t>
      </w:r>
    </w:p>
    <w:p>
      <w:pPr>
        <w:rPr>
          <w:noProof/>
        </w:rPr>
        <w:sectPr>
          <w:footerReference w:type="default" r:id="rId16"/>
          <w:footerReference w:type="first" r:id="rId17"/>
          <w:pgSz w:w="11907" w:h="16839"/>
          <w:pgMar w:top="1134" w:right="1417" w:bottom="1134" w:left="1417" w:header="709" w:footer="709" w:gutter="0"/>
          <w:pgNumType w:start="1"/>
          <w:cols w:space="708"/>
          <w:docGrid w:linePitch="360"/>
        </w:sectPr>
      </w:pPr>
    </w:p>
    <w:p>
      <w:pPr>
        <w:pStyle w:val="Rfrenceinterinstitutionnelle"/>
        <w:rPr>
          <w:noProof/>
        </w:rPr>
      </w:pPr>
      <w:r>
        <w:rPr>
          <w:noProof/>
        </w:rPr>
        <w:lastRenderedPageBreak/>
        <w:t>2018/0142 (COD)</w:t>
      </w:r>
    </w:p>
    <w:p>
      <w:pPr>
        <w:pStyle w:val="Statut"/>
        <w:rPr>
          <w:noProof/>
        </w:rPr>
      </w:pPr>
      <w:r>
        <w:rPr>
          <w:noProof/>
        </w:rPr>
        <w:t>Propunere de</w:t>
      </w:r>
    </w:p>
    <w:p>
      <w:pPr>
        <w:pStyle w:val="Typedudocument"/>
        <w:rPr>
          <w:noProof/>
        </w:rPr>
      </w:pPr>
      <w:r>
        <w:rPr>
          <w:noProof/>
        </w:rPr>
        <w:t>REGULAMENT AL PARLAMENTULUI EUROPEAN ŞI AL CONSILIULUI</w:t>
      </w:r>
    </w:p>
    <w:p>
      <w:pPr>
        <w:pStyle w:val="Titreobjet"/>
        <w:rPr>
          <w:noProof/>
        </w:rPr>
      </w:pPr>
      <w:r>
        <w:rPr>
          <w:noProof/>
        </w:rPr>
        <w:t>de modificare și corectare a Regulamentului (UE) nr. 167/2013 privind omologarea și supravegherea pieței vehiculelor agricole și forestiere</w:t>
      </w:r>
    </w:p>
    <w:p>
      <w:pPr>
        <w:pStyle w:val="IntrtEEE"/>
        <w:rPr>
          <w:noProof/>
        </w:rPr>
      </w:pPr>
      <w:r>
        <w:rPr>
          <w:noProof/>
        </w:rPr>
        <w:t>(Text cu relevanță pentru SEE)</w:t>
      </w:r>
    </w:p>
    <w:p>
      <w:pPr>
        <w:pStyle w:val="Institutionquiagit"/>
        <w:rPr>
          <w:noProof/>
        </w:rPr>
      </w:pPr>
      <w:r>
        <w:rPr>
          <w:noProof/>
        </w:rPr>
        <w:t>PARLAMENTUL EUROPEAN ȘI CONSILIUL UNIUNII EUROPENE,</w:t>
      </w:r>
    </w:p>
    <w:p>
      <w:pPr>
        <w:rPr>
          <w:noProof/>
        </w:rPr>
      </w:pPr>
      <w:r>
        <w:rPr>
          <w:noProof/>
        </w:rPr>
        <w:t>având în vedere Tratatul privind funcționarea Uniunii Europene, în special articolul 114,</w:t>
      </w:r>
    </w:p>
    <w:p>
      <w:pPr>
        <w:rPr>
          <w:noProof/>
        </w:rPr>
      </w:pPr>
      <w:r>
        <w:rPr>
          <w:noProof/>
        </w:rPr>
        <w:t>având în vedere propunerea Comisiei Europene,</w:t>
      </w:r>
    </w:p>
    <w:p>
      <w:pPr>
        <w:rPr>
          <w:noProof/>
        </w:rPr>
      </w:pPr>
      <w:r>
        <w:rPr>
          <w:noProof/>
        </w:rPr>
        <w:t>după transmiterea proiectului de act legislativ către parlamentele naționale,</w:t>
      </w:r>
    </w:p>
    <w:p>
      <w:pPr>
        <w:rPr>
          <w:noProof/>
        </w:rPr>
      </w:pPr>
      <w:r>
        <w:rPr>
          <w:noProof/>
        </w:rPr>
        <w:t>având în vedere avizul Comitetului Economic și Social European,</w:t>
      </w:r>
    </w:p>
    <w:p>
      <w:pPr>
        <w:rPr>
          <w:noProof/>
        </w:rPr>
      </w:pPr>
      <w:r>
        <w:rPr>
          <w:noProof/>
        </w:rPr>
        <w:t>hotărând în conformitate cu procedura legislativă ordinară,</w:t>
      </w:r>
    </w:p>
    <w:p>
      <w:pPr>
        <w:rPr>
          <w:noProof/>
        </w:rPr>
      </w:pPr>
    </w:p>
    <w:p>
      <w:pPr>
        <w:rPr>
          <w:noProof/>
        </w:rPr>
      </w:pPr>
      <w:r>
        <w:rPr>
          <w:noProof/>
        </w:rPr>
        <w:t>întrucât:</w:t>
      </w:r>
    </w:p>
    <w:p>
      <w:pPr>
        <w:pStyle w:val="ManualConsidrant"/>
        <w:rPr>
          <w:noProof/>
        </w:rPr>
      </w:pPr>
      <w:r>
        <w:t>(1)</w:t>
      </w:r>
      <w:r>
        <w:tab/>
      </w:r>
      <w:r>
        <w:rPr>
          <w:noProof/>
        </w:rPr>
        <w:t>Descrierile categoriilor de vehicule T1 și T2 necesită clarificări cu privire la poziția axei celei mai apropiate de conducător pentru tractoarele cu post de conducere reversibil și cu privire la metoda de calcul a înălțimii centrului de greutate. În vederea stabilirii precise și uniforme a înălțimii centrului de greutate pentru vehiculele din categoria T2, ar trebui făcută trimitere la standardele internaționale aplicabile în care este determinat centrul de greutate al unui tractor.</w:t>
      </w:r>
    </w:p>
    <w:p>
      <w:pPr>
        <w:pStyle w:val="ManualConsidrant"/>
        <w:rPr>
          <w:noProof/>
        </w:rPr>
      </w:pPr>
      <w:r>
        <w:t>(2)</w:t>
      </w:r>
      <w:r>
        <w:tab/>
      </w:r>
      <w:r>
        <w:rPr>
          <w:noProof/>
        </w:rPr>
        <w:t>Regulamentul (UE) nr. 167/2013 împuternicește Comisia să adopte acte delegate pe o perioadă de cinci ani, care va expira la 21 martie 2018. Întrucât există o nevoie permanentă de a actualiza diverse elemente ale procesului de omologare de tip astfel cum este prevăzut în Regulamentul (UE) nr. 167/2013 și în actele adoptate în temeiul său,  în special pentru adaptarea sa la progresul tehnic sau pentru introducerea de corecturi, perioada de exercitare a competenței delegate prevăzute în regulamentul respectiv ar trebui să fie prelungită, cu posibilitatea, de asemenea, a unor prelungiri tacite ulterioare.</w:t>
      </w:r>
    </w:p>
    <w:p>
      <w:pPr>
        <w:pStyle w:val="ManualConsidrant"/>
        <w:rPr>
          <w:noProof/>
        </w:rPr>
      </w:pPr>
      <w:r>
        <w:t>(3)</w:t>
      </w:r>
      <w:r>
        <w:tab/>
      </w:r>
      <w:r>
        <w:rPr>
          <w:noProof/>
        </w:rPr>
        <w:t>În considerentul (28) și la articolul 76 alineatul (1) din Regulamentul (UE) nr. 167/2013 al Parlamentului European și al Consiliului</w:t>
      </w:r>
      <w:r>
        <w:rPr>
          <w:rStyle w:val="FootnoteReference"/>
          <w:noProof/>
        </w:rPr>
        <w:footnoteReference w:id="3"/>
      </w:r>
      <w:r>
        <w:rPr>
          <w:noProof/>
        </w:rPr>
        <w:t>, se face în mod eronat referire la abrogarea Directivei 74/347/CEE a Consiliului</w:t>
      </w:r>
      <w:r>
        <w:rPr>
          <w:rStyle w:val="FootnoteReference"/>
          <w:noProof/>
        </w:rPr>
        <w:footnoteReference w:id="4"/>
      </w:r>
      <w:r>
        <w:rPr>
          <w:noProof/>
        </w:rPr>
        <w:t xml:space="preserve">, în loc de abrogarea Directivei </w:t>
      </w:r>
      <w:r>
        <w:rPr>
          <w:noProof/>
        </w:rPr>
        <w:lastRenderedPageBreak/>
        <w:t>2008/2/CE</w:t>
      </w:r>
      <w:r>
        <w:rPr>
          <w:rStyle w:val="FootnoteReference"/>
          <w:noProof/>
        </w:rPr>
        <w:footnoteReference w:id="5"/>
      </w:r>
      <w:r>
        <w:rPr>
          <w:noProof/>
        </w:rPr>
        <w:t>, care a codificat directiva anterioară. Din acest motiv, este necesară corectarea acestor referințe în Regulamentul (UE) nr. 167/2013.</w:t>
      </w:r>
    </w:p>
    <w:p>
      <w:pPr>
        <w:pStyle w:val="ManualConsidrant"/>
        <w:rPr>
          <w:noProof/>
        </w:rPr>
      </w:pPr>
      <w:r>
        <w:t>(4)</w:t>
      </w:r>
      <w:r>
        <w:tab/>
      </w:r>
      <w:r>
        <w:rPr>
          <w:noProof/>
        </w:rPr>
        <w:t>La articolul 2 alineatul (2) din Regulamentul (UE) nr. 167/2013, termenul „echipamente interschimbabile” ar trebui înlocuit cu termenul „echipamente tractate interschimbabile” în vederea asigurării unei utilizări corecte și coerente a terminologiei în întregul regulament.</w:t>
      </w:r>
    </w:p>
    <w:p>
      <w:pPr>
        <w:pStyle w:val="ManualConsidrant"/>
        <w:rPr>
          <w:noProof/>
        </w:rPr>
      </w:pPr>
      <w:r>
        <w:t>(5)</w:t>
      </w:r>
      <w:r>
        <w:tab/>
      </w:r>
      <w:r>
        <w:rPr>
          <w:noProof/>
        </w:rPr>
        <w:t xml:space="preserve"> La articolul 12 alineatul (3) din Regulamentul (UE) nr. 167/2013, importatorilor li se cere în mod eronat să păstreze o copie a certificatului de conformitate, în loc cea a certificatului de omologare de tip pentru produsele care nu sunt conforme cu regulamentul respectiv sau care prezintă un risc grav. Din acest motiv, articolul 12 alineatul (3) ar trebui corectat pentru trimitere la documentul corespunzător.</w:t>
      </w:r>
    </w:p>
    <w:p>
      <w:pPr>
        <w:pStyle w:val="ManualConsidrant"/>
        <w:rPr>
          <w:noProof/>
        </w:rPr>
      </w:pPr>
      <w:r>
        <w:t>(6)</w:t>
      </w:r>
      <w:r>
        <w:tab/>
      </w:r>
      <w:r>
        <w:rPr>
          <w:noProof/>
        </w:rPr>
        <w:t>La articolul 25 alineatul (1) din Regulamentul (UE) nr. 167/2013 se prevede în mod eronat că un certificat de omologare UE de tip trebuie să conțină, în anexă, rezultatele încercărilor, în loc de fișa cu rezultatele încercărilor. Din acest motiv, articolul 25 alineatul (1) ar trebui corectat pentru a face trimitere la anexa corespunzătoare.</w:t>
      </w:r>
    </w:p>
    <w:p>
      <w:pPr>
        <w:pStyle w:val="ManualConsidrant"/>
        <w:rPr>
          <w:noProof/>
        </w:rPr>
      </w:pPr>
      <w:r>
        <w:t>(7)</w:t>
      </w:r>
      <w:r>
        <w:tab/>
      </w:r>
      <w:r>
        <w:rPr>
          <w:noProof/>
        </w:rPr>
        <w:t>Dat fiind că prezentul regulament modifică Regulamentul (UE) nr. 167/2013 fără a-i extinde conținutul normativ și întrucât obiectivul prezentului regulament nu poate fi îndeplinit într-o măsură suficientă de statele membre, ci, mai curând, datorită dimensiunii și efectelor acțiunii, poate fi îndeplinit mai bine la nivelul Uniunii, Uniunea poate adopta măsuri, în conformitate cu principiul subsidiarității, astfel cum se prevede la articolul 5 din Tratatul privind Uniunea Europeană. În conformitate cu principiul proporționalității, astfel cum este prevăzut la același articol, prezentul regulament nu depășește ceea ce este necesar pentru îndeplinirea respectivelor obiective.</w:t>
      </w:r>
    </w:p>
    <w:p>
      <w:pPr>
        <w:pStyle w:val="ManualConsidrant"/>
        <w:rPr>
          <w:noProof/>
        </w:rPr>
      </w:pPr>
      <w:r>
        <w:t>(8)</w:t>
      </w:r>
      <w:r>
        <w:tab/>
      </w:r>
      <w:r>
        <w:rPr>
          <w:noProof/>
        </w:rPr>
        <w:t>Prin urmare, Regulamentul (UE) nr. 167/2013 ar trebui modificat și corectat în consecință,</w:t>
      </w:r>
    </w:p>
    <w:p>
      <w:pPr>
        <w:pStyle w:val="Formuledadoption"/>
        <w:rPr>
          <w:noProof/>
        </w:rPr>
      </w:pPr>
      <w:r>
        <w:rPr>
          <w:noProof/>
        </w:rPr>
        <w:t>ADOPTĂ PREZENTUL REGULAMENT:</w:t>
      </w:r>
    </w:p>
    <w:p>
      <w:pPr>
        <w:pStyle w:val="Titrearticle"/>
        <w:rPr>
          <w:noProof/>
        </w:rPr>
      </w:pPr>
      <w:r>
        <w:rPr>
          <w:noProof/>
        </w:rPr>
        <w:t>Articolul 1</w:t>
      </w:r>
    </w:p>
    <w:p>
      <w:pPr>
        <w:jc w:val="center"/>
        <w:rPr>
          <w:noProof/>
        </w:rPr>
      </w:pPr>
      <w:r>
        <w:rPr>
          <w:i/>
          <w:noProof/>
        </w:rPr>
        <w:t>Modificări ale Regulamentului (UE) nr. 167/2013</w:t>
      </w:r>
    </w:p>
    <w:p>
      <w:pPr>
        <w:rPr>
          <w:noProof/>
        </w:rPr>
      </w:pPr>
    </w:p>
    <w:p>
      <w:pPr>
        <w:rPr>
          <w:noProof/>
        </w:rPr>
      </w:pPr>
      <w:r>
        <w:rPr>
          <w:noProof/>
        </w:rPr>
        <w:t>Regulamentul (UE) nr. 167/2013 se modifică după cum urmează:</w:t>
      </w:r>
    </w:p>
    <w:p>
      <w:pPr>
        <w:pStyle w:val="Point0number"/>
        <w:numPr>
          <w:ilvl w:val="0"/>
          <w:numId w:val="11"/>
        </w:numPr>
        <w:rPr>
          <w:noProof/>
        </w:rPr>
      </w:pPr>
      <w:r>
        <w:rPr>
          <w:noProof/>
        </w:rPr>
        <w:t xml:space="preserve"> Articolul 4 se modifică după cum urmează:</w:t>
      </w:r>
    </w:p>
    <w:p>
      <w:pPr>
        <w:pStyle w:val="Text1"/>
        <w:rPr>
          <w:noProof/>
        </w:rPr>
      </w:pPr>
      <w:r>
        <w:rPr>
          <w:noProof/>
        </w:rPr>
        <w:t>(a) la punctul 2, se adaugă următoarea teză:</w:t>
      </w:r>
    </w:p>
    <w:p>
      <w:pPr>
        <w:pStyle w:val="Text1"/>
        <w:rPr>
          <w:noProof/>
        </w:rPr>
      </w:pPr>
      <w:r>
        <w:rPr>
          <w:noProof/>
        </w:rPr>
        <w:t>„pentru tractoare cu post de conducere reversibil (scaun și volan reversibile), axa cea mai apropiată de conducător este cea echipată cu pneurile cu cel mai mare diametru;”;</w:t>
      </w:r>
    </w:p>
    <w:p>
      <w:pPr>
        <w:pStyle w:val="Text1"/>
        <w:rPr>
          <w:i/>
          <w:noProof/>
        </w:rPr>
      </w:pPr>
      <w:r>
        <w:rPr>
          <w:noProof/>
        </w:rPr>
        <w:t>(b) la punctul 3, textul „măsurată față de sol” se înlocuiește cu textul „determinată în conformitate cu standardul ISO 789-6:1982 și măsurată față de sol”;</w:t>
      </w:r>
    </w:p>
    <w:p>
      <w:pPr>
        <w:pStyle w:val="Point0number"/>
        <w:rPr>
          <w:noProof/>
        </w:rPr>
      </w:pPr>
      <w:r>
        <w:rPr>
          <w:noProof/>
        </w:rPr>
        <w:t>La articolul 71, alineatul (2) se înlocuiește cu următorul text:</w:t>
      </w:r>
    </w:p>
    <w:p>
      <w:pPr>
        <w:pStyle w:val="Text1"/>
        <w:rPr>
          <w:noProof/>
        </w:rPr>
      </w:pPr>
      <w:r>
        <w:rPr>
          <w:noProof/>
        </w:rPr>
        <w:lastRenderedPageBreak/>
        <w:t>„2. Competența de a adopta acte delegate menționată la articolul 17 alineatul (5), la articolul 18 alineatul (4), la articolul 19 alineatul (6), la articolul 20 alineatul (8), la articolul 27 alineatul (6), la articolul 28 alineatul (6), la articolul 45 alineatul (4), la articolul 49 alineatul (3), la articolul 53 alineatul (12), la articolul 61 și la articolul 70 se conferă Comisiei pe o perioadă de zece ani începând cu 22 martie 2013. Delegarea de competențe se prelungește tacit cu perioade ulterioare de cinci ani, cu excepția cazului în care Parlamentul European sau Consiliul se opune prelungirii respective cel târziu cu trei luni înainte de încheierea fiecărei perioade. Comisia întocmește un raport cu privire la delegarea de competențe cel târziu la 22 iunie 2022 și cel târziu cu nouă luni înainte de încheierea fiecărei perioade de cinci ani succesive.”</w:t>
      </w:r>
    </w:p>
    <w:p>
      <w:pPr>
        <w:pStyle w:val="Titrearticle"/>
        <w:rPr>
          <w:noProof/>
        </w:rPr>
      </w:pPr>
      <w:r>
        <w:rPr>
          <w:noProof/>
        </w:rPr>
        <w:t>Articolul 2</w:t>
      </w:r>
    </w:p>
    <w:p>
      <w:pPr>
        <w:jc w:val="center"/>
        <w:rPr>
          <w:noProof/>
        </w:rPr>
      </w:pPr>
      <w:r>
        <w:rPr>
          <w:i/>
          <w:noProof/>
        </w:rPr>
        <w:t>Corecturi aduse Regulamentului (UE) nr. 167/2013</w:t>
      </w:r>
    </w:p>
    <w:p>
      <w:pPr>
        <w:rPr>
          <w:noProof/>
        </w:rPr>
      </w:pPr>
      <w:r>
        <w:rPr>
          <w:noProof/>
        </w:rPr>
        <w:t>Regulamentul (UE) nr. 167/2013 se corectează după cum urmează:</w:t>
      </w:r>
    </w:p>
    <w:p>
      <w:pPr>
        <w:rPr>
          <w:noProof/>
        </w:rPr>
      </w:pPr>
      <w:r>
        <w:rPr>
          <w:noProof/>
        </w:rPr>
        <w:t>(1)</w:t>
      </w:r>
      <w:r>
        <w:rPr>
          <w:noProof/>
        </w:rPr>
        <w:tab/>
        <w:t>considerentul (28) se rectifică după cum urmează:</w:t>
      </w:r>
    </w:p>
    <w:p>
      <w:pPr>
        <w:ind w:firstLine="720"/>
        <w:rPr>
          <w:noProof/>
        </w:rPr>
      </w:pPr>
      <w:r>
        <w:rPr>
          <w:noProof/>
        </w:rPr>
        <w:t>(a) a doua liniuță se elimină;</w:t>
      </w:r>
    </w:p>
    <w:p>
      <w:pPr>
        <w:ind w:left="720"/>
        <w:rPr>
          <w:noProof/>
        </w:rPr>
      </w:pPr>
      <w:r>
        <w:rPr>
          <w:noProof/>
        </w:rPr>
        <w:t>(b) după liniuța referitoare la Directiva 2000/25/CE a Parlamentului European și a Consiliului, se introduce următoarea liniuță:</w:t>
      </w:r>
    </w:p>
    <w:p>
      <w:pPr>
        <w:ind w:left="720"/>
        <w:rPr>
          <w:noProof/>
        </w:rPr>
      </w:pPr>
      <w:r>
        <w:rPr>
          <w:noProof/>
        </w:rPr>
        <w:t>„-Directiva 2008/2/CE a Parlamentului European și a Consiliului din 15 ianuarie 2008 cu privire la câmpul vizual și la ștergătoarele de parbriz ale tractoarelor agricole sau forestiere pe roți(*),</w:t>
      </w:r>
    </w:p>
    <w:p>
      <w:pPr>
        <w:rPr>
          <w:noProof/>
        </w:rPr>
      </w:pPr>
      <w:r>
        <w:rPr>
          <w:noProof/>
        </w:rPr>
        <w:t>___________________________________________________________________</w:t>
      </w:r>
    </w:p>
    <w:p>
      <w:pPr>
        <w:ind w:firstLine="720"/>
        <w:rPr>
          <w:noProof/>
        </w:rPr>
      </w:pPr>
      <w:r>
        <w:rPr>
          <w:noProof/>
        </w:rPr>
        <w:t>(*) JO L 24, 29.1.2008, p. 30.”;</w:t>
      </w:r>
    </w:p>
    <w:p>
      <w:pPr>
        <w:rPr>
          <w:noProof/>
        </w:rPr>
      </w:pPr>
    </w:p>
    <w:p>
      <w:pPr>
        <w:ind w:left="720" w:hanging="720"/>
        <w:rPr>
          <w:noProof/>
        </w:rPr>
      </w:pPr>
      <w:r>
        <w:rPr>
          <w:noProof/>
        </w:rPr>
        <w:t>(2)</w:t>
      </w:r>
      <w:r>
        <w:rPr>
          <w:noProof/>
        </w:rPr>
        <w:tab/>
        <w:t>la articolul 2 alineatul (2), cuvântul „echipamentelor” se înlocuiește cu cuvintele „echipamentelor remorcate”;</w:t>
      </w:r>
    </w:p>
    <w:p>
      <w:pPr>
        <w:ind w:left="720" w:hanging="720"/>
        <w:rPr>
          <w:noProof/>
        </w:rPr>
      </w:pPr>
      <w:r>
        <w:rPr>
          <w:noProof/>
        </w:rPr>
        <w:t>(3)</w:t>
      </w:r>
      <w:r>
        <w:rPr>
          <w:noProof/>
        </w:rPr>
        <w:tab/>
        <w:t>la articolul 12 alineatul (3), textul „certificatului de conformitate” se înlocuiește cu textul „certificatului de omologare de tip”;</w:t>
      </w:r>
    </w:p>
    <w:p>
      <w:pPr>
        <w:ind w:left="720" w:hanging="720"/>
        <w:rPr>
          <w:noProof/>
        </w:rPr>
      </w:pPr>
      <w:r>
        <w:rPr>
          <w:noProof/>
        </w:rPr>
        <w:t>(4)</w:t>
      </w:r>
      <w:r>
        <w:rPr>
          <w:noProof/>
        </w:rPr>
        <w:tab/>
        <w:t>la articolul 25 alineatul (1), litera (b) se înlocuiește cu următorul text:</w:t>
      </w:r>
    </w:p>
    <w:p>
      <w:pPr>
        <w:ind w:left="2160" w:hanging="1440"/>
        <w:rPr>
          <w:noProof/>
        </w:rPr>
      </w:pPr>
      <w:r>
        <w:rPr>
          <w:noProof/>
        </w:rPr>
        <w:t>„(b) fișa cu rezultatele încercărilor;”;</w:t>
      </w:r>
    </w:p>
    <w:p>
      <w:pPr>
        <w:ind w:left="720" w:hanging="720"/>
        <w:rPr>
          <w:noProof/>
        </w:rPr>
      </w:pPr>
      <w:r>
        <w:rPr>
          <w:noProof/>
        </w:rPr>
        <w:t>(5)</w:t>
      </w:r>
      <w:r>
        <w:rPr>
          <w:noProof/>
        </w:rPr>
        <w:tab/>
        <w:t>articolul 76 alineatul (1) se corectează după cum urmează:</w:t>
      </w:r>
    </w:p>
    <w:p>
      <w:pPr>
        <w:ind w:left="720"/>
        <w:rPr>
          <w:noProof/>
        </w:rPr>
      </w:pPr>
      <w:r>
        <w:rPr>
          <w:noProof/>
        </w:rPr>
        <w:t xml:space="preserve">(a) cuvintele „74/347/CEE,” se elimină; </w:t>
      </w:r>
    </w:p>
    <w:p>
      <w:pPr>
        <w:ind w:left="720"/>
        <w:rPr>
          <w:noProof/>
        </w:rPr>
      </w:pPr>
      <w:r>
        <w:rPr>
          <w:noProof/>
        </w:rPr>
        <w:t>(b) cuvintele „2008/2/CE,” se introduc după cuvintele „2000/25/CE,”.</w:t>
      </w:r>
    </w:p>
    <w:p>
      <w:pPr>
        <w:jc w:val="center"/>
        <w:rPr>
          <w:noProof/>
        </w:rPr>
      </w:pPr>
    </w:p>
    <w:p>
      <w:pPr>
        <w:jc w:val="center"/>
        <w:rPr>
          <w:noProof/>
        </w:rPr>
      </w:pPr>
      <w:r>
        <w:rPr>
          <w:i/>
          <w:noProof/>
        </w:rPr>
        <w:t>Articolul 3</w:t>
      </w:r>
    </w:p>
    <w:p>
      <w:pPr>
        <w:jc w:val="center"/>
        <w:rPr>
          <w:noProof/>
        </w:rPr>
      </w:pPr>
      <w:r>
        <w:rPr>
          <w:i/>
          <w:noProof/>
        </w:rPr>
        <w:t>Intrare în vigoare</w:t>
      </w:r>
    </w:p>
    <w:p>
      <w:pPr>
        <w:rPr>
          <w:noProof/>
        </w:rPr>
      </w:pPr>
      <w:r>
        <w:rPr>
          <w:noProof/>
        </w:rPr>
        <w:t xml:space="preserve">Prezentul regulament intră în vigoare în a douăzecea zi de la data publicării în </w:t>
      </w:r>
      <w:r>
        <w:rPr>
          <w:i/>
          <w:noProof/>
        </w:rPr>
        <w:t>Jurnalul Oficial al Uniunii Europene</w:t>
      </w:r>
      <w:r>
        <w:rPr>
          <w:noProof/>
        </w:rPr>
        <w:t>.</w:t>
      </w:r>
    </w:p>
    <w:p>
      <w:pPr>
        <w:pStyle w:val="Applicationdirecte"/>
        <w:keepNext/>
        <w:keepLines/>
        <w:rPr>
          <w:noProof/>
        </w:rPr>
      </w:pPr>
      <w:r>
        <w:rPr>
          <w:noProof/>
        </w:rPr>
        <w:lastRenderedPageBreak/>
        <w:t>Prezentul regulament este obligatoriu în toate elementele sale și se aplică direct în toate statele membre.</w:t>
      </w:r>
    </w:p>
    <w:p>
      <w:pPr>
        <w:pStyle w:val="Fait"/>
        <w:rPr>
          <w:noProof/>
        </w:rPr>
      </w:pPr>
      <w:r>
        <w:t>Adoptat la Bruxelles,</w:t>
      </w:r>
    </w:p>
    <w:p>
      <w:pPr>
        <w:pStyle w:val="Institutionquisigne"/>
        <w:rPr>
          <w:noProof/>
        </w:rPr>
      </w:pPr>
      <w:r>
        <w:rPr>
          <w:noProof/>
        </w:rPr>
        <w:t>Pentru Parlamentul European</w:t>
      </w:r>
      <w:r>
        <w:rPr>
          <w:noProof/>
        </w:rPr>
        <w:tab/>
        <w:t>Pentru Consiliu</w:t>
      </w:r>
    </w:p>
    <w:p>
      <w:pPr>
        <w:pStyle w:val="Personnequisigne"/>
        <w:rPr>
          <w:noProof/>
        </w:rPr>
      </w:pPr>
      <w:r>
        <w:rPr>
          <w:noProof/>
        </w:rPr>
        <w:t>Președintele</w:t>
      </w:r>
      <w:r>
        <w:rPr>
          <w:noProof/>
        </w:rPr>
        <w:tab/>
        <w:t>Președintele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Directiva 2003/37/CE a Parlamentului European și a Consiliului din 26 mai 2003 privind omologarea de tip a tractoarelor agricole sau forestiere, a remorcilor acestora și a echipamentului remorcat interschimbabil, împreună cu sistemele, componentele și unitățile lor tehnice separate și de abrogare a Directivei 74/150/CEE (JO L 171, 9.7.2003, p. 1).</w:t>
      </w:r>
    </w:p>
  </w:footnote>
  <w:footnote w:id="2">
    <w:p>
      <w:pPr>
        <w:pStyle w:val="FootnoteText"/>
      </w:pPr>
      <w:r>
        <w:rPr>
          <w:rStyle w:val="FootnoteReference"/>
        </w:rPr>
        <w:footnoteRef/>
      </w:r>
      <w:r>
        <w:tab/>
        <w:t>Regulamentul (UE) nr. 167/2013 al Parlamentului European și al Consiliului din 5 februarie 2013 privind omologarea și supravegherea pieței pentru vehiculele agricole și forestiere (JO L 60, 2.3.2013, p.1).</w:t>
      </w:r>
    </w:p>
  </w:footnote>
  <w:footnote w:id="3">
    <w:p>
      <w:pPr>
        <w:pStyle w:val="FootnoteText"/>
      </w:pPr>
      <w:r>
        <w:rPr>
          <w:rStyle w:val="FootnoteReference"/>
        </w:rPr>
        <w:footnoteRef/>
      </w:r>
      <w:r>
        <w:tab/>
        <w:t>Regulamentul (UE) nr. 167/2013 al Parlamentului European și al Consiliului din 5 februarie 2013 privind omologarea și supravegherea pieței pentru vehiculele agricole și forestiere (JO L 060, 2.3.2013, p. 1).</w:t>
      </w:r>
    </w:p>
  </w:footnote>
  <w:footnote w:id="4">
    <w:p>
      <w:pPr>
        <w:pStyle w:val="FootnoteText"/>
      </w:pPr>
      <w:r>
        <w:rPr>
          <w:rStyle w:val="FootnoteReference"/>
        </w:rPr>
        <w:footnoteRef/>
      </w:r>
      <w:r>
        <w:tab/>
        <w:t>Directiva 74/347/CEE a Consiliului din 25 iunie 1974 de apropiere a legislațiilor statelor membre cu privire la câmpul vizual și la ștergătoarele de parbriz ale tractoarelor agricole sau forestiere pe roți (JO L 191 15.7.1974, p. 5).</w:t>
      </w:r>
    </w:p>
  </w:footnote>
  <w:footnote w:id="5">
    <w:p>
      <w:pPr>
        <w:pStyle w:val="FootnoteText"/>
      </w:pPr>
      <w:r>
        <w:rPr>
          <w:rStyle w:val="FootnoteReference"/>
        </w:rPr>
        <w:footnoteRef/>
      </w:r>
      <w:r>
        <w:tab/>
        <w:t>Directiva 2008/2/CE a Parlamentului European și a Consiliului din 15 ianuarie 2008 cu privire la câmpul vizual și la ștergătoarele de parbriz ale tractoarelor agricole sau forestiere pe roți (versiune codificată) (JO L 24, 29.1.2008, p.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94A642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F30D5A2"/>
    <w:lvl w:ilvl="0">
      <w:start w:val="1"/>
      <w:numFmt w:val="decimal"/>
      <w:pStyle w:val="ListNumber3"/>
      <w:lvlText w:val="%1."/>
      <w:lvlJc w:val="left"/>
      <w:pPr>
        <w:tabs>
          <w:tab w:val="num" w:pos="926"/>
        </w:tabs>
        <w:ind w:left="926" w:hanging="360"/>
      </w:pPr>
    </w:lvl>
  </w:abstractNum>
  <w:abstractNum w:abstractNumId="2">
    <w:nsid w:val="FFFFFF7F"/>
    <w:multiLevelType w:val="singleLevel"/>
    <w:tmpl w:val="BAAE59B0"/>
    <w:lvl w:ilvl="0">
      <w:start w:val="1"/>
      <w:numFmt w:val="decimal"/>
      <w:pStyle w:val="ListNumber2"/>
      <w:lvlText w:val="%1."/>
      <w:lvlJc w:val="left"/>
      <w:pPr>
        <w:tabs>
          <w:tab w:val="num" w:pos="643"/>
        </w:tabs>
        <w:ind w:left="643" w:hanging="360"/>
      </w:pPr>
    </w:lvl>
  </w:abstractNum>
  <w:abstractNum w:abstractNumId="3">
    <w:nsid w:val="FFFFFF81"/>
    <w:multiLevelType w:val="singleLevel"/>
    <w:tmpl w:val="B84CBE5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5BCF46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846D63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314356E"/>
    <w:lvl w:ilvl="0">
      <w:start w:val="1"/>
      <w:numFmt w:val="decimal"/>
      <w:pStyle w:val="ListNumber"/>
      <w:lvlText w:val="%1."/>
      <w:lvlJc w:val="left"/>
      <w:pPr>
        <w:tabs>
          <w:tab w:val="num" w:pos="360"/>
        </w:tabs>
        <w:ind w:left="360" w:hanging="360"/>
      </w:pPr>
    </w:lvl>
  </w:abstractNum>
  <w:abstractNum w:abstractNumId="7">
    <w:nsid w:val="FFFFFF89"/>
    <w:multiLevelType w:val="singleLevel"/>
    <w:tmpl w:val="17789FB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
  </w:num>
  <w:num w:numId="2">
    <w:abstractNumId w:val="7"/>
  </w:num>
  <w:num w:numId="3">
    <w:abstractNumId w:val="5"/>
  </w:num>
  <w:num w:numId="4">
    <w:abstractNumId w:val="4"/>
  </w:num>
  <w:num w:numId="5">
    <w:abstractNumId w:val="6"/>
  </w:num>
  <w:num w:numId="6">
    <w:abstractNumId w:val="2"/>
  </w:num>
  <w:num w:numId="7">
    <w:abstractNumId w:val="1"/>
  </w:num>
  <w:num w:numId="8">
    <w:abstractNumId w:val="0"/>
  </w:num>
  <w:num w:numId="9">
    <w:abstractNumId w:val="21"/>
    <w:lvlOverride w:ilvl="0">
      <w:startOverride w:val="3"/>
    </w:lvlOverride>
  </w:num>
  <w:num w:numId="10">
    <w:abstractNumId w:val="21"/>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15 12:45:4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1"/>
    <w:docVar w:name="DQCResult_ModifiedMarkers" w:val="0;0"/>
    <w:docVar w:name="DQCResult_ModifiedNumbering" w:val="0;0"/>
    <w:docVar w:name="DQCResult_Objects" w:val="0;0"/>
    <w:docVar w:name="DQCResult_Sections" w:val="0;1"/>
    <w:docVar w:name="DQCResult_StructureCheck" w:val="0;0"/>
    <w:docVar w:name="DQCResult_SuperfluousWhitespace" w:val="0;1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919F69A-BB2F-4A5C-A377-4424E04B7B1D"/>
    <w:docVar w:name="LW_COVERPAGE_TYPE" w:val="1"/>
    <w:docVar w:name="LW_CROSSREFERENCE" w:val="&lt;UNUSED&gt;"/>
    <w:docVar w:name="LW_DocType" w:val="COM"/>
    <w:docVar w:name="LW_EMISSION" w:val="16.5.2018"/>
    <w:docVar w:name="LW_EMISSION_ISODATE" w:val="2018-05-16"/>
    <w:docVar w:name="LW_EMISSION_LOCATION" w:val="BRX"/>
    <w:docVar w:name="LW_EMISSION_PREFIX" w:val="Bruxelles,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Text cu relevan\u539?\u259? pentru SEE)"/>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COD"/>
    <w:docVar w:name="LW_REF.II.NEW.CP_NUMBER" w:val="0142"/>
    <w:docVar w:name="LW_REF.II.NEW.CP_YEAR" w:val="2018"/>
    <w:docVar w:name="LW_REF.INST.NEW" w:val="COM"/>
    <w:docVar w:name="LW_REF.INST.NEW_ADOPTED" w:val="final"/>
    <w:docVar w:name="LW_REF.INST.NEW_TEXT" w:val="(2018) 28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nere de"/>
    <w:docVar w:name="LW_SUPERTITRE" w:val="&lt;UNUSED&gt;"/>
    <w:docVar w:name="LW_TITRE.OBJ.CP" w:val="de modificare \u537?i corectare a Regulamentului (UE) nr. 167/2013 privind omologarea \u537?i supravegherea pie\u539?ei vehiculelor agricole \u537?i forestiere"/>
    <w:docVar w:name="LW_TYPE.DOC.CP" w:val="REGULAMENT AL PARLAMENTULUI EUROPEAN \u350?I AL CONSILIULUI"/>
    <w:docVar w:name="Stamp" w:val="\\dossiers.dgt.cec.eu.int\dossiers\GROW\GROW-2018-00172\GROW-2018-00172-00-00-EN-REV-00.201803020849002721925.DOCX"/>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ListBullet4">
    <w:name w:val="List Bullet 4"/>
    <w:basedOn w:val="Normal"/>
    <w:uiPriority w:val="99"/>
    <w:semiHidden/>
    <w:unhideWhenUsed/>
    <w:pPr>
      <w:numPr>
        <w:numId w:val="1"/>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ListBullet4">
    <w:name w:val="List Bullet 4"/>
    <w:basedOn w:val="Normal"/>
    <w:uiPriority w:val="99"/>
    <w:semiHidden/>
    <w:unhideWhenUsed/>
    <w:pPr>
      <w:numPr>
        <w:numId w:val="1"/>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5741B-150E-4D5A-AD28-2FECF5360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8</Pages>
  <Words>1927</Words>
  <Characters>11335</Characters>
  <Application>Microsoft Office Word</Application>
  <DocSecurity>0</DocSecurity>
  <Lines>198</Lines>
  <Paragraphs>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2018-03-06T13:22:00Z</cp:lastPrinted>
  <dcterms:created xsi:type="dcterms:W3CDTF">2018-05-14T06:47:00Z</dcterms:created>
  <dcterms:modified xsi:type="dcterms:W3CDTF">2018-05-15T10:45:00Z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