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55DEBC6-2A13-444F-A2C6-E3F1C8172864" style="width:450.75pt;height:408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Souhrnný přehled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Posouzení dopadů návrhu směrnice Evropského parlamentu a Rady, kterou se stanoví společné minimální normy pro ochranu osob oznamujících porušení v konkrétních oblastech práva EU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Potřeba opatření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Proč? Jaký problém se řeší?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Nedostatečná účinná ochrana oznamovatelů v EU oslabuje účinné prosazování práva EU. Ačkoliv jsou unijní a vnitrostátní mechanismy monitorování a donucovací orgány posíleny zvláštními opatřeními EU (tj. zřízení agentur EU, podpora vnitrostátních justičních systémů atd.), účinné odhalování, vyšetřování a stíhání případů porušení práva EU představuje i nadále výzvu. V určitých oblastech je porušení práva EU, které může poškodit veřejný zájem, obtížné odhalit, jelikož je složité získat důkazy. V těchto případech mohou mít oznámení oznamovatelů s interním přístupem k těmto důkazům zásadní význam. Zajištění toho, aby se oznamovatelé cítili při oznamování případů porušení bezpečně, může proto podpořit donucovací opatření a zvýšit jejich účinnost. V minulých letech uznal normotvůrce EU potřebu ochrany oznamovatelů jakožto součásti prosazování práva EU a v několika odvětvových aktech Unie zavedl určité prvky ochrany a kanály pro oznamování. Ochrana je však dosud velmi omezená a odvětvová a nezahrnuje všechny klíčové oblasti, v nichž nedostačující ochrana oznamovatelů vede k nedostatečnému oznamování porušení práva EU, jež mohou mít za následek vážné poškození veřejného zájmu. Většina členských států poskytuje obdobně ochranu pouze částečně a úroveň ochrany se liší.</w:t>
            </w:r>
            <w:r>
              <w:rPr>
                <w:noProof/>
              </w:rPr>
              <w:t xml:space="preserve"> 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Chybějící dostatečná a jednotná ochrany na úrovni EU a jednotlivých členských států vede k nedostatečnému oznamování ze strany oznamovatelů, což se zase projevuje ve „zmeškaných příležitostech“, pokud jde o odhalování případů porušení práva EU a předcházení těmto případům, a snižuje účinnost jeho prosazování.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Čeho by měla tato iniciativa dosáhnout?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noProof/>
                <w:sz w:val="20"/>
              </w:rPr>
              <w:t>Obecným cílem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 je řešení nedostatečného oznamování případů porušení práva EU majících za následek vážné poškození veřejného zájmu v oblastech, v nichž může důkladná ochrana oznamovatelů významně přispět k odhalování takovéhoto poškozování, jeho předcházení a odrazování od něj.</w:t>
            </w:r>
          </w:p>
          <w:p>
            <w:pPr>
              <w:keepNext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eastAsiaTheme="majorEastAsia" w:hAnsi="Arial"/>
                <w:b/>
                <w:noProof/>
                <w:sz w:val="20"/>
              </w:rPr>
              <w:t>Specifickými cíli</w:t>
            </w:r>
            <w:r>
              <w:rPr>
                <w:rFonts w:ascii="Arial" w:eastAsiaTheme="majorEastAsia" w:hAnsi="Arial"/>
                <w:noProof/>
                <w:sz w:val="20"/>
              </w:rPr>
              <w:t xml:space="preserve"> je: i) posílení ochrany oznamovatelů a zabránění tomu, aby byla vůči nim přijímána odvetná opatření; ii) zajištění právní jasnosti a jistoty a iii) podpora zvyšování informovanosti a boje proti sociokulturním faktorům, které mají za následek nedostatečné oznamování.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Jakou přidanou hodnotu budou mít tato opatření na úrovni EU? (subsidiarita)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 xml:space="preserve">Opatření EU k zavedení ochrany oznamovatelů je zapotřebí v oblastech, v nichž i) je nutné posílit prosazování, ii) klíčovým faktorem, který negativně ovlivňuje prosazování, je nedostatečné oznamování ze strany oznamovatelů a iii) porušování práva EU může mít za následek vážné poškození veřejného zájmu. Na základě těchto kritérií je ochrana oznamovatelů zapotřebí k posílení prosazování pravidel týkajících se: i) zadávání veřejných zakázek; ii) finančních služeb, předcházení praní peněz a financování terorismu; iii) bezpečnosti výrobků; iv) bezpečnosti dopravy; v) ochrany životního prostředí; vi) jaderné bezpečnosti; vii) bezpečnosti potravin a krmiv, zdraví a dobrých životních podmínek zvířat; viii) veřejného zdraví; ix) ochrany spotřebitele; x) ochrany soukromí a osobních údajů a bezpečnosti sítí a informačních systémů. Vztahuje se rovněž na porušení pravidel Unie v oblasti hospodářské soutěže, porušení poškozující finanční zájmy Unie a vzhledem k negativnímu dopadu na řádné fungování vnitřního trhu i na vyhýbání se dani z příjmů právnických osob. Nezajištění dostatečné ochrany oznamovatelů v daném členském státě může mít nepříznivé dopady nejen na fungování politik EU v tomto členském státě, ale tyto dopady se mohou rozšířit i do ostatních členských států a celé EU. Nestejná ochrana oznamovatelů v EU narušuje rovné podmínky, které jsou zapotřebí pro řádné fungování jednotného trhu a pro působení podniků ve zdravém konkurenčním prostředí. Zejména korupce a podvody při zadávání veřejných zakázek, jež nejsou odhaleny, zvyšují náklady podnikání, narušují hospodářskou soutěž a snižují přitažlivost pro investice. Neodhalené systémy agresivního daňového plánování uplatňované společnostmi, kterým se daří vyhýbat se placení spravedlivého podílu na daních, narušují rovné podmínky a vedou ke ztrátě daňových příjmů pro jednotlivé členské státy i celou EU (např. „Luxleaks“). K dalším vedlejším účinkům patří přeshraniční rizika vyplývající z jednání, které narušuje hospodářskou soutěž, nebezpečných výrobků, potravin a krmiv uváděných na jednotný trh, znečišťování životního prostředí nebo rizika pro jadernou bezpečnost, veřejné zdraví, zdraví a dobré životní podmínky zvířat, ochranu spotřebitele, ochranu soukromí a osobních údajů, bezpečnost sítí a informačních systémů a bezpečnost dopravy v jednom členském státě, která se rozšiřují do ostatních členských států, a nedostatky v ochraně oznamovatelů v přeshraničních situacích, u nichž hrozí, že zůstanou opomenuti. Pouze opatření EU může odstranit nerovnováhu v úrovni ochrany a zajistit v celé EU jednotnou vysokou úroveň ochrany, a to stanovením minimálních norem pro harmonizaci. Pouze opatření EU může mimoto sladit stávající pravidla týkající se ochrany oznamovatelů, která jsou obsažena v odvětvových aktech Unie. </w:t>
            </w:r>
          </w:p>
        </w:tc>
      </w:tr>
    </w:tbl>
    <w:p>
      <w:pPr>
        <w:rPr>
          <w:noProof/>
          <w:highlight w:val="yellow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Řešení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Jaké legislativní a nelegislativní možnosti byly zvažovány? Je některá možnost upřednostňována? Proč?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Možnost č. 1: </w:t>
            </w:r>
            <w:r>
              <w:rPr>
                <w:rFonts w:ascii="Arial" w:hAnsi="Arial"/>
                <w:noProof/>
                <w:sz w:val="20"/>
              </w:rPr>
              <w:t>zachování stávající situace.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Možnost č. 2: </w:t>
            </w:r>
            <w:r>
              <w:rPr>
                <w:rFonts w:ascii="Arial" w:hAnsi="Arial"/>
                <w:noProof/>
                <w:sz w:val="20"/>
              </w:rPr>
              <w:t>doporučení Komise s pokyny pro členské státy ohledně hlavních prvků ochrany oznamovatelů, které je doplněno doprovodnými opatřeními na podporu vnitrostátních orgánů.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Možnost č. 3: </w:t>
            </w:r>
            <w:r>
              <w:rPr>
                <w:rFonts w:ascii="Arial" w:hAnsi="Arial"/>
                <w:noProof/>
                <w:sz w:val="20"/>
              </w:rPr>
              <w:t>směrnice, která zavádí ochranu oznamovatelů v oblasti finančních zájmů Unie a která je doplněna sdělením, jež stanoví politický rámec na úrovni EU, včetně doprovodných opatření na podporu vnitrostátních orgánů.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Možnost č. 4: </w:t>
            </w:r>
            <w:r>
              <w:rPr>
                <w:rFonts w:ascii="Arial" w:hAnsi="Arial"/>
                <w:noProof/>
                <w:sz w:val="20"/>
              </w:rPr>
              <w:t>směrnice, která zavádí ochranu oznamovatelů v určitých oblastech práva EU.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noProof/>
              </w:rPr>
            </w:pPr>
            <w:r>
              <w:rPr>
                <w:rFonts w:ascii="Arial" w:hAnsi="Arial"/>
                <w:b/>
                <w:noProof/>
                <w:sz w:val="20"/>
              </w:rPr>
              <w:t>Dílčí možnost č. 1 v rámci možnosti č. 4</w:t>
            </w:r>
            <w:r>
              <w:rPr>
                <w:rFonts w:ascii="Arial" w:hAnsi="Arial"/>
                <w:noProof/>
                <w:sz w:val="20"/>
              </w:rPr>
              <w:t xml:space="preserve">: směrnice podle možnosti politiky č. 4 doplněná sdělením, jež stanoví politický rámec na úrovni EU, včetně doprovodných opatření na podporu vnitrostátních orgánů. </w:t>
            </w:r>
            <w:r>
              <w:rPr>
                <w:rFonts w:ascii="Arial" w:hAnsi="Arial"/>
                <w:b/>
                <w:noProof/>
                <w:sz w:val="20"/>
              </w:rPr>
              <w:t>Toto je upřednostňovaná možnost.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Kdo podporuje kterou možnost?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Pouze několik málo konzultovaných zúčastněných stran (vnitrostátní orgány) se domnívalo, že by vymezený problém a jeho příčiny zcela odstranila možnost bez právních předpisů.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 se týká hospodářských sdružení, polovina respondentů ve veřejné konzultaci Komise podpořila závazné minimální normy EU, zatímco ostatní by se spokojili s vnitrostátními normami nebo se zachováním stávající situace. Naprostá většina respondentů, jakož i občanská společnost, odborové svazy a Evropský parlament (usnesení z října 2017) se domnívají, že by upřednostňovanou možností měl být široký legislativní rámec EU pro ochranu oznamovatelů.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Dopady upřednostňované možnosti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Jaké jsou výhody upřednostňované možnosti (je-li nějaká doporučena, jinak uveďte výhody hlavních možností)?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Upřednostňovaná možnost bude mít hospodářské a společenské přínosy i přínosy pro životní prostředí. Pomůže odhalovat případy podvodů a korupce v souvislosti s rozpočtem EU (stávající riziko ztráty příjmů se odhaduje v rozmezí od 179 do 256 miliard EUR) a odrazovat od nich. V oblasti veřejných zakázek se přínosy účinné ochrany oznamovatelů v EU odhadují na 5,8 až 9,6 miliardy EUR ročně. Upřednostňovaná možnost pomůže rovněž v boji proti vyhýbání se daňovým povinnostem. Přesouvání zisku znamená pro členské státy a EU podle odhadů ztrátu daňových příjmů ve výši 50–70 miliard EUR.</w:t>
            </w:r>
          </w:p>
          <w:p>
            <w:pPr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Rovněž se očekává, že široké sociální dopady ovlivní příznivě občany i podniky. Zavedení důkladné ochrany oznamovatelů zlepší pracovní podmínky 40 % pracovníků v EU, kteří by jinak chráněni nebyli (přibližně 60 milionů osob). Posílí integritu a transparentnost soukromého a veřejného sektoru a přispěje ke spravedlivé soutěži na jednotném trhu. Třebaže přínosy nelze vyčíslit, z důkazů vyplývá, že oznamovatelé by umožnili předcházet nedbalosti a profesnímu pochybení se závažnými dopady mimo jiné na ochranu životního prostředí, bezpečnost výrobků, potravin a dopravy, ochranu spotřebitele a veřejné zdraví.</w:t>
            </w:r>
          </w:p>
        </w:tc>
      </w:tr>
    </w:tbl>
    <w:p>
      <w:pPr>
        <w:widowControl w:val="0"/>
        <w:rPr>
          <w:noProof/>
          <w:highlight w:val="yellow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Jaké jsou náklady na upřednostňovanou možnost (je-li nějaká doporučena, jinak uveďte náklady na hlavní možnosti)?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Náklady na provedení (tj. splnění povinnosti zavést interní kanály pro oznamování a související náklady) jsou shrnuty takto: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 veřejného sektoru činí celkové náklady 204,9 milionu EUR ve formě jednorázových nákladů a 319,9 milionu EUR ve formě ročních nákladů. 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 soukromého sektoru (střední a velké společnosti) činí celkové odhadované náklady 542,9 milionu EUR ve formě jednorázových nákladů a 1 016,7 milionu EUR ve formě ročních nákladů. 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Celkové náklady veřejného i soukromého sektoru činí 1 312,4 milionu EUR.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Jaký bude dopad na podniky, včetně malých a středních podniků a mikropodniků?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Upřednostňovaná možnost se bude vztahovat pouze na střední a velké podniky a nebude znamenat významné náklady – tj. odhadované náklady na provedení (jednorázové) ve výši přibližně 1 374 EUR a průměrné roční provozní náklady ve výši 1 054,6 EUR (to zahrnuje náklady na odbornou přípravu zaměstnanců, jež nemusí být zapotřebí). Upřednostňovaná možnost osvobodí malé podniky a mikropodniky od povinnosti zavést interní kanály pro oznamování (vyjma podniků v oblasti finančních služeb nebo podniků náchylných k praní peněz či financování terorismu, a v případě, že to vyžadují členské státy po posouzení rizik na základě povahy činností subjektů a výsledné úrovně rizik).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Očekávají se významné dopady na vnitrostátní rozpočty a správní orgány?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Očekávané zvýšení nákladů v souvislosti s výdaji na splnění právních požadavků u upřednostňované možnosti bude činit 34 milionů EUR (přibližně o 15 milionů EUR více než u základního scénáře).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Očekávají se jiné významné dopady?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Tato možnost podpoří základní práva, zejména svobodu projevu a spravedlivé pracovní podmínky, zvýší požadavky na oznamování a odradí od porušování základních práv při provádění práva EU.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highlight w:val="yellow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Návazná opatření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Kdy bude tato politika přezkoumána?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Komise předloží Evropskému parlamentu a Radě zprávu o provádění a hodnotící zprávu, a to (nejpozději) dva roky resp. šest let od uplynutí lhůty pro provedení.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A3"/>
    <w:multiLevelType w:val="hybridMultilevel"/>
    <w:tmpl w:val="7B3E667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43D89"/>
    <w:multiLevelType w:val="hybridMultilevel"/>
    <w:tmpl w:val="CDDA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BCC"/>
    <w:multiLevelType w:val="hybridMultilevel"/>
    <w:tmpl w:val="51C6A638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CF7627"/>
    <w:multiLevelType w:val="hybridMultilevel"/>
    <w:tmpl w:val="D714DC0C"/>
    <w:lvl w:ilvl="0" w:tplc="76AE6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7B9"/>
    <w:multiLevelType w:val="hybridMultilevel"/>
    <w:tmpl w:val="CB2E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907"/>
    <w:multiLevelType w:val="hybridMultilevel"/>
    <w:tmpl w:val="5A0E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215"/>
    <w:multiLevelType w:val="hybridMultilevel"/>
    <w:tmpl w:val="F3DE38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64E34D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790F14AA"/>
    <w:multiLevelType w:val="hybridMultilevel"/>
    <w:tmpl w:val="E5A4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C232D"/>
    <w:multiLevelType w:val="hybridMultilevel"/>
    <w:tmpl w:val="4B64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ADOU">
    <w15:presenceInfo w15:providerId="None" w15:userId="GEORGIAD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\u367?vodní dokument k"/>
    <w:docVar w:name="LW_CORRIGENDUM" w:val="&lt;UNUSED&gt;"/>
    <w:docVar w:name="LW_COVERPAGE_EXISTS" w:val="True"/>
    <w:docVar w:name="LW_COVERPAGE_GUID" w:val="A55DEBC6-2A13-444F-A2C6-E3F1C8172864"/>
    <w:docVar w:name="LW_COVERPAGE_TYPE" w:val="1"/>
    <w:docVar w:name="LW_CROSSREFERENCE" w:val="{COM(2018) 218 final}_x000b_{SEC(2018) 198 final}_x000b_{SWD(2018) 116 final}"/>
    <w:docVar w:name="LW_DocType" w:val="NORMAL"/>
    <w:docVar w:name="LW_EMISSION" w:val="23.4.2018"/>
    <w:docVar w:name="LW_EMISSION_ISODATE" w:val="2018-04-23"/>
    <w:docVar w:name="LW_EMISSION_LOCATION" w:val="BRX"/>
    <w:docVar w:name="LW_EMISSION_PREFIX" w:val="V Bruselu dne "/>
    <w:docVar w:name="LW_EMISSION_SUFFIX" w:val=" "/>
    <w:docVar w:name="LW_ID_DOCTYPE_NONLW" w:val="CP-02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návrhu sm\u283?rnice Evropského parlamentu a Rady o ochran\u283? osob oznamujících poru\u353?ení práva Unie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8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RACOVNÍ DOKUMENT ÚTVAR\u366? KOMISE_x000b__x000b_SOUHRN POSOUZENÍ DOPAD\u366?_x000b_"/>
    <w:docVar w:name="LW_TYPEACTEPRINCIPAL.CP" w:val=" "/>
    <w:docVar w:name="Stamp" w:val="\\dossiers.dgt.cec.eu.int\dossiers\JUST\JUST-2018-00778\JUST-2018-00778-00-02-EN-REV-00.20180320091307581932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ocument Table,CV1,Table Format 1,HTG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chriftart: 9 pt,Schriftart: 10 pt,Schriftart: 8 pt,o,Testo nota a piè di pagina Carattere,Footnote text,Char Char Car,Fußnotentextf,Note de bas de page Car Car Car Car Car Car Car Car Car Car,ft,fn,stile 1"/>
    <w:basedOn w:val="Normal"/>
    <w:link w:val="FootnoteTextChar"/>
    <w:uiPriority w:val="99"/>
    <w:unhideWhenUsed/>
    <w:qFormat/>
    <w:rPr>
      <w:sz w:val="20"/>
      <w:szCs w:val="20"/>
    </w:rPr>
  </w:style>
  <w:style w:type="character" w:customStyle="1" w:styleId="FootnoteTextChar">
    <w:name w:val="Footnote Text Char"/>
    <w:aliases w:val="Footnote Char1,Fußnote Char,Schriftart: 9 pt Char,Schriftart: 10 pt Char,Schriftart: 8 pt Char,o Char,Testo nota a piè di pagina Carattere Char,Footnote text Char,Char Char Car Char,Fußnotentextf Char,ft Char,fn Char,stile 1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Reference Superscript Char,BVI fnr Char, BVI fnr Char,Footnote symbol Char,Footnote reference number Char,note TESI Char,SUPERS Char1,EN Footnote Reference Char1,stylish Char,Footnote Char,Times 10 Point Char,Ref Char,FR"/>
    <w:link w:val="FootnotesymbolCarZchn"/>
    <w:uiPriority w:val="99"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ocument Table,CV1,Table Format 1,HTG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chriftart: 9 pt,Schriftart: 10 pt,Schriftart: 8 pt,o,Testo nota a piè di pagina Carattere,Footnote text,Char Char Car,Fußnotentextf,Note de bas de page Car Car Car Car Car Car Car Car Car Car,ft,fn,stile 1"/>
    <w:basedOn w:val="Normal"/>
    <w:link w:val="FootnoteTextChar"/>
    <w:uiPriority w:val="99"/>
    <w:unhideWhenUsed/>
    <w:qFormat/>
    <w:rPr>
      <w:sz w:val="20"/>
      <w:szCs w:val="20"/>
    </w:rPr>
  </w:style>
  <w:style w:type="character" w:customStyle="1" w:styleId="FootnoteTextChar">
    <w:name w:val="Footnote Text Char"/>
    <w:aliases w:val="Footnote Char1,Fußnote Char,Schriftart: 9 pt Char,Schriftart: 10 pt Char,Schriftart: 8 pt Char,o Char,Testo nota a piè di pagina Carattere Char,Footnote text Char,Char Char Car Char,Fußnotentextf Char,ft Char,fn Char,stile 1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Reference Superscript Char,BVI fnr Char, BVI fnr Char,Footnote symbol Char,Footnote reference number Char,note TESI Char,SUPERS Char1,EN Footnote Reference Char1,stylish Char,Footnote Char,Times 10 Point Char,Ref Char,FR"/>
    <w:link w:val="FootnotesymbolCarZchn"/>
    <w:uiPriority w:val="99"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Status xmlns="b7a29305-b9ad-40da-90d7-b44e636919fe">Not Started</EC_Collab_Status>
    <EC_Collab_DocumentLanguage xmlns="b7a29305-b9ad-40da-90d7-b44e636919fe">EN</EC_Collab_DocumentLanguage>
    <EC_Collab_Reference xmlns="b7a29305-b9ad-40da-90d7-b44e636919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724D2B7E74B846B9589CB37D350B65" ma:contentTypeVersion="0" ma:contentTypeDescription="Create a new document in this library." ma:contentTypeScope="" ma:versionID="370ec554d0bcd23357ea28e6ab73adf1">
  <xsd:schema xmlns:xsd="http://www.w3.org/2001/XMLSchema" xmlns:xs="http://www.w3.org/2001/XMLSchema" xmlns:p="http://schemas.microsoft.com/office/2006/metadata/properties" xmlns:ns2="http://schemas.microsoft.com/sharepoint/v3/fields" xmlns:ns3="b7a29305-b9ad-40da-90d7-b44e636919fe" targetNamespace="http://schemas.microsoft.com/office/2006/metadata/properties" ma:root="true" ma:fieldsID="05c14ce7014a7e016f250afccbad1e90" ns2:_="" ns3:_="">
    <xsd:import namespace="http://schemas.microsoft.com/sharepoint/v3/fields"/>
    <xsd:import namespace="b7a29305-b9ad-40da-90d7-b44e636919f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9305-b9ad-40da-90d7-b44e636919f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28E3-FEEC-429F-8C93-CFCC37DE565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b7a29305-b9ad-40da-90d7-b44e636919fe"/>
  </ds:schemaRefs>
</ds:datastoreItem>
</file>

<file path=customXml/itemProps2.xml><?xml version="1.0" encoding="utf-8"?>
<ds:datastoreItem xmlns:ds="http://schemas.openxmlformats.org/officeDocument/2006/customXml" ds:itemID="{2C13D08E-BFE9-4D70-902B-00BB64FF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7a29305-b9ad-40da-90d7-b44e63691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A9A9C-38AE-4964-AF1C-6B96AEB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1445</Words>
  <Characters>8864</Characters>
  <Application>Microsoft Office Word</Application>
  <DocSecurity>0</DocSecurity>
  <Lines>124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2018-04-10T18:00:00Z</cp:lastPrinted>
  <dcterms:created xsi:type="dcterms:W3CDTF">2018-05-15T09:52:00Z</dcterms:created>
  <dcterms:modified xsi:type="dcterms:W3CDTF">2018-05-16T09:59:00Z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0x010100258AA79CEB83498886A3A08681123250009A724D2B7E74B846B9589CB37D350B65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