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3D8AA828-DFCB-4BA7-8021-84D990A19CD6" style="width:450.65pt;height:382.85pt">
            <v:imagedata r:id="rId12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ahoma" w:hAnsi="Tahoma"/>
                <w:b/>
                <w:noProof/>
                <w:sz w:val="22"/>
              </w:rPr>
              <w:lastRenderedPageBreak/>
              <w:t>Skeda tas-Sommarju Eżekuttiv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 xml:space="preserve">Valutazzjoni tal-impatt dwar proposta għal Direttiva tal-Parlament Ewropew u tal-Kunsill li tistabbilixxi standards minimi komuni għall-protezzjoni tal-persuni li jirrappurtaw dwar ksur f’oqsma speċifiċi tad-dritt tal-UE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Ħtieġa li tittieħed azzjoni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Għaliex? X’inhi l-problema li qed tiġi indirizzata?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>In-nuqqas ta’ protezzjoni effettiva għall-informaturi fl-UE jxekkel l-infurzar effettiv tad-dritt tal-UE. Filwaqt li l-mekkaniżmi ta’ monitoraġġ nazzjonali u l-korpi ta’ infurzar qed jissaħħew permezz ta’ azzjoni speċifika tal-UE (jiġifieri l-ħolqien tal-aġenziji tal-UE, l-appoġġ għas-sistemi ġudizzjarji nazzjonali, eċċ.), il-ksib effettiv, l-investigazzjoni u l-prosekuzzjoni ta’ ksur tad-dritt tal-UE għadhom problematiċi. F’ċerti oqsma, il-ksur tad-dritt tal-UE li jista’ jagħmel ħsara lill-interess pubbliku huwa diffiċli li jinkixef billi huwa diffiċli li tinġabar evidenza. Rapporti mingħand informaturi b’aċċess intern għal din l-evidenza jistgħu jkunu kruċjali f’dawn il-każijiet. Konsegwentement, l-iżgurar li l-informaturi jħossuhom siguri li jirrappurtaw ksur jista’ jsaħħaħ l-azzjoni ta’ infurzar u jtejjeb l-effettività tagħha. F’dawn l-aħħar snin, il-leġiżlatur tal-UE għaraf il-ħtieġa għal protezzjoni għall-informaturi bħala parti mill-infurzar tad-dritt tal-UE u introduċa xi elementi ta’ protezzjoni u mezzi ta’ rappurtar f’xi ftit atti tal-Unjoni speċifiċi għal settur. Madankollu, il-protezzjoni għadha limitata u settorjali ħafna u ma tkoprix l-oqsma ewlenin kollha fejn il-protezzjoni insuffiċjenti għall-informaturi twassal għal sottorappurtar ta’ ksur tad-dritt tal-UE li jista’ jirriżulta fi ħsara serja għall-interess pubbliku. Bl-istess mod, ħafna mill-Istati Membri joffru protezzjoni b’mod frammentat biss u l-livell tal-protezzjoni jvarja.</w:t>
            </w:r>
            <w:r>
              <w:rPr>
                <w:noProof/>
              </w:rPr>
              <w:t xml:space="preserve"> </w:t>
            </w:r>
            <w:r>
              <w:rPr>
                <w:rFonts w:ascii="Arial" w:eastAsiaTheme="minorHAnsi" w:hAnsi="Arial"/>
                <w:noProof/>
                <w:sz w:val="20"/>
              </w:rPr>
              <w:t>In-nuqqas ta’ protezzjoni suffiċjenti u konsistenti fil-livell tal-UE u dak nazzjonali jirriżulta</w:t>
            </w:r>
            <w:r>
              <w:rPr>
                <w:noProof/>
              </w:rPr>
              <w:t xml:space="preserve"> </w:t>
            </w:r>
            <w:r>
              <w:rPr>
                <w:rFonts w:ascii="Arial" w:eastAsiaTheme="minorHAnsi" w:hAnsi="Arial"/>
                <w:noProof/>
                <w:sz w:val="20"/>
              </w:rPr>
              <w:t xml:space="preserve">f’sottorappurtar mill-informaturi li min-naħa tiegħu jwassal għal “opportunitajiet mitlufa” biex jinkixef u jiġi evitat ksur tad-dritt tal-UE u jdgħajjef l-effettività tal-infurzar tiegħu.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X’mistennija tikseb din l-inizjattiva?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both"/>
              <w:rPr>
                <w:rFonts w:ascii="Arial" w:eastAsiaTheme="majorEastAsia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noProof/>
                <w:sz w:val="20"/>
              </w:rPr>
              <w:t>L-objettiv ġenerali</w:t>
            </w:r>
            <w:r>
              <w:rPr>
                <w:rFonts w:ascii="Arial" w:eastAsiaTheme="minorHAnsi" w:hAnsi="Arial"/>
                <w:noProof/>
                <w:sz w:val="20"/>
              </w:rPr>
              <w:t xml:space="preserve"> huwa li jiġi indirizzat is-sottorappurtar tal-ksur tad-dritt tal-UE li jwassal għal ħsara serja għall-interess pubbliku f’oqsma fejn protezzjoni b’saħħitha tal-informaturi tista’ tikkontribwixxi b’mod sinifikanti biex tikxef, tipprevjeni u tiskoraġġixxi din il-ħsara.</w:t>
            </w:r>
          </w:p>
          <w:p>
            <w:pPr>
              <w:keepNext/>
              <w:jc w:val="both"/>
              <w:rPr>
                <w:rFonts w:ascii="Arial" w:eastAsiaTheme="majorEastAsia" w:hAnsi="Arial" w:cs="Arial"/>
                <w:noProof/>
                <w:sz w:val="20"/>
                <w:szCs w:val="20"/>
                <w:highlight w:val="yellow"/>
              </w:rPr>
            </w:pPr>
            <w:r>
              <w:rPr>
                <w:rFonts w:ascii="Arial" w:eastAsiaTheme="majorEastAsia" w:hAnsi="Arial"/>
                <w:b/>
                <w:noProof/>
                <w:sz w:val="20"/>
              </w:rPr>
              <w:t xml:space="preserve">L-objettivi speċifiċi </w:t>
            </w:r>
            <w:r>
              <w:rPr>
                <w:rFonts w:ascii="Arial" w:eastAsiaTheme="majorEastAsia" w:hAnsi="Arial"/>
                <w:noProof/>
                <w:sz w:val="20"/>
              </w:rPr>
              <w:t>huma li: (i) Tissaħħaħ il-protezzjoni tal-informaturi u tiġi evitata r-ritaljazzjoni kontrihom; (ii) tingħata ċarezza u ċertezza ġuridika; u (iii) jiġu appoġġjati s-sensibilizzazzjoni u l-ġlieda kontra fatturi soċjokulturali li jwasslu għal sottorappurtar.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X’inhu l-valur miżjud ta’ azzjoni fil-livell tal-UE (is-sussidjarjetà)?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>L-azzjoni tal-UE biex tiġi introdotta l-protezzjoni għall-informaturi hija meħtieġa f’dawk l-oqsma fejn i) jenħtieġ li jissaħħaħ l-infurzar, ii) is-sottorappurtar mill-informaturi huwa fattur ewlieni li jaffettwa l-infurzar, u iii) ksur tad-dritt tal-UE jista’ jikkawża ħsara serja lill-interess pubbliku. Abbażi ta’ dawn il-kriterji, il-protezzjoni għall-informaturi hija meħtieġa biex jissaħħaħ l-infurzar tar-regoli dwar: i) l-akkwist pubbliku; (ii) is-servizzi finanzjarji, il-prevenzjoni tal-ħasil tal-flus u l-finanzjament tat-terroriżmu; (iii) is-sikurezza tal-prodotti; (Iv) is-sikurezza tat-trasport; (v) il-protezzjoni tal-ambjent; (vi) is-sikurezza nukleari; (vii) is-sikurezza tal-ikel u tal-għalf, is-saħħa u l-benessri tal-annimali; (viii) is-saħħa pubblika; (ix) il-protezzjoni tal-konsumatur; (x) il-protezzjoni tal-privatezza u d-data personali, u sikurezza tan-netwerks u tas-sistemi ta’ informazzjoni. Tapplika wkoll għal ksur relatat mar-regoli tal-kompetizzjoni tal-Unjoni, ksur li jagħmel ħsara lill-interessi finanzjarji tal-UE u, fid-dawl tal-impatt negattiv tagħhom fuq il-funzjonament tajjeb tas-suq intern, għal evitar tat-taxxa korporattiva. L-għoti ta’ protezzjoni insuffiċjenti għall-informaturi fi Stat Membru partikolari jista’ jkollu impatti negattivi mhux biss fuq il-funzjonament tal-politiki tal-UE f’dak l-Istat Membru, iżda anke riperkussjonijiet fi Stati Membri oħra u fl-UE kollha kemm hi. Protezzjoni inugwali tal-informaturi madwar l-UE timmina l-kondizzjonijiet ekwivalenti ta’ kompetizzjoni meħtieġa għas-suq uniku biex jiffunzjona tajjeb u għan-negozju biex jopera f’ambjent kompetittiv b’saħħtu. B’mod partikolari, il-korruzzjoni u l-frodi fl-akkwist pubbliku li jibqgħu ma jinqabdux iżidu l-kostijiet għat-twettiq tan-negozju, ifixkel il-kompetizzjoni u jbaxxi l-attrattività għall-investiment. Skemi li ma jinqabdux ta’ ppjanar aggressiv tat-taxxa minn kumpaniji li jirnexxilhom jevitaw li jħallsu sehemhom tat-taxxi jfixklu l-kondizzjonijiet ekwivalenti ta’ kompetizzjoni u jirriżultaw fi tnaqqis ta’ dħul mit-taxxa għal Stati Membri individwali u għall-UE kollha kemm hi (pereżempju “Luxleaks”). Riperkussjonijiet oħra huma riskji transfruntiera li jirriżultaw minn atti li jfixklu l-kompetizzjoni, prodotti perikolużi, prodotti tal-ikel u tal-għalf li jitqiegħdu fis-suq uniku, it-tniġġis tal-ambjent jew riskji għas-sikurezza nukleari, is-saħħa pubblika, is-saħħa u l-benessri tal-annimali, il-protezzjoni tal-konsumatur, il-protezzjoni tal-privatezza u tad-data personali, is-sigurtà tan-netwerk u tas-sistemi ta’ informazzjoni u s-sikurezza tat-trasport fi Stat Membru wieħed li jkollhom riperkussjonijiet fuq Stati Membri oħra, u lakuni fil-protezzjoni tal-informaturi f’sitwazzjonijiet transfruntiera, li jirriskjaw li ma jkunux protetti kompletament. Azzjoni tal-UE biss, li tiżgura livell għoli konsistenti ta’ protezzjoni madwar l-UE billi tipprovdi standards minimi ta’ armonizzazzjoni, tista’ tindirizza l-iżbilanċ fil-livell tal-protezzjoni. Barra minn hekk, azzjoni tal-UE biss tista’ tallinja r-regoli eżistenti dwar il-protezzjoni tal-informaturi</w:t>
            </w:r>
            <w:r>
              <w:rPr>
                <w:noProof/>
              </w:rPr>
              <w:t xml:space="preserve"> </w:t>
            </w:r>
            <w:r>
              <w:rPr>
                <w:rFonts w:ascii="Arial" w:eastAsiaTheme="minorHAnsi" w:hAnsi="Arial"/>
                <w:noProof/>
                <w:sz w:val="20"/>
              </w:rPr>
              <w:t xml:space="preserve">f’atti tal-Unjoni speċifiċi għal settur. </w:t>
            </w:r>
          </w:p>
        </w:tc>
      </w:tr>
    </w:tbl>
    <w:p>
      <w:pPr>
        <w:rPr>
          <w:noProof/>
          <w:highlight w:val="yellow"/>
        </w:rPr>
      </w:pPr>
    </w:p>
    <w:p>
      <w:pPr>
        <w:rPr>
          <w:noProof/>
          <w:highlight w:val="yellow"/>
        </w:rPr>
      </w:pPr>
      <w:r>
        <w:rPr>
          <w:noProof/>
        </w:rPr>
        <w:lastRenderedPageBreak/>
        <w:br w:type="page"/>
      </w:r>
    </w:p>
    <w:p>
      <w:pPr>
        <w:rPr>
          <w:noProof/>
          <w:highlight w:val="yellow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Soluzzjonijiet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X’għażliet ta’ politika leġiżlattivi u mhux leġiżlattivi ġew ikkunsidrati? Hemm għażla ppreferuta jew le? Għaliex?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Għażla 1: </w:t>
            </w:r>
            <w:r>
              <w:rPr>
                <w:rFonts w:ascii="Arial" w:hAnsi="Arial"/>
                <w:noProof/>
                <w:sz w:val="20"/>
              </w:rPr>
              <w:t>Iż-żamma tal-</w:t>
            </w:r>
            <w:r>
              <w:rPr>
                <w:rFonts w:ascii="Arial" w:hAnsi="Arial"/>
                <w:i/>
                <w:noProof/>
                <w:sz w:val="20"/>
              </w:rPr>
              <w:t>istatus quo</w:t>
            </w:r>
            <w:r>
              <w:rPr>
                <w:rFonts w:ascii="Arial" w:hAnsi="Arial"/>
                <w:noProof/>
                <w:sz w:val="20"/>
              </w:rPr>
              <w:t>.</w:t>
            </w:r>
          </w:p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Għażla 2: </w:t>
            </w:r>
            <w:r>
              <w:rPr>
                <w:rFonts w:ascii="Arial" w:hAnsi="Arial"/>
                <w:noProof/>
                <w:sz w:val="20"/>
              </w:rPr>
              <w:t>Rakkomandazzjoni tal-Kummissjoni li tiggwida lill-Istati Membri rigward elementi ewlenin ta’ protezzjoni għall-informaturi flimkien ma’ miżuri ta’ akkumpanjament li jappoġġjaw lill-awtoritajiet nazzjonali.</w:t>
            </w:r>
          </w:p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Għażla 3: </w:t>
            </w:r>
            <w:r>
              <w:rPr>
                <w:rFonts w:ascii="Arial" w:hAnsi="Arial"/>
                <w:noProof/>
                <w:sz w:val="20"/>
              </w:rPr>
              <w:t>Direttiva li tintroduċi protezzjoni għall-informaturi fil-qasam tal-interessi finanzjarji tal-Unjoni, flimkien ma’ Komunikazzjoni li tistabbilixxi qafas ta’ politika fil-livell tal-UE, inklużi miżuri ta’ akkumpanjament li jappoġġjaw lill-awtoritajiet nazzjonali;</w:t>
            </w:r>
          </w:p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Għażla 4: </w:t>
            </w:r>
            <w:r>
              <w:rPr>
                <w:rFonts w:ascii="Arial" w:hAnsi="Arial"/>
                <w:noProof/>
                <w:sz w:val="20"/>
              </w:rPr>
              <w:t>Direttiva li tinroduċi protezzjoni għall-informaturi f’ċerti oqsma tad-dritt tal-UE.</w:t>
            </w:r>
          </w:p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noProof/>
              </w:rPr>
            </w:pPr>
            <w:r>
              <w:rPr>
                <w:rFonts w:ascii="Arial" w:hAnsi="Arial"/>
                <w:b/>
                <w:noProof/>
                <w:sz w:val="20"/>
              </w:rPr>
              <w:t>Għażla 4 subgħażla 1</w:t>
            </w:r>
            <w:r>
              <w:rPr>
                <w:rFonts w:ascii="Arial" w:hAnsi="Arial"/>
                <w:noProof/>
                <w:sz w:val="20"/>
              </w:rPr>
              <w:t xml:space="preserve">: Direttiva skont l-għażla ta’ politika Nru 4 flimkien ma’ Komunikazzjoni li tistabbilixxi qafas ta’ politika fil-livell tal-UE, inklużi miżuri ta’ akkumpanjament li jappoġġjaw lill-awtoritajiet nazzjonali. </w:t>
            </w:r>
            <w:r>
              <w:rPr>
                <w:rFonts w:ascii="Arial" w:hAnsi="Arial"/>
                <w:b/>
                <w:noProof/>
                <w:sz w:val="20"/>
              </w:rPr>
              <w:t>Din hija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t>l-għażla ppreferuta.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Liema għażla u min jappoġġaha? 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Huma biss ftit partijiet ikkonċernati kkonsultati (awtoritajiet nazzjonali) li jqisu li għażla mhux regolatorja tindirizza kompletament id-definizzjoni tal-problema u dak li jixprunaha.</w:t>
            </w:r>
            <w:r>
              <w:rPr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>Fost l-assoċjazzjonijiet tan-negozju, nofs dawk li wieġbu għall-konsultazzjoni pubblika tal-Kummissjoni jappoġġjaw l-istandards minimi vinkolanti tal-UE filwaqt li l-oħrajn ikunu ssodisfati bi standards nazzjonali jew l-</w:t>
            </w:r>
            <w:r>
              <w:rPr>
                <w:rFonts w:ascii="Arial" w:hAnsi="Arial"/>
                <w:i/>
                <w:noProof/>
                <w:sz w:val="20"/>
              </w:rPr>
              <w:t>istatus quo</w:t>
            </w:r>
            <w:r>
              <w:rPr>
                <w:rFonts w:ascii="Arial" w:hAnsi="Arial"/>
                <w:noProof/>
                <w:sz w:val="20"/>
              </w:rPr>
              <w:t xml:space="preserve">. Il-parti l-kbira ta’ dawk li wieġbu kif ukoll is-soċjetà ċivili, it-trejdjunjins u l-Parlament Ewropew (ir-Riżoluzzjoni ta’ Ottubru 2017) iqisu li qafas leġiżlattiv tal-UE dwar il-protezzjoni għall-informaturi tkun l-għażla ppreferuta.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Impatti tal-għażla ppreferuta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X’inhuma l-benefiċċji tal-għażla ppreferuta (jekk hemm, inkella x’inhuma dawk ewlenin)?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L-għażla ppreferuta se ġġib benefiċċji ekonomiċi, ambjentali u tas-soċjetà. Se tgħin biex jinkixfu u jiġu skoraġġuti l-frodi u l-korruzzjoni fil-baġit tal-UE (ir-riskju attwali fit-telf tad-dħul huwa stmat għal bejn EUR 179 biljun u EUR 256 biljun). Fil-qasam tal-akkwist pubbliku, il-benefiċċju tal-protezzjoni effettiva għall-informaturi fl-UE hija stmata għal bejn EUR 5,8 biljun u EUR 9,6 biljun fis-sena. L-għażla ppreferuta se tgħin ukoll fil-ġlieda kontra l-evitar tat-taxxa. Il-kontijiet ta’ trasferiment tal-profitt għal telf fid-dħul mit-taxxa għall-Istati Membri u l-UE huwa stmat għal madwar EUR 50-70 biljun.</w:t>
            </w:r>
          </w:p>
          <w:p>
            <w:pPr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>Huwa mistenni wkoll li impatti soċjali wiesgħa jaffettwaw tajjeb lin-nies u lin-negozji. L-introduzzjoni ta’ protezzjoni b’saħħitha għall-informaturi se ttejjeb il-kundizzjonijiet tax-xogħol ta’ 40 % tal-forza tax-xogħol tal-UE li inkella ma tkunx protetta (madwar 60 miljun ħaddiem). Hija se ttejjeb l-integrità u t-trasparenza tas-settur privat u pubbliku, u tikkontribwixxi għal kompetizzjoni ġusta fis-suq uniku. Għalkemm il-benefiċċji ma jistgħux jiġu kkwantifikati, l-evidenza turi li l-informaturi jipprevjenu n-negliġenza u l-malprassi b’impatti severi, fost l-oħrajn fuq protezzjoni tal-ambjenti, sikurezza tal-prodotti, ikel u trasport, protezzjoni tal-konsumatur u saħħa pubblika.</w:t>
            </w:r>
          </w:p>
        </w:tc>
      </w:tr>
    </w:tbl>
    <w:p>
      <w:pPr>
        <w:widowControl w:val="0"/>
        <w:rPr>
          <w:noProof/>
          <w:highlight w:val="yellow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X’inhuma l-kostijiet tal-għażla ppreferuta (jekk hemm, inkella x'inhuma dawk ewlenin)?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Il-kostijiet ta’ implimentazzjoni (jiġifieri l-konformità mal-obbligu biex jiġu stabbiliti mezzi ta’ rappurtar intern u kostijiet relatati) jinsabu hawn fil-qosor:</w:t>
            </w:r>
          </w:p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Għas-settur pubbliku l-kost totali jammonta għal EUR 204,9 miljun bħala kost ta’ darba u kostijiet ta’ EUR 319,9 miljun fis-sena. </w:t>
            </w:r>
          </w:p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Għas-settur privat (kumpaniji medji u kbar) il-kost totali mbassar huwa ta’ EUR 542,9 miljun bħala kost ta’ darba u EUR 1 016,7 miljun f’kostijiet annwali. </w:t>
            </w:r>
          </w:p>
          <w:p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Il-kostijiet totali kemm għas-settur pubbliku kif ukoll għas-settur privat huma ta’ EUR 1 312,4 miljun.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Kif se jintlaqtu n-negozji, l-SMEs u l-mikrointrapriżi?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L-għażla ppreferuta se tkopri biss lin-negozji medji u kbar u mhux se jkollha kostijiet sinifikanti – jiġifieri madwar</w:t>
            </w:r>
            <w:r>
              <w:rPr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 xml:space="preserve">kost ta’ implimentazzjoni (ta’ darba) li jammonta għal EUR 1 374 u medja ta’ kost operazzjonali annwali stmat għal EUR 1 054,6 (dan jinkludi l-kostijiet għal taħriġ annwali għall-impjegati, li jista’ ma jkunx meħtieġ). L-għażla ppreferuta se teżenta lil negozji żgħar u mikrointrapriżi mill-obbligu li jistabbilixxu mezzi ta’ rappurtar intern (ħlief għal dawk fil-qasam tas-servizzi finanzjarji jew li huma vulnerabbli għal ħasil tal-flus jew finanzjament tat-terroriżmu, u f’każ li l-Istati Membri jirrikjedu dan wara valutazzjoni tar-riskju abbażi tan-natura tal-attivitajiet tal-entitajiet u l-livell tar-riskji li jirriżulta).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Se jkun hemm impatti sinifikanti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b/>
                <w:noProof/>
                <w:sz w:val="20"/>
              </w:rPr>
              <w:t>fuq il-baġits u l-amministrazzjonijiet nazzjonali?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Iż-żieda mistennija fil-kost għan-nefqa għall-implimentazzjoni tar-rekwiżiti legali għall-għażla ppreferuta jammontaw għal EUR 34 miljun</w:t>
            </w:r>
            <w:r>
              <w:rPr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>(madwar EUR 15-il miljun ogħla mix-xenarju bażi).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Se jkun hemm impatti sinifikanti oħra?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L-għażla se tippromwovi d-drittijiet fundamentali, b’mod partikolari l-libertà tal-espressjoni u kundizzjonijiet tax-xogħol ġusti, iżżid ir-rekwiżiti tar-rappurtar u tiskoraġġixxi ksur tad-drittijiet fundamentali fl-implimentazzjoni tad-dritt tal-UE.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highlight w:val="yellow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Segwitu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Meta se tiġi rieżaminata l-politika?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Il-Kummissjoni se tippreżenta rapport ta’ implimentazzjoni u rapport ta’ evalwazzjoni lill-Parlament Ewropew u lill-Kunsill, rispettivament, (mhux aktar tard minn) sentejn u sitt snin minn meta tiskadi t-traspożizzjoni.</w:t>
            </w:r>
          </w:p>
        </w:tc>
      </w:tr>
    </w:tbl>
    <w:p>
      <w:pPr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BA3"/>
    <w:multiLevelType w:val="hybridMultilevel"/>
    <w:tmpl w:val="7B3E667A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43D89"/>
    <w:multiLevelType w:val="hybridMultilevel"/>
    <w:tmpl w:val="CDDAC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1BCC"/>
    <w:multiLevelType w:val="hybridMultilevel"/>
    <w:tmpl w:val="51C6A638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CF7627"/>
    <w:multiLevelType w:val="hybridMultilevel"/>
    <w:tmpl w:val="D714DC0C"/>
    <w:lvl w:ilvl="0" w:tplc="76AE6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37B9"/>
    <w:multiLevelType w:val="hybridMultilevel"/>
    <w:tmpl w:val="CB2E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84907"/>
    <w:multiLevelType w:val="hybridMultilevel"/>
    <w:tmpl w:val="5A0E6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76215"/>
    <w:multiLevelType w:val="hybridMultilevel"/>
    <w:tmpl w:val="F3DE38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64E34D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8">
    <w:nsid w:val="790F14AA"/>
    <w:multiLevelType w:val="hybridMultilevel"/>
    <w:tmpl w:val="E5A4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C232D"/>
    <w:multiLevelType w:val="hybridMultilevel"/>
    <w:tmpl w:val="4B64A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IADOU">
    <w15:presenceInfo w15:providerId="None" w15:userId="GEORGIAD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Li jakkumpanja d-dokument"/>
    <w:docVar w:name="LW_CORRIGENDUM" w:val="&lt;UNUSED&gt;"/>
    <w:docVar w:name="LW_COVERPAGE_EXISTS" w:val="True"/>
    <w:docVar w:name="LW_COVERPAGE_GUID" w:val="3D8AA828-DFCB-4BA7-8021-84D990A19CD6"/>
    <w:docVar w:name="LW_COVERPAGE_TYPE" w:val="1"/>
    <w:docVar w:name="LW_CROSSREFERENCE" w:val="{COM(2018) 218 final}_x000b_{SEC(2018) 198 final}_x000b_{SWD(2018) 116 final}"/>
    <w:docVar w:name="LW_DocType" w:val="NORMAL"/>
    <w:docVar w:name="LW_EMISSION" w:val="23.4.2018"/>
    <w:docVar w:name="LW_EMISSION_ISODATE" w:val="2018-04-23"/>
    <w:docVar w:name="LW_EMISSION_LOCATION" w:val="BRX"/>
    <w:docVar w:name="LW_EMISSION_PREFIX" w:val="Brussell, "/>
    <w:docVar w:name="LW_EMISSION_SUFFIX" w:val="&lt;EMPTY&gt;"/>
    <w:docVar w:name="LW_ID_DOCTYPE_NONLW" w:val="CP-02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Proposta g\u295?al Direttiva tal-Parlament Ewropew u tal-Kunsill dwar il-protezzjoni ta' persuni li jirrappurtaw dwar ksur tad-dritt tal-Unjoni_x000b_"/>
    <w:docVar w:name="LW_PART_NBR" w:val="1"/>
    <w:docVar w:name="LW_PART_NBR_TOTAL" w:val="1"/>
    <w:docVar w:name="LW_REF.INST.NEW" w:val="SWD"/>
    <w:docVar w:name="LW_REF.INST.NEW_ADOPTED" w:val="final"/>
    <w:docVar w:name="LW_REF.INST.NEW_TEXT" w:val="(2018) 1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DOKUMENT TA\u8217? \u294?IDMA TAL-PERSUNAL TAL-KUMMISSJONI_x000b__x000b_SOMMARJU E\u379?EKUTTIV TAL-VALUTAZZJONI TAL-IMPATT_x000b_"/>
    <w:docVar w:name="LW_TYPEACTEPRINCIPAL.CP" w:val="&lt;UNUSED&gt;"/>
    <w:docVar w:name="Stamp" w:val="\\dossiers.dgt.cec.eu.int\dossiers\JUST\JUST-2018-00778\JUST-2018-00778-00-02-EN-REV-00.201803200913075819326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ocument Table,CV1,Table Format 1,HTG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Footnote,Fußnote,Schriftart: 9 pt,Schriftart: 10 pt,Schriftart: 8 pt,o,Testo nota a piè di pagina Carattere,Footnote text,Char Char Car,Fußnotentextf,Note de bas de page Car Car Car Car Car Car Car Car Car Car,ft,fn,stile 1"/>
    <w:basedOn w:val="Normal"/>
    <w:link w:val="FootnoteTextChar"/>
    <w:uiPriority w:val="99"/>
    <w:unhideWhenUsed/>
    <w:qFormat/>
    <w:rPr>
      <w:sz w:val="20"/>
      <w:szCs w:val="20"/>
    </w:rPr>
  </w:style>
  <w:style w:type="character" w:customStyle="1" w:styleId="FootnoteTextChar">
    <w:name w:val="Footnote Text Char"/>
    <w:aliases w:val="Footnote Char1,Fußnote Char,Schriftart: 9 pt Char,Schriftart: 10 pt Char,Schriftart: 8 pt Char,o Char,Testo nota a piè di pagina Carattere Char,Footnote text Char,Char Char Car Char,Fußnotentextf Char,ft Char,fn Char,stile 1 Char"/>
    <w:basedOn w:val="DefaultParagraphFont"/>
    <w:link w:val="FootnoteText"/>
    <w:uiPriority w:val="99"/>
    <w:qFormat/>
    <w:rPr>
      <w:rFonts w:ascii="Times New Roman" w:eastAsia="Times New Roman" w:hAnsi="Times New Roman" w:cs="Times New Roman"/>
      <w:sz w:val="20"/>
      <w:szCs w:val="20"/>
      <w:lang w:eastAsia="mt-MT"/>
    </w:rPr>
  </w:style>
  <w:style w:type="character" w:styleId="FootnoteReference">
    <w:name w:val="footnote reference"/>
    <w:aliases w:val="Footnote Reference Superscript Char,BVI fnr Char, BVI fnr Char,Footnote symbol Char,Footnote reference number Char,note TESI Char,SUPERS Char1,EN Footnote Reference Char1,stylish Char,Footnote Char,Times 10 Point Char,Ref Char,FR"/>
    <w:link w:val="FootnotesymbolCarZchn"/>
    <w:uiPriority w:val="99"/>
    <w:qFormat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ocument Table,CV1,Table Format 1,HTG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Footnote,Fußnote,Schriftart: 9 pt,Schriftart: 10 pt,Schriftart: 8 pt,o,Testo nota a piè di pagina Carattere,Footnote text,Char Char Car,Fußnotentextf,Note de bas de page Car Car Car Car Car Car Car Car Car Car,ft,fn,stile 1"/>
    <w:basedOn w:val="Normal"/>
    <w:link w:val="FootnoteTextChar"/>
    <w:uiPriority w:val="99"/>
    <w:unhideWhenUsed/>
    <w:qFormat/>
    <w:rPr>
      <w:sz w:val="20"/>
      <w:szCs w:val="20"/>
    </w:rPr>
  </w:style>
  <w:style w:type="character" w:customStyle="1" w:styleId="FootnoteTextChar">
    <w:name w:val="Footnote Text Char"/>
    <w:aliases w:val="Footnote Char1,Fußnote Char,Schriftart: 9 pt Char,Schriftart: 10 pt Char,Schriftart: 8 pt Char,o Char,Testo nota a piè di pagina Carattere Char,Footnote text Char,Char Char Car Char,Fußnotentextf Char,ft Char,fn Char,stile 1 Char"/>
    <w:basedOn w:val="DefaultParagraphFont"/>
    <w:link w:val="FootnoteText"/>
    <w:uiPriority w:val="99"/>
    <w:qFormat/>
    <w:rPr>
      <w:rFonts w:ascii="Times New Roman" w:eastAsia="Times New Roman" w:hAnsi="Times New Roman" w:cs="Times New Roman"/>
      <w:sz w:val="20"/>
      <w:szCs w:val="20"/>
      <w:lang w:eastAsia="mt-MT"/>
    </w:rPr>
  </w:style>
  <w:style w:type="character" w:styleId="FootnoteReference">
    <w:name w:val="footnote reference"/>
    <w:aliases w:val="Footnote Reference Superscript Char,BVI fnr Char, BVI fnr Char,Footnote symbol Char,Footnote reference number Char,note TESI Char,SUPERS Char1,EN Footnote Reference Char1,stylish Char,Footnote Char,Times 10 Point Char,Ref Char,FR"/>
    <w:link w:val="FootnotesymbolCarZchn"/>
    <w:uiPriority w:val="99"/>
    <w:qFormat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A724D2B7E74B846B9589CB37D350B65" ma:contentTypeVersion="0" ma:contentTypeDescription="Create a new document in this library." ma:contentTypeScope="" ma:versionID="370ec554d0bcd23357ea28e6ab73adf1">
  <xsd:schema xmlns:xsd="http://www.w3.org/2001/XMLSchema" xmlns:xs="http://www.w3.org/2001/XMLSchema" xmlns:p="http://schemas.microsoft.com/office/2006/metadata/properties" xmlns:ns2="http://schemas.microsoft.com/sharepoint/v3/fields" xmlns:ns3="b7a29305-b9ad-40da-90d7-b44e636919fe" targetNamespace="http://schemas.microsoft.com/office/2006/metadata/properties" ma:root="true" ma:fieldsID="05c14ce7014a7e016f250afccbad1e90" ns2:_="" ns3:_="">
    <xsd:import namespace="http://schemas.microsoft.com/sharepoint/v3/fields"/>
    <xsd:import namespace="b7a29305-b9ad-40da-90d7-b44e636919fe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29305-b9ad-40da-90d7-b44e636919fe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Status xmlns="b7a29305-b9ad-40da-90d7-b44e636919fe">Not Started</EC_Collab_Status>
    <EC_Collab_DocumentLanguage xmlns="b7a29305-b9ad-40da-90d7-b44e636919fe">EN</EC_Collab_DocumentLanguage>
    <EC_Collab_Reference xmlns="b7a29305-b9ad-40da-90d7-b44e636919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3D08E-BFE9-4D70-902B-00BB64FFB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7a29305-b9ad-40da-90d7-b44e63691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228E3-FEEC-429F-8C93-CFCC37DE565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b7a29305-b9ad-40da-90d7-b44e636919f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BB8F11-C4CD-4F10-BE7D-0B165706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1375</Words>
  <Characters>10013</Characters>
  <Application>Microsoft Office Word</Application>
  <DocSecurity>0</DocSecurity>
  <Lines>123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20</cp:revision>
  <cp:lastPrinted>2018-04-10T18:00:00Z</cp:lastPrinted>
  <dcterms:created xsi:type="dcterms:W3CDTF">2018-04-11T11:27:00Z</dcterms:created>
  <dcterms:modified xsi:type="dcterms:W3CDTF">2018-05-16T10:01:00Z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NewReviewCycle">
    <vt:lpwstr/>
  </property>
  <property fmtid="{D5CDD505-2E9C-101B-9397-08002B2CF9AE}" pid="9" name="ContentTypeId">
    <vt:lpwstr>0x010100258AA79CEB83498886A3A08681123250009A724D2B7E74B846B9589CB37D350B65</vt:lpwstr>
  </property>
  <property fmtid="{D5CDD505-2E9C-101B-9397-08002B2CF9AE}" pid="10" name="TemplateUrl">
    <vt:lpwstr/>
  </property>
  <property fmtid="{D5CDD505-2E9C-101B-9397-08002B2CF9AE}" pid="11" name="Level of sensitivity">
    <vt:lpwstr>Standard treatment</vt:lpwstr>
  </property>
</Properties>
</file>