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C32CC72-A1A6-4443-9190-009D591E820D" style="width:451.35pt;height:436.3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spacing w:before="0" w:after="200" w:line="276" w:lineRule="auto"/>
        <w:rPr>
          <w:noProof/>
          <w:szCs w:val="24"/>
        </w:rPr>
      </w:pPr>
      <w:r>
        <w:rPr>
          <w:noProof/>
        </w:rPr>
        <w:t>O τομέας ανωτάτου επιπέδου .eu θεσπίστηκε με τον κανονισμό (ΕΚ) αριθ. 733/2002 του Ευρωπαϊκού Κοινοβουλίου και του Συμβουλίου, της 22ας Απριλίου 2002, για την υλοποίηση του .eu τομέα ανωτάτου επιπέδου. O τομέας ανωτάτου επιπέδου .eu εκχωρήθηκε</w:t>
      </w:r>
      <w:r>
        <w:rPr>
          <w:rStyle w:val="FootnoteReference"/>
          <w:noProof/>
        </w:rPr>
        <w:footnoteReference w:id="2"/>
      </w:r>
      <w:r>
        <w:rPr>
          <w:noProof/>
        </w:rPr>
        <w:t xml:space="preserve"> από το Σώμα του Διαδικτύου για την εκχώρηση ονομάτων και αριθμών (ICANN) στις 22 Μαρτίου 2005 και αναφορτώθηκε στη ζώνη ρίζας του διαδικτύου</w:t>
      </w:r>
      <w:r>
        <w:rPr>
          <w:rStyle w:val="FootnoteReference"/>
          <w:noProof/>
        </w:rPr>
        <w:footnoteReference w:id="3"/>
      </w:r>
      <w:r>
        <w:rPr>
          <w:noProof/>
        </w:rPr>
        <w:t xml:space="preserve"> στις 2 Μαΐου 2005. O τομέας ανωτάτου επιπέδου .eu διέπεται επίσης από τους κανόνες που προβλέπονται στον κανονισμό (ΕΚ) αριθ. 874/2004, της 28ης Απριλίου 2004, για τη θέσπιση κανόνων δημοσίου συμφέροντος σχετικά με την υλοποίηση και τις λειτουργίες του .eu τομέα ανωτάτου επιπέδου και τις αρχές που διέπουν την καταχώριση.</w:t>
      </w:r>
    </w:p>
    <w:p>
      <w:pPr>
        <w:spacing w:before="0" w:after="200" w:line="276" w:lineRule="auto"/>
        <w:rPr>
          <w:noProof/>
          <w:szCs w:val="24"/>
        </w:rPr>
      </w:pPr>
      <w:r>
        <w:rPr>
          <w:noProof/>
        </w:rPr>
        <w:t>O τομέας ανωτάτου επιπέδου .eu είναι το όνομα τομέα της Ευρωπαϊκής Ένωσης και των πολιτών της. Η ύπαρξη συγκεκριμένου ονόματος τομέα για την Ευρωπαϊκή Ένωση με ένα πολύ σαφές και εύκολα αναγνωρίσιμο κοινό σήμα αποτελεί σημαντικό και πολύτιμο δομικό στοιχείο της ευρωπαϊκής διαδικτυακής ταυτότητας. Σύμφωνα με τους στόχους της στρατηγικής για την ψηφιακή ενιαία αγορά</w:t>
      </w:r>
      <w:r>
        <w:rPr>
          <w:rStyle w:val="FootnoteReference"/>
          <w:noProof/>
        </w:rPr>
        <w:footnoteReference w:id="4"/>
      </w:r>
      <w:r>
        <w:rPr>
          <w:noProof/>
        </w:rPr>
        <w:t>, ο τομέας ανωτάτου επιπέδου .eu δίνει στις ευρωπαϊκές επιχειρήσεις και στους πολίτες τη δυνατότητα συμμετοχής στο ηλεκτρονικό εμπόριο και αυξάνει τη συμμετοχή τους στην διαδικτυακή ενιαία αγορά.</w:t>
      </w:r>
    </w:p>
    <w:p>
      <w:pPr>
        <w:spacing w:before="0" w:after="200" w:line="276" w:lineRule="auto"/>
        <w:rPr>
          <w:rFonts w:eastAsia="Arial Unicode MS"/>
          <w:noProof/>
          <w:szCs w:val="24"/>
        </w:rPr>
      </w:pPr>
      <w:r>
        <w:rPr>
          <w:noProof/>
        </w:rPr>
        <w:t>Από την έκδοση των κανονισμών για τον τομέα .eu, το πολιτικό και νομοθετικό πλαίσιο στην Ένωση και το διαδικτυακό περιβάλλον και η διαδικτυακή αγορά έχουν αλλάξει σημαντικά. Για παράδειγμα, το 2013 σημειώθηκε μεγάλη αύξηση της αγοράς ονομάτων τομέα, που οδήγησε στην εισαγωγή περισσότερων από 1300 νέων τομέων ανωτάτου επιπέδου γενικού χαρακτήρα (gTLD), όπως .shop, .design ή .wine.  Για να εξασφαλιστεί ότι το νομικό πλαίσιο που διέπει τον τομέα .eu εξυπηρετεί ακόμα τον σκοπό και τις αξίες για τις οποίες προορίζεται, το πρόγραμμα εργασίας της Επιτροπής περιλάμβανε αξιολόγηση REFIT (πρόγραμμα βελτίωσης της καταλληλότητας και της αποδοτικότητας του κανονιστικού πλαισίου) των κανονισμών για τον τομέα .eu. Η πρωτοβουλία περιλάμβανε την παράλληλη διενέργεια αξιολόγησης και εκτίμησης επιπτώσεων. Σύμφωνα με τις κατευθυντήριες γραμμές για τη βελτίωση της νομοθεσίας, με την αξιολόγηση εκτιμήθηκε η αποτελεσματικότητα, η αποδοτικότητα, η συνάφεια, η συνεκτικότητα και η προστιθέμενη αξία της ΕΕ των υφιστάμενων κανονισμών για τον τομέα .eu. Στην εκτίμηση επιπτώσεων περιγράφονται οι πολιτικές απαντήσεις στις προκλήσεις που προσδιορίστηκαν κατά την αξιολόγηση και σχηματίζουν τη βάση για την αναθεώρηση του κανονιστικού πλαισίου του τομέα .eu.</w:t>
      </w:r>
    </w:p>
    <w:p>
      <w:pPr>
        <w:pBdr>
          <w:top w:val="nil"/>
          <w:left w:val="nil"/>
          <w:bottom w:val="nil"/>
          <w:right w:val="nil"/>
          <w:between w:val="nil"/>
          <w:bar w:val="nil"/>
        </w:pBdr>
        <w:spacing w:before="0" w:after="240" w:line="276" w:lineRule="auto"/>
        <w:rPr>
          <w:rFonts w:eastAsia="Arial Unicode MS"/>
          <w:noProof/>
          <w:szCs w:val="24"/>
        </w:rPr>
      </w:pPr>
      <w:r>
        <w:rPr>
          <w:noProof/>
        </w:rPr>
        <w:lastRenderedPageBreak/>
        <w:t>Από την αξιολόγηση</w:t>
      </w:r>
      <w:r>
        <w:rPr>
          <w:rStyle w:val="FootnoteReference"/>
          <w:noProof/>
        </w:rPr>
        <w:footnoteReference w:id="5"/>
      </w:r>
      <w:r>
        <w:rPr>
          <w:noProof/>
        </w:rPr>
        <w:t xml:space="preserve"> προέκυψε ότι ο τομέας .eu είναι παγιωμένος τομέας ανωτάτου επιπέδου και συνεχίζει να λειτουργεί καλά. Διέπεται ωστόσο από ένα παρωχημένο και άκαμπτο νομικό πλαίσιο, υπό την έννοια των i) παρωχημένων ή άκαμπτων διατάξεων που δεν μπορούν να επικαιροποιηθούν εύκολα και ii) της μη εξασφάλισης βέλτιστης δομής διακυβέρνησης όσον αφορά την εποπτεία και τη λογοδοσία σύμφωνα με τη δηλωμένη προσέγγιση της Επιτροπής στη διακυβέρνηση του διαδικτύου, με αποτέλεσμα iii) να προβλέπονται αυξανόμενες δυσκολίες για τον τομέα .eu σε μια περίοδο ταχέως μεταβαλλόμενων αγορών.  </w:t>
      </w:r>
    </w:p>
    <w:p>
      <w:pPr>
        <w:pBdr>
          <w:top w:val="nil"/>
          <w:left w:val="nil"/>
          <w:bottom w:val="nil"/>
          <w:right w:val="nil"/>
          <w:between w:val="nil"/>
          <w:bar w:val="nil"/>
        </w:pBdr>
        <w:spacing w:before="0" w:after="240" w:line="276" w:lineRule="auto"/>
        <w:rPr>
          <w:rFonts w:eastAsia="Arial Unicode MS"/>
          <w:noProof/>
          <w:szCs w:val="24"/>
        </w:rPr>
      </w:pPr>
      <w:r>
        <w:rPr>
          <w:noProof/>
        </w:rPr>
        <w:t>Σήμερα το πρόβλημα δεν είναι τόσο σοβαρό· παρατηρείται κατά τη λειτουργία και τη διαχείριση του τομέα ανωτάτου επιπέδου .eu και επομένως επί του παρόντος επηρεάζει κυρίως τους φορείς που συμμετέχουν σε αυτές τις λειτουργίες. Ωστόσο, αν δεν ληφθούν προληπτικά μέτρα, το πρόβλημα ενδέχεται να μεγαλώσει αρκετά ώστε να επηρεάζει τους τελικούς χρήστες, από άποψη βιωσιμότητας της επέκτασης .eu και ελκυστικότητας του τομέα .eu σε σχέση με άλλα ανταγωνιστικά ονόματα τομέων.</w:t>
      </w:r>
    </w:p>
    <w:p>
      <w:pPr>
        <w:pBdr>
          <w:top w:val="nil"/>
          <w:left w:val="nil"/>
          <w:bottom w:val="nil"/>
          <w:right w:val="nil"/>
          <w:between w:val="nil"/>
          <w:bar w:val="nil"/>
        </w:pBdr>
        <w:spacing w:before="0" w:after="240" w:line="276" w:lineRule="auto"/>
        <w:rPr>
          <w:rFonts w:eastAsia="Arial Unicode MS"/>
          <w:noProof/>
          <w:szCs w:val="24"/>
        </w:rPr>
      </w:pPr>
      <w:r>
        <w:rPr>
          <w:noProof/>
        </w:rPr>
        <w:t>Στόχος της πρωτοβουλίας είναι να διασφαλιστεί ότι ένας τομέας ανωτάτου επιπέδου που μέχρι στιγμής λειτουργεί σχετικά καλά θα συνεχίσει να λειτουργεί καλά και στο μέλλον. Λαμβανομένης υπόψη της εν λόγω αξιολόγησης, η πρόταση αποσκοπεί:</w:t>
      </w:r>
    </w:p>
    <w:p>
      <w:pPr>
        <w:pBdr>
          <w:top w:val="nil"/>
          <w:left w:val="nil"/>
          <w:bottom w:val="nil"/>
          <w:right w:val="nil"/>
          <w:between w:val="nil"/>
          <w:bar w:val="nil"/>
        </w:pBdr>
        <w:spacing w:before="0" w:after="240" w:line="276" w:lineRule="auto"/>
        <w:rPr>
          <w:rFonts w:eastAsia="Arial Unicode MS"/>
          <w:noProof/>
          <w:szCs w:val="24"/>
        </w:rPr>
      </w:pPr>
      <w:r>
        <w:rPr>
          <w:noProof/>
        </w:rPr>
        <w:t>α) στην κατάργηση παρωχημένων νομικών και διοικητικών απαιτήσεων, με παράλληλη διασφάλιση της μελλοντικής βιωσιμότητας του νέου κανονιστικού πλαισίου και της δυνατότητας του τομέα ανωτάτου επιπέδου .eu να προσαρμόζεται στις ραγδαίες αλλαγές στην αγορά των τομέων ανωτάτου επιπέδου και του δυναμικού ψηφιακού τοπίου·</w:t>
      </w:r>
    </w:p>
    <w:p>
      <w:pPr>
        <w:pBdr>
          <w:top w:val="nil"/>
          <w:left w:val="nil"/>
          <w:bottom w:val="nil"/>
          <w:right w:val="nil"/>
          <w:between w:val="nil"/>
          <w:bar w:val="nil"/>
        </w:pBdr>
        <w:spacing w:before="0" w:after="240" w:line="276" w:lineRule="auto"/>
        <w:rPr>
          <w:rFonts w:eastAsia="Arial Unicode MS"/>
          <w:noProof/>
          <w:szCs w:val="24"/>
        </w:rPr>
      </w:pPr>
      <w:r>
        <w:rPr>
          <w:noProof/>
        </w:rPr>
        <w:t>β) στη συνέχιση της ενσωμάτωσης και της προώθησης των προτεραιοτήτων της ΕΕ στον ψηφιακό κόσμο και τη διασφάλιση δομής διακυβέρνησης που αντανακλά τις βέλτιστες πρακτικές από τεχνική άποψη και από άποψη διακυβέρνησης και εξυπηρετεί το δημόσιο συμφέρον στην ΕΕ·</w:t>
      </w:r>
    </w:p>
    <w:p>
      <w:pPr>
        <w:pBdr>
          <w:top w:val="nil"/>
          <w:left w:val="nil"/>
          <w:bottom w:val="nil"/>
          <w:right w:val="nil"/>
          <w:between w:val="nil"/>
          <w:bar w:val="nil"/>
        </w:pBdr>
        <w:spacing w:before="0" w:after="240" w:line="276" w:lineRule="auto"/>
        <w:rPr>
          <w:rFonts w:eastAsia="Arial Unicode MS"/>
          <w:noProof/>
          <w:szCs w:val="24"/>
        </w:rPr>
      </w:pPr>
      <w:r>
        <w:rPr>
          <w:noProof/>
        </w:rPr>
        <w:t>γ) στη χαλάρωση των υφιστάμενων κριτηρίων επιλεξιμότητας για την καταχώριση ονομάτων τομέα .eu με σκοπό να μπορούν οι πολίτες της Ένωσης να καταχωρίσουν όνομα τομέα .eu ανεξάρτητα από τον τόπο διαμονής τους·</w:t>
      </w:r>
    </w:p>
    <w:p>
      <w:pPr>
        <w:pBdr>
          <w:top w:val="nil"/>
          <w:left w:val="nil"/>
          <w:bottom w:val="nil"/>
          <w:right w:val="nil"/>
          <w:between w:val="nil"/>
          <w:bar w:val="nil"/>
        </w:pBdr>
        <w:spacing w:before="0" w:after="240" w:line="276" w:lineRule="auto"/>
        <w:rPr>
          <w:rFonts w:eastAsia="Arial Unicode MS"/>
          <w:noProof/>
          <w:szCs w:val="24"/>
        </w:rPr>
      </w:pPr>
      <w:r>
        <w:rPr>
          <w:noProof/>
        </w:rPr>
        <w:t>δ) στην άρση των αυστηρών περιορισμών στον κάθετο διαχωρισμό και την παράλληλη πρόβλεψη σαφών ρυθμίσεων για τη διασφάλιση της εφαρμογής των κανόνων θεμιτού ανταγωνισμού σύμφωνα με τη Συνθήκη για τη λειτουργία της Ευρωπαϊκής Ένωσης (ΣΛΕΕ).</w:t>
      </w:r>
    </w:p>
    <w:p>
      <w:pPr>
        <w:spacing w:before="0" w:after="200" w:line="276" w:lineRule="auto"/>
        <w:rPr>
          <w:noProof/>
        </w:rPr>
      </w:pPr>
      <w:r>
        <w:rPr>
          <w:noProof/>
        </w:rPr>
        <w:t xml:space="preserve">Η πρόταση ανταποκρίνεται στον πιο φιλόδοξο στόχο της χρήσης του τομέα ανωτάτου επιπέδου .eu και διασφαλίζει ότι τα οφέλη που συνδέονται με αυτόν θα μπορούν να τα απολαύσουν όσο το δυνατόν περισσότεροι πολίτες της Ένωσης στο εγγύς μέλλον. Με τη δημιουργία μελλοντικά βιώσιμου και βασιζόμενου σε αρχές κανονιστικού πλαισίου που δεν απαιτεί νομοθετική αναθεώρηση για την υλοποίηση καινοτομιών του κλάδου των ονομάτων τομέα, η πρόταση θα ενισχύσει την καινοτομία στο οικοσύστημα του τομέα .eu, τόσο στο </w:t>
      </w:r>
      <w:r>
        <w:rPr>
          <w:noProof/>
        </w:rPr>
        <w:lastRenderedPageBreak/>
        <w:t xml:space="preserve">επίπεδο του μητρώου όσο και στις επόμενου σταδίου αγορές καταχωρητών και καταχωρούμενων. </w:t>
      </w:r>
    </w:p>
    <w:p>
      <w:pPr>
        <w:pStyle w:val="ManualHeading2"/>
        <w:rPr>
          <w:rFonts w:eastAsia="Arial Unicode MS"/>
          <w:noProof/>
        </w:rPr>
      </w:pPr>
      <w:r>
        <w:rPr>
          <w:noProof/>
          <w:color w:val="000000"/>
          <w:u w:color="000000"/>
          <w:bdr w:val="nil"/>
        </w:rPr>
        <w:t>•</w:t>
      </w:r>
      <w:r>
        <w:rPr>
          <w:noProof/>
        </w:rPr>
        <w:tab/>
        <w:t>Συνέπεια με τις ισχύουσες διατάξεις στον τομέα πολιτικής</w:t>
      </w:r>
    </w:p>
    <w:p>
      <w:pPr>
        <w:spacing w:before="0" w:after="200" w:line="276" w:lineRule="auto"/>
        <w:rPr>
          <w:noProof/>
          <w:szCs w:val="24"/>
        </w:rPr>
      </w:pPr>
      <w:r>
        <w:rPr>
          <w:noProof/>
        </w:rPr>
        <w:t>Η παρούσα πρόταση είναι συνεπής με τους στόχους της στρατηγικής για την ψηφιακή ενιαία αγορά όσον αφορά την ενίσχυση των διαδικτυακών διασυνοριακών δραστηριοτήτων στην Ευρώπη, την ενίσχυση της ασφάλειας και της εμπιστοσύνης στο διαδικτυακό περιβάλλον, την προώθηση της ευρωπαϊκής επιχειρηματικότητας και των νεοφυών επιχειρήσεων και την προάσπιση των δικαιωμάτων των πολιτών, συμπεριλαμβανομένης της ιδιωτικότητας του βίου, στην ψηφιακή εποχή. Με την παροχή αναθεωρημένου, απλουστευμένου και εξορθολογισμένου κανονιστικού πλαισίου για τον τομέα ανωτάτου επιπέδου .eu, η παρούσα πρόταση θα καταστήσει δυνατή την καλύτερη διαχείριση και λειτουργία των τομέων ανωτάτου επιπέδου .eu, συμβάλλοντας έτσι στη θετική συμπλήρωση των πολιτικών της ΕΕ, ιδίως στον τομέα της ψηφιακής ενιαίας αγοράς, της εμπιστοσύνης και της ασφάλειας στο διαδίκτυο, της πολυγλωσσίας, της διακυβέρνησης του διαδικτύου, της προώθησης της ευρωπαϊκής επιχειρηματικότητας και των νεοφυών επιχειρήσεων και της ψηφιοποίησης της ευρωπαϊκής οικονομίας και κοινωνίας.</w:t>
      </w:r>
    </w:p>
    <w:p>
      <w:pPr>
        <w:spacing w:before="0" w:after="200" w:line="276" w:lineRule="auto"/>
        <w:rPr>
          <w:noProof/>
          <w:szCs w:val="24"/>
        </w:rPr>
      </w:pPr>
      <w:r>
        <w:rPr>
          <w:noProof/>
        </w:rPr>
        <w:t>Στα συμπεράσματα του Συμβουλίου σχετικά με τη διακυβέρνηση του διαδικτύου, της 27ης Νοεμβρίου 2014</w:t>
      </w:r>
      <w:r>
        <w:rPr>
          <w:rStyle w:val="FootnoteReference"/>
          <w:noProof/>
        </w:rPr>
        <w:footnoteReference w:id="6"/>
      </w:r>
      <w:r>
        <w:rPr>
          <w:noProof/>
        </w:rPr>
        <w:t>, η Ένωση επανεπιβεβαίωσε την προσήλωσή της στην προαγωγή πολυσυμμετοχικών δομών διακυβέρνησης που βασίζονται σε ένα συνεκτικό σύνολο παγκόσμιων αρχών διακυβέρνησης του διαδικτύου, σύμφωνων με τα ανθρώπινα δικαιώματα και τις θεμελιώδεις ελευθερίες στο διαδίκτυο. Σύμφωνα με τα συμπεράσματα αυτά, η πρόταση δημιουργεί πολυμερές συμβούλιο για την παροχή συμβουλών στην Επιτροπή σχετικά µε την ενίσχυση και την επέκταση των συνεισφορών για την ορθή διακυβέρνηση του μητρώου .eu. Αυτό θα οδηγήσει σε ευθυγράμμιση του μοντέλου με τη δεδηλωμένη πολιτική της Επιτροπής σχετικά με τη διακυβέρνηση του διαδικτύου, όπως εκφράζεται στην ανακοίνωσή της σχετικά με την «Πολιτική και διακυβέρνηση του διαδικτύου: Ο ρόλος της Ευρώπης στη διαμόρφωση του μέλλοντος της διακυβέρνησης του διαδικτύου»</w:t>
      </w:r>
      <w:r>
        <w:rPr>
          <w:rStyle w:val="FootnoteReference"/>
          <w:noProof/>
        </w:rPr>
        <w:footnoteReference w:id="7"/>
      </w:r>
      <w:r>
        <w:rPr>
          <w:noProof/>
        </w:rPr>
        <w:t>.</w:t>
      </w:r>
    </w:p>
    <w:p>
      <w:pPr>
        <w:spacing w:before="0" w:after="200" w:line="276" w:lineRule="auto"/>
        <w:rPr>
          <w:noProof/>
          <w:szCs w:val="24"/>
        </w:rPr>
      </w:pPr>
      <w:r>
        <w:rPr>
          <w:noProof/>
        </w:rPr>
        <w:t>Η παρούσα πρόταση έχει επίσης ως στόχο να εξασφαλίσει ότι όσο το δυνατόν περισσότεροι πολίτες της Ένωσης θα μπορούν να δρέψουν τα οφέλη που παρέχει ο τομέας ανωτάτου επιπέδου .eu. Η ύπαρξη καινοτόμων, μελλοντικά βιώσιμων μηχανισμών αντιμετώπισης θα διαβεβαιώνει τους χρήστες ότι ο κάτοχος τομέα .eu είναι εγκατεστημένος ή πραγματικά συνδεδεμένος με την Ένωση και ότι κάθε εμπορική επιχείρηση που χρησιμοποιεί τομέα .eu διέπεται από το δίκαιο της Ένωσης.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spacing w:before="0" w:after="200" w:line="276" w:lineRule="auto"/>
        <w:rPr>
          <w:noProof/>
          <w:szCs w:val="24"/>
        </w:rPr>
      </w:pPr>
      <w:r>
        <w:rPr>
          <w:noProof/>
        </w:rPr>
        <w:t xml:space="preserve">Η νομική βάση για δράση της Ένωσης είναι το άρθρο 172 της Συνθήκης για τη λειτουργία της Ευρωπαϊκής Ένωσης (ΣΛΕΕ), που καλύπτει μέτρα για τη στήριξη της δημιουργίας και </w:t>
      </w:r>
      <w:r>
        <w:rPr>
          <w:noProof/>
        </w:rPr>
        <w:lastRenderedPageBreak/>
        <w:t>της ανάπτυξης διευρωπαϊκών δικτύων όσον αφορά τα έργα υποδομής στους τομείς των μεταφορών, των τηλεπικοινωνιών και της ενέργειας.</w:t>
      </w:r>
    </w:p>
    <w:p>
      <w:pPr>
        <w:spacing w:before="0" w:after="200" w:line="276" w:lineRule="auto"/>
        <w:rPr>
          <w:noProof/>
          <w:szCs w:val="24"/>
        </w:rPr>
      </w:pPr>
      <w:r>
        <w:rPr>
          <w:noProof/>
        </w:rPr>
        <w:t>Τα ονόματα τομέα είναι ουσιαστικής σημασίας για την προαγωγή της πρόσβασης και της διαλειτουργικότητας μεταξύ των δικτύων και των υπηρεσιών του διαδικτύου. Σύμφωνα με τα άρθρα 170 και 171 της ΣΛΕΕ, ο τομέας ανωτάτου επιπέδου .eu θα πρέπει να συνεχίσει, όπως πράττει από τη δημιουργία του, να βελτιώνει τη διαλειτουργικότητα των διευρωπαϊκών δικτύων με την παροχή συμπληρωματικού τομέα καταχώρισης επιπλέον των υφιστάμενων τομέων ανωτάτου επιπέδου με κωδικό χώρας (ccTLD) στα κράτη μέλη της ΕΕ (όπως .es, .fr, .de) και παγκόσμιας καταχώρισης στους τομείς ανωτάτου επιπέδου γενικού χαρακτήρα (gTLD).</w:t>
      </w:r>
    </w:p>
    <w:p>
      <w:pPr>
        <w:pStyle w:val="ManualHeading2"/>
        <w:rPr>
          <w:rFonts w:eastAsia="Arial Unicode MS"/>
          <w:noProof/>
          <w:u w:color="000000"/>
          <w:bdr w:val="nil"/>
        </w:rPr>
      </w:pPr>
      <w:r>
        <w:rPr>
          <w:noProof/>
        </w:rPr>
        <w:t>•</w:t>
      </w:r>
      <w:r>
        <w:rPr>
          <w:noProof/>
        </w:rPr>
        <w:tab/>
        <w:t xml:space="preserve">Επικουρικότητα και αναλογικότητα </w:t>
      </w:r>
    </w:p>
    <w:p>
      <w:pPr>
        <w:spacing w:before="0" w:after="200" w:line="276" w:lineRule="auto"/>
        <w:rPr>
          <w:noProof/>
          <w:szCs w:val="24"/>
        </w:rPr>
      </w:pPr>
      <w:r>
        <w:rPr>
          <w:noProof/>
        </w:rPr>
        <w:t xml:space="preserve">Ο τομέας ανωτάτου επιπέδου .eu έχει, εξ ορισμού, διασυνοριακή διάσταση. Είναι ο τομέας ανωτάτου επιπέδου της Ευρωπαϊκής Ένωσης και αποτελεί σύμβολο της ευρωπαϊκής διαδικτυακής ταυτότητας πολιτών, φορέων και επιχειρήσεων. Παρέχει στους χρήστες που επιθυμούν να ασκήσουν δραστηριότητα στην ενιαία αγορά ιδιαίτερο ευρωπαϊκό χαρακτήρα που αναγνωρίζεται σε παγκόσμιο επίπεδο. </w:t>
      </w:r>
    </w:p>
    <w:p>
      <w:pPr>
        <w:spacing w:before="0" w:after="200" w:line="276" w:lineRule="auto"/>
        <w:rPr>
          <w:noProof/>
          <w:szCs w:val="24"/>
        </w:rPr>
      </w:pPr>
      <w:r>
        <w:rPr>
          <w:noProof/>
        </w:rPr>
        <w:t xml:space="preserve">Υπεύθυνη για τη δημόσια πολιτική όσον αφορά τον τομέα ανωτάτου επιπέδου .eu είναι η Ευρωπαϊκή Ένωση. Αν και η διαχείριση των τομέων ανωτάτου επιπέδου με κωδικό χώρας των κρατών μελών της ΕΕ πραγματοποιείται σύμφωνα με τους σχετικούς εθνικούς μηχανισμούς δικαιοδοσίας, εποπτείας και διακυβέρνησης, η κανονιστική δράση όσον αφορά τον τομέα ανωτάτου επιπέδου .eu δεν μπορεί να επιτευχθεί αποτελεσματικά από τα κράτη μέλη σε εθνικό επίπεδο· αντίθετα, μπορεί να επιτευχθεί αποτελεσματικά μόνο σε επίπεδο ΕΕ. </w:t>
      </w:r>
    </w:p>
    <w:p>
      <w:pPr>
        <w:spacing w:before="0" w:after="200" w:line="276" w:lineRule="auto"/>
        <w:rPr>
          <w:noProof/>
          <w:szCs w:val="24"/>
        </w:rPr>
      </w:pPr>
      <w:r>
        <w:rPr>
          <w:noProof/>
        </w:rPr>
        <w:t>Η κανονιστική δράση σε επίπεδο κρατών μελών δεν θα μπορούσε να επιτύχει τους θεμελιώδεις στόχους που στηρίζουν τη δημιουργία και τη διαχείριση έμπιστου και καινοτόμου χώρου ονομάτων για την ΕΕ, να προωθήσει τις προτεραιότητες της Ευρωπαϊκής Ένωσης για το διαδίκτυο και να δημιουργήσει προστιθέμενη αξία όσον αφορά την αυξημένη δυνατότητα επιλογής των χρηστών, επιπλέον των εθνικών τομέων ανωτάτου επιπέδου με κωδικό χώρας. Η ρύθμιση του τομέα ανωτάτου επιπέδου .eu εμπίπτει επομένως στην αρμοδιότητα της ΕΕ και δεν μπορεί να μεταβιβαστεί στα κράτη μέλη.</w:t>
      </w:r>
    </w:p>
    <w:p>
      <w:pPr>
        <w:spacing w:before="0" w:after="200" w:line="276" w:lineRule="auto"/>
        <w:rPr>
          <w:noProof/>
          <w:szCs w:val="24"/>
          <w:u w:color="000000"/>
          <w:bdr w:val="nil"/>
        </w:rPr>
      </w:pPr>
      <w:r>
        <w:rPr>
          <w:noProof/>
        </w:rPr>
        <w:t xml:space="preserve">Ένα κανονιστικό πλαίσιο σε επίπεδο ΕΕ για τον τομέα ανωτάτου επιπέδου .eu είναι χρήσιμο προκειμένου να συνεχιστεί η πρόβλεψη και επέκταση ενός χώρου ονομάτων τομέα στο διαδίκτυο υπό τον τομέα ανωτάτου επιπέδου .eu, για τον οποίο εφαρμόζεται η συναφής ενωσιακή νομοθεσία και οι κανόνες της ΕΕ για την προστασία των δεδομένων και των καταναλωτών. </w:t>
      </w:r>
    </w:p>
    <w:p>
      <w:pPr>
        <w:spacing w:before="0" w:after="200" w:line="276" w:lineRule="auto"/>
        <w:rPr>
          <w:noProof/>
          <w:szCs w:val="24"/>
        </w:rPr>
      </w:pPr>
      <w:r>
        <w:rPr>
          <w:noProof/>
        </w:rPr>
        <w:t>Ο προτεινόμενος κανονισμός δεν επηρεάζει τον τρόπο με τον οποίο τα κράτη μέλη διαχειρίζονται τον δικό τους τομέα ανωτάτου επιπέδου με κωδικό χώρας (ccTLD). Η δράση της ΕΕ δικαιολογείται επομένως για λόγους επικουρικότητας και αναλογικότητας. Ο προτεινόμενος κανονισμός δεν υπερβαίνει το μέτρο του αναγκαίου για την επίτευξη των στόχων πολιτικής του και επομένως σέβεται στην αρχή της αναλογικότητας.</w:t>
      </w:r>
    </w:p>
    <w:p>
      <w:pPr>
        <w:pStyle w:val="ManualHeading2"/>
        <w:rPr>
          <w:rFonts w:eastAsia="Arial Unicode MS"/>
          <w:noProof/>
          <w:u w:color="000000"/>
          <w:bdr w:val="nil"/>
        </w:rPr>
      </w:pPr>
      <w:r>
        <w:rPr>
          <w:noProof/>
        </w:rPr>
        <w:lastRenderedPageBreak/>
        <w:t>•</w:t>
      </w:r>
      <w:r>
        <w:rPr>
          <w:noProof/>
        </w:rPr>
        <w:tab/>
        <w:t>Επιλογή του νομικού μέσου</w:t>
      </w:r>
    </w:p>
    <w:p>
      <w:pPr>
        <w:spacing w:before="0" w:after="200" w:line="276" w:lineRule="auto"/>
        <w:rPr>
          <w:noProof/>
          <w:szCs w:val="24"/>
        </w:rPr>
      </w:pPr>
      <w:r>
        <w:rPr>
          <w:noProof/>
        </w:rPr>
        <w:t>Με την παρούσα πρόταση αναθεωρείται το νομικό πλαίσιο όσον αφορά τον τομέα ανωτάτου επιπέδου .eu, το οποίο αποτελείται από δύο διαφορετικά μέσα: τον κανονισμό (ΕΚ) αριθ. 733/2002 και τον κανονισμό (ΕΚ) αριθ. 874/2004 της Επιτροπής (οι «κανονισμοί για τον τομέα .eu»)</w:t>
      </w:r>
    </w:p>
    <w:p>
      <w:pPr>
        <w:spacing w:before="0" w:after="200" w:line="276" w:lineRule="auto"/>
        <w:rPr>
          <w:noProof/>
          <w:szCs w:val="24"/>
        </w:rPr>
      </w:pPr>
      <w:r>
        <w:rPr>
          <w:noProof/>
        </w:rPr>
        <w:t xml:space="preserve">Η Επιτροπή προτείνει κανονισμό για την εξασφάλιση συνέπειας και ασφάλειας δικαίου τόσο για τους χρήστες όσο και για τις επιχειρήσεις. Ο κανονισμός παρέχει μια σταθερή νομική βάση για την διασφάλιση της ευθύνης της Ένωσης για τον τομέα ανωτάτου επιπέδου .eu και τον ορισμό του φορέα εκμετάλλευσής του. Αποφεύγει οιαδήποτε αποκλίνουσα ερμηνεία από τα κράτη μέλη. </w:t>
      </w:r>
    </w:p>
    <w:p>
      <w:pPr>
        <w:spacing w:before="0" w:after="200" w:line="276" w:lineRule="auto"/>
        <w:rPr>
          <w:noProof/>
          <w:szCs w:val="24"/>
        </w:rPr>
      </w:pPr>
      <w:r>
        <w:rPr>
          <w:noProof/>
        </w:rPr>
        <w:t>Η κατοχύρωση της διαχείρισης του τομέα ανωτάτου επιπέδου .eu με κανονισμό της Ένωσης θα εξασφαλίσει την ισχυρή προστασία των θεμελιωδών δικαιωμάτων, ιδίως στον τομέα της προστασίας των δεδομένων, της ιδιωτικότητας, της ασφάλειας, της πολυγλωσσίας, καθώς και των δικαιωμάτων διανοητικής ιδιοκτησίας.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spacing w:before="0" w:after="200" w:line="276" w:lineRule="auto"/>
        <w:rPr>
          <w:noProof/>
          <w:szCs w:val="24"/>
        </w:rPr>
      </w:pPr>
      <w:r>
        <w:rPr>
          <w:noProof/>
        </w:rPr>
        <w:t>Στο πλαίσιο της άσκησης REFIT εξετάστηκε κατά πόσο το νομικό πλαίσιο που διέπει τον τομέα .eu εξυπηρετεί ακόμα τον σκοπό του. Η Επιτροπή, σύμφωνα με την αξιολόγηση, εκτίμησε την αποτελεσματικότητα, την αποδοτικότητα, τη συνάφεια, τη συνεκτικότητα και την προστιθέμενη αξία της ΕΕ του υφιστάμενου νομικού πλαισίου του τομέα .eu υπό τις παρούσες συνθήκες, που έχουν μεταβληθεί από τότε που εισήχθη ο τομέας ανωτάτου επιπέδου. Τα κύρια συμπεράσματα της αξιολόγησης είναι τα εξής:</w:t>
      </w:r>
    </w:p>
    <w:p>
      <w:pPr>
        <w:pStyle w:val="Bullet1"/>
        <w:numPr>
          <w:ilvl w:val="0"/>
          <w:numId w:val="9"/>
        </w:numPr>
        <w:rPr>
          <w:noProof/>
        </w:rPr>
      </w:pPr>
      <w:r>
        <w:rPr>
          <w:b/>
          <w:noProof/>
        </w:rPr>
        <w:t>Αποτελεσματικότητα</w:t>
      </w:r>
      <w:r>
        <w:rPr>
          <w:noProof/>
        </w:rPr>
        <w:t>:</w:t>
      </w:r>
      <w:r>
        <w:rPr>
          <w:i/>
          <w:noProof/>
        </w:rPr>
        <w:t xml:space="preserve"> </w:t>
      </w:r>
      <w:r>
        <w:rPr>
          <w:noProof/>
        </w:rPr>
        <w:t>οι κανονισμοί για τον τομέα .eu υπήρξαν αποτελεσματικοί στην ευρεία διάθεση ονομάτων τομέα .eu στην ΕΕ, με χαμηλό κόστος για τους καταναλωτές. Αν και οι κανονισμοί για τον τομέα .eu υπήρξαν αποτελεσματικοί στην υποστήριξη του ηλεκτρονικού εμπορίου και της εσωτερικής αγοράς, η απόδοση του τομέα ανωτάτου επιπέδου .eu παρουσιάζει σημάδια σχετικής πτώσης.</w:t>
      </w:r>
    </w:p>
    <w:p>
      <w:pPr>
        <w:pStyle w:val="Bullet1"/>
        <w:rPr>
          <w:noProof/>
        </w:rPr>
      </w:pPr>
      <w:r>
        <w:rPr>
          <w:b/>
          <w:noProof/>
        </w:rPr>
        <w:t>Αποδοτικότητα</w:t>
      </w:r>
      <w:r>
        <w:rPr>
          <w:noProof/>
        </w:rPr>
        <w:t>: οι κανονισμοί για τον τομέα .eu αποτελούν πηγή ορισμένης έλλειψης αποδοτικότητας, γεγονός που θέτει τον τομέα ανωτάτου επιπέδου .eu σε μειονεκτική ανταγωνιστική θέση στην αγορά, και μειώνει τα πιθανά οφέλη όσον αφορά την υποστήριξη του ηλεκτρονικού εμπορίου και της ενιαίας αγοράς. Με τις λεπτομερείς του διατάξεις, των οποίων η αλλαγή είναι χρονοβόρα και δαπανηρή, ο τομέας ανωτάτου επιπέδου .eu δεν μπορεί να εφαρμόσει επιχειρησιακές ή τεχνικές αλλαγές αρκετά γρήγορα ώστε να ικανοποιήσει τις ανάγκες της αγοράς, ούτε εξίσου γρήγορα με τους ανταγωνιστές του.</w:t>
      </w:r>
    </w:p>
    <w:p>
      <w:pPr>
        <w:pStyle w:val="Bullet1"/>
        <w:rPr>
          <w:noProof/>
        </w:rPr>
      </w:pPr>
      <w:r>
        <w:rPr>
          <w:b/>
          <w:noProof/>
        </w:rPr>
        <w:t>Συνάφεια</w:t>
      </w:r>
      <w:r>
        <w:rPr>
          <w:noProof/>
        </w:rPr>
        <w:t xml:space="preserve">: οι στόχοι των κανονισμών για τον τομέα .eu συνεχίζουν να είναι συναφείς όσον αφορά τους πολίτες της Ένωσης, όπως προκύπτει από το υψηλό </w:t>
      </w:r>
      <w:r>
        <w:rPr>
          <w:noProof/>
        </w:rPr>
        <w:lastRenderedPageBreak/>
        <w:t>επίπεδο υιοθέτησης, ενεργού χρήσης και ανανέωσης τομέων .eu από επιχειρήσεις και όργανα στην Ένωση. Ο τομέας ανωτάτου επιπέδου .eu αποτελεί σύμβολο «ευρωπαϊκής ταυτότητας» για τους πολίτες και τις εταιρείες της Ένωσης στο πλαίσιο της ψηφιακής τους εμπειρίας. Ωστόσο, οι κανονισμοί για τον τομέα .eu είναι υπερβολικά σύνθετοι για να εξασφαλίζονται ταχείες τεχνικές επικαιροποιήσεις (για παράδειγμα, στα τεχνικά πρότυπα που σχετίζονται με τα διεθνοποιημένα ονόματα τομέα</w:t>
      </w:r>
      <w:r>
        <w:rPr>
          <w:rStyle w:val="FootnoteReference"/>
          <w:noProof/>
        </w:rPr>
        <w:footnoteReference w:id="8"/>
      </w:r>
      <w:r>
        <w:rPr>
          <w:noProof/>
        </w:rPr>
        <w:t xml:space="preserve">) και δεν συνάδουν πλέον με τις διεθνείς βέλτιστες πρακτικές. </w:t>
      </w:r>
    </w:p>
    <w:p>
      <w:pPr>
        <w:pStyle w:val="Bullet1"/>
        <w:rPr>
          <w:noProof/>
        </w:rPr>
      </w:pPr>
      <w:r>
        <w:rPr>
          <w:b/>
          <w:noProof/>
        </w:rPr>
        <w:t>Συνοχή</w:t>
      </w:r>
      <w:r>
        <w:rPr>
          <w:noProof/>
        </w:rPr>
        <w:t>: υπάρχουν πολυάριθμες ενδείξεις ότι το μέτρο δεν είναι πλέον πλήρως συνεκτικό: το υπερβολικά αυστηρό κανονιστικό πλαίσιο θέτει το μητρώο .eu σε μειονεκτική ανταγωνιστική θέση εν μέσω ολοένα πιο δύσκολων συνθηκών στην αγορά· το νομικό πλαίσιο του τομέα ανωτάτου επιπέδου .eu δεν αποτυπώνει τις υφιστάμενες προτεραιότητες της Ένωσης, όπως η ψηφιακή ενιαία αγορά· και οι κανονισμοί για τον τομέα .eu δεν αποτυπώνουν τις διεθνείς βέλτιστες πρακτικές στην πολυσυμμετοχική διακυβέρνηση.</w:t>
      </w:r>
    </w:p>
    <w:p>
      <w:pPr>
        <w:pStyle w:val="Bullet1"/>
        <w:rPr>
          <w:noProof/>
        </w:rPr>
      </w:pPr>
      <w:r>
        <w:rPr>
          <w:b/>
          <w:noProof/>
        </w:rPr>
        <w:t>Προστιθέμενη αξία της ΕΕ</w:t>
      </w:r>
      <w:r>
        <w:rPr>
          <w:noProof/>
        </w:rPr>
        <w:t>:</w:t>
      </w:r>
      <w:r>
        <w:rPr>
          <w:i/>
          <w:noProof/>
        </w:rPr>
        <w:t xml:space="preserve"> </w:t>
      </w:r>
      <w:r>
        <w:rPr>
          <w:noProof/>
        </w:rPr>
        <w:t xml:space="preserve">ο τομέας ανωτάτου επιπέδου .eu έχει, εξ ορισμού, διασυνοριακή διάσταση. Η ύπαρξη συγκεκριμένου ονόματος τομέα για την Ένωση με ένα πολύ σαφές και εύκολα αναγνωρίσιμο κοινό σήμα αποτελεί σημαντικό και πολύτιμο δομικό στοιχείο της ενωσιακής διαδικτυακής ταυτότητας. </w:t>
      </w:r>
    </w:p>
    <w:p>
      <w:pPr>
        <w:pStyle w:val="Text1"/>
        <w:ind w:left="0"/>
        <w:rPr>
          <w:noProof/>
          <w:szCs w:val="24"/>
        </w:rPr>
      </w:pPr>
      <w:r>
        <w:rPr>
          <w:noProof/>
        </w:rPr>
        <w:t xml:space="preserve">Το αρχικό νομικό πλαίσιο για τον τομέα .eu ήταν καθοριστικής σημασίας στο να καταστεί δυνατή η δημιουργία ειδικού χώρου ονομάτων για την Ένωση, όμως καθώς είναι παρωχημένο και άκαμπτο, δεν είναι πλέον αποτελεσματικό, αποδοτικό ή συνεκτικό στο σημερινό ταχύτατα μεταβαλλόμενο περιβάλλον της αγοράς τεχνολογίας.  </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line="276" w:lineRule="auto"/>
        <w:rPr>
          <w:rFonts w:eastAsia="Arial Unicode MS"/>
          <w:noProof/>
          <w:szCs w:val="24"/>
        </w:rPr>
      </w:pPr>
      <w:r>
        <w:rPr>
          <w:noProof/>
        </w:rPr>
        <w:t>Ως μέρος της αξιολόγησης REFIT του νομικού πλαισίου που διέπει τον τομέα ανωτάτου επιπέδου .eu, η Ευρωπαϊκή Επιτροπή διεξήγαγε ολοκληρωμένες διαβουλεύσεις με τους ενδιαφερόμενους. Στόχος των διαβουλεύσεων ήταν να συγκεντρωθούν στοιχεία για την αξιολόγηση, με την εξέταση του νομικού πλαισίου του τομέα ανωτάτου επιπέδου .eu σε σχέση με τα κριτήρια αξιολόγησης της αποτελεσματικότητας, της αποδοτικότητας, της συνεκτικότητας, της συνάφειας και της προστιθέμενης αξίας της ΕΕ. Αποσκοπούσαν επίσης στη συλλογή στοιχείων όσον αφορά ζητήματα που μπορεί να χρειαστεί να επανεξεταστούν υπό το υφιστάμενο νομικό πλαίσιο για τον τομέα .eu μέσω ενδεχόμενων νομοθετικών και/ή μη νομοθετικών πρωτοβουλιών.</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Η στρατηγική διαβούλευσης που στηρίζει την αναθεώρηση των κανονισμών για τον τομέα .eu διέκρινε μεταξύ τριών ομάδων ενδιαφερόμενων μερών: τα μέρη που επηρεάζονται άμεσα από τους κανονισμούς στις καθημερινές τους δραστηριότητες, δηλαδή το μητρώο .eu και </w:t>
      </w:r>
      <w:r>
        <w:rPr>
          <w:noProof/>
          <w:color w:val="000000" w:themeColor="text1"/>
        </w:rPr>
        <w:lastRenderedPageBreak/>
        <w:t xml:space="preserve">τους καταχωρητές .eu· τους χρήστες του τομέα ανωτάτου επιπέδου .eu και άλλα ενδιαφερόμενα μέρη στο οικοσύστημα του συστήματος ονομάτων τομέα (DNS)· και τα ενδιαφερόμενα μέρη που ενδεχομένως επωφελούνται από τη συμβολή του τομέα ανωτάτου επιπέδου .eu στην ψηφιακή ενιαία αγορά και τη διαδικτυακή ταυτότητα της ΕΕ και που επομένως επηρεάζονται έμμεσα από τον κανονισμό για τον τομέα .eu. </w:t>
      </w:r>
      <w:r>
        <w:rPr>
          <w:noProof/>
        </w:rPr>
        <w:t>Η στρατηγική περιλάμβανε επίσης δημόσια διαβούλευση, άμεση προβολή και ειδικές συναντήσεις με ενδιαφερόμενα μέρη, συζήτηση στρογγυλής τραπέζης με τα ευρωπαϊκά μητρώα, έρευνα μεταξύ των ευρωπαϊκών μητρώων των τομέων ανωτάτου επιπέδου με κωδικό χώρας (ccTLD) και έρευνα με τη συμμετοχή των υφιστάμενων .eu καταχωρητών. Η δημόσια διαβούλευση οδήγησε επίσης σε σειρά γραπτών συνεισφορών από ενδιαφερόμενα μέρη. Η «Δημόσια διαβούλευση σχετικά με την αξιολόγηση και την αναθεώρηση των κανονισμών για τον τομέα ανωτάτου επιπέδου .eu» διεξήχθη μεταξύ της 12ης Μαΐου και της 4ης Αυγούστου 2017 και στο πλαίσιο αυτής συγκεντρώθηκαν 43 απαντήσεις από ερωτηθέντες σε 17 κράτη μέλη. Τα αποτελέσματα των δημόσιων διαβουλεύσεων έχουν αναρτηθεί στο διαδίκτυο</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Συλλογή και χρήση εμπειρογνωσίας</w:t>
      </w:r>
    </w:p>
    <w:p>
      <w:pPr>
        <w:spacing w:before="0" w:after="200" w:line="276" w:lineRule="auto"/>
        <w:rPr>
          <w:noProof/>
          <w:szCs w:val="24"/>
        </w:rPr>
      </w:pPr>
      <w:r>
        <w:rPr>
          <w:noProof/>
        </w:rPr>
        <w:t>Η Επιτροπή συγκέντρωσε ποιοτικά και ποσοτικά στοιχεία από διάφορες πηγές, όπως μεταξύ άλλων:</w:t>
      </w:r>
    </w:p>
    <w:p>
      <w:pPr>
        <w:pStyle w:val="Bullet1"/>
        <w:rPr>
          <w:noProof/>
        </w:rPr>
      </w:pPr>
      <w:r>
        <w:rPr>
          <w:noProof/>
        </w:rPr>
        <w:t>Δημόσια διαβούλευση: δημόσια διαβούλευση σχετικά με την αξιολόγηση και την αναθεώρηση του κανονισμού για τον τομέα ανωτάτου επιπέδου .eu.</w:t>
      </w:r>
    </w:p>
    <w:p>
      <w:pPr>
        <w:pStyle w:val="Bullet1"/>
        <w:rPr>
          <w:noProof/>
        </w:rPr>
      </w:pPr>
      <w:r>
        <w:rPr>
          <w:noProof/>
        </w:rPr>
        <w:t>Έρευνες:  έρευνα για τους καταχωρητές EURid και έρευνα CENTR σχετικά με τα μητρώα των τομέων ανωτάτου επιπέδου με κωδικό χώρας (ccTLD).</w:t>
      </w:r>
    </w:p>
    <w:p>
      <w:pPr>
        <w:pStyle w:val="Bullet1"/>
        <w:rPr>
          <w:noProof/>
        </w:rPr>
      </w:pPr>
      <w:r>
        <w:rPr>
          <w:noProof/>
        </w:rPr>
        <w:t>Συναντήσεις ενδιαφερόμενων μερών:  συνεδρίαση ανταλλαγής απόψεων με τον EURid όσον αφορά το κανονιστικό πλαίσιο για τον τομέα .eu· συνάντηση με τη συμβουλευτική επιτροπή καταχωρητών του EURid όσον αφορά τα κριτήρια επιλεξιμότητας και την κάθετη ενσωμάτωση· σύνοδος της ομάδας υψηλού επιπέδου για τη διακυβέρνηση του διαδικτύου (HLIG)/CENTR όσον αφορά τον ρόλο των τομέων ανωτάτου επιπέδου με κωδικό χώρας (ccTLD) στη διακυβέρνηση του διαδικτύου· συνάντηση με το ευρωπαϊκό μητρώο τομέων ανωτάτου επιπέδου με κωδικούς χώρας .at σχετικά με το κανονιστικό πλαίσιο /Internet Foundation· συνάντηση με το ICANN σχετικά με το κανονιστικό πλαίσιο και τη διακυβέρνηση του διαδικτύου.</w:t>
      </w:r>
    </w:p>
    <w:p>
      <w:pPr>
        <w:pStyle w:val="Bullet1"/>
        <w:rPr>
          <w:noProof/>
        </w:rPr>
      </w:pPr>
      <w:r>
        <w:rPr>
          <w:noProof/>
        </w:rPr>
        <w:t xml:space="preserve">Γραπτή συνεισφορά ενδιαφερόμενων μερών: Open-Xchange σχετικά με την ασφάλεια του συστήματος ονομάτων τομέα, DNSSEC· MARQUES, η Ευρωπαϊκή Ένωση Δικαιούχων Σημάτων όσον αφορά τον ρόλο της διακυβέρνησης του διαδικτύου και το κανονιστικό πλαίσιο· Ένωση Σημάτων των Ευρωπαϊκών Κοινοτήτων· EURid όσον αφορά το κανονιστικό πλαίσιο· Γραφείο διανοητικής ιδιοκτησίας της Ευρωπαϊκής Ένωσης όσον αφορά το κανονιστικό πλαίσιο και τις επιχειρησιακές προοπτικές. </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Η εκτίμηση επιπτώσεων προσδιόρισε τους παρακάτω ειδικούς στόχους πολιτικής: </w:t>
      </w:r>
    </w:p>
    <w:p>
      <w:pPr>
        <w:pStyle w:val="Point0"/>
        <w:rPr>
          <w:noProof/>
        </w:rPr>
      </w:pPr>
      <w:r>
        <w:rPr>
          <w:noProof/>
        </w:rPr>
        <w:lastRenderedPageBreak/>
        <w:t>1)</w:t>
      </w:r>
      <w:r>
        <w:rPr>
          <w:noProof/>
        </w:rPr>
        <w:tab/>
        <w:t xml:space="preserve">κατάργηση παρωχημένων νομικών/διοικητικών απαιτήσεων προκειμένου να εξασφαλιστεί ότι ο τομέας ανωτάτου επιπέδου .eu θα μπορέσει να συμβάλει θετικά στους στόχους της Ένωσης, ιδίως στον τομέα των ψηφιακών πολιτικών· </w:t>
      </w:r>
    </w:p>
    <w:p>
      <w:pPr>
        <w:pStyle w:val="Point0"/>
        <w:rPr>
          <w:noProof/>
        </w:rPr>
      </w:pPr>
      <w:r>
        <w:rPr>
          <w:noProof/>
        </w:rPr>
        <w:t>2)</w:t>
      </w:r>
      <w:r>
        <w:rPr>
          <w:noProof/>
        </w:rPr>
        <w:tab/>
        <w:t xml:space="preserve">διασφάλιση της μελλοντικής βιωσιμότητας των κανόνων και ότι θα δώσουν στον τομέα ανωτάτου επιπέδου .eu τη δυνατότητα προσαρμογής στις ραγδαίες αλλαγές στην αγορά των τομέων ανωτάτου επιπέδου και στο δυναμικό ψηφιακό τοπίο, επιτρέποντας παράλληλα τη χρήση του τομέα ανωτάτου επιπέδου .eu ως μέσου για την προώθηση των προτεραιοτήτων της Ένωσης στον ψηφιακό κόσμο· </w:t>
      </w:r>
    </w:p>
    <w:p>
      <w:pPr>
        <w:pStyle w:val="Point0"/>
        <w:rPr>
          <w:noProof/>
        </w:rPr>
      </w:pPr>
      <w:r>
        <w:rPr>
          <w:noProof/>
        </w:rPr>
        <w:t>3)</w:t>
      </w:r>
      <w:r>
        <w:rPr>
          <w:noProof/>
        </w:rPr>
        <w:tab/>
        <w:t xml:space="preserve">διασφάλιση δομής διακυβέρνησης που αντανακλά τις βέλτιστες πρακτικές από τεχνική άποψη και από άποψη διακυβέρνησης και εξυπηρετεί το συμφέρον της Ένωσης· </w:t>
      </w:r>
    </w:p>
    <w:p>
      <w:pPr>
        <w:pStyle w:val="Point0"/>
        <w:rPr>
          <w:noProof/>
        </w:rPr>
      </w:pPr>
      <w:r>
        <w:rPr>
          <w:noProof/>
        </w:rPr>
        <w:t>4)</w:t>
      </w:r>
      <w:r>
        <w:rPr>
          <w:noProof/>
        </w:rPr>
        <w:tab/>
        <w:t>προώθηση της ελκυστικότητας του τομέα .eu.</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Η εκτίμηση επιπτώσεων εξέτασε επιπλέον σειρά πιθανών επιλογών πολιτικής:</w:t>
      </w:r>
    </w:p>
    <w:p>
      <w:pPr>
        <w:pStyle w:val="Point0"/>
        <w:rPr>
          <w:noProof/>
        </w:rPr>
      </w:pPr>
      <w:r>
        <w:rPr>
          <w:noProof/>
        </w:rPr>
        <w:t>α)</w:t>
      </w:r>
      <w:r>
        <w:rPr>
          <w:noProof/>
        </w:rPr>
        <w:tab/>
        <w:t>σενάριο αναφοράς: διατήρηση του υφιστάμενου κανονιστικού πλαισίου για τον τομέα .eu·</w:t>
      </w:r>
    </w:p>
    <w:p>
      <w:pPr>
        <w:pStyle w:val="Point0"/>
        <w:rPr>
          <w:noProof/>
        </w:rPr>
      </w:pPr>
      <w:r>
        <w:rPr>
          <w:noProof/>
        </w:rPr>
        <w:t>β)</w:t>
      </w:r>
      <w:r>
        <w:rPr>
          <w:noProof/>
        </w:rPr>
        <w:tab/>
        <w:t>εμπορευματοποίηση: απλούστευση του κανονιστικού πλαισίου και εξωτερική ανάθεση της εκμετάλλευσης και της διαχείρισης του μητρώου σε εξωτερικό κερδοσκοπικό πάροχο υπηρεσιών·</w:t>
      </w:r>
    </w:p>
    <w:p>
      <w:pPr>
        <w:pStyle w:val="Point0"/>
        <w:rPr>
          <w:noProof/>
        </w:rPr>
      </w:pPr>
      <w:r>
        <w:rPr>
          <w:noProof/>
        </w:rPr>
        <w:t>γ)</w:t>
      </w:r>
      <w:r>
        <w:rPr>
          <w:noProof/>
        </w:rPr>
        <w:tab/>
        <w:t>εκσυγχρονισμός του νομικού πλαισίου· αντικατάσταση του υφιστάμενου νομικού πλαισίου με ένα νομικό μέσο με βάση αρχές. Θα διατηρηθεί εξωτερικό σύστημα διαχείρισης για τον τομέα ανωτάτου επιπέδου .eu με βάση σύμβαση·</w:t>
      </w:r>
    </w:p>
    <w:p>
      <w:pPr>
        <w:pStyle w:val="Point0"/>
        <w:rPr>
          <w:noProof/>
        </w:rPr>
      </w:pPr>
      <w:r>
        <w:rPr>
          <w:noProof/>
        </w:rPr>
        <w:t>δ)</w:t>
      </w:r>
      <w:r>
        <w:rPr>
          <w:noProof/>
        </w:rPr>
        <w:tab/>
        <w:t>χωριστή διακυβέρνηση: συνδυασμός της επιλογής του εκσυγχρονισμού με τη δημιουργία χωριστού πολυμερούς οργάνου παροχής συμβουλών στην Επιτροπή με σκοπό την αποτελεσματική ενίσχυση και διεύρυνση των συνεισφορών για την ορθή διακυβέρνηση του μητρώου .eu· το όργανο αυτό θα είναι ανεξάρτητο από το μητρώο.</w:t>
      </w:r>
    </w:p>
    <w:p>
      <w:pPr>
        <w:pStyle w:val="Point0"/>
        <w:rPr>
          <w:noProof/>
        </w:rPr>
      </w:pPr>
      <w:r>
        <w:rPr>
          <w:noProof/>
        </w:rPr>
        <w:t>ε)</w:t>
      </w:r>
      <w:r>
        <w:rPr>
          <w:noProof/>
        </w:rPr>
        <w:tab/>
        <w:t>θεσμοθέτηση: διαχείριση και εκμετάλλευση του μητρώου εντός τμήματος της Επιτροπής ή οργανισμού της Ένωσης.</w:t>
      </w:r>
    </w:p>
    <w:p>
      <w:pPr>
        <w:pBdr>
          <w:top w:val="nil"/>
          <w:left w:val="nil"/>
          <w:bottom w:val="nil"/>
          <w:right w:val="nil"/>
          <w:between w:val="nil"/>
          <w:bar w:val="nil"/>
        </w:pBdr>
        <w:spacing w:before="0" w:after="240" w:line="276" w:lineRule="auto"/>
        <w:rPr>
          <w:rFonts w:eastAsia="Arial Unicode MS"/>
          <w:noProof/>
          <w:szCs w:val="24"/>
        </w:rPr>
      </w:pPr>
      <w:r>
        <w:rPr>
          <w:noProof/>
        </w:rPr>
        <w:t>Η ανάλυση οδήγησε στο συμπέρασμα ότι η προτιμώμενη επιλογή είναι αυτή της «χωριστής διακυβέρνησης» σε συνδυασμό με την άρση των αυστηρών απαιτήσεων για απευθείας καταχώριση, ένα κριτήριο ιθαγένειας για τα φυσικά πρόσωπα και ένα κριτήριο έδρας για οργανισμούς και επιχειρήσεις.</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Η προτιμώμενη επιλογή θα καταστήσει δυνατό ένα πιο εξορθολογισμένο νομικό πλαίσιο με βάση αρχές. Θα εξασφαλίσει την απαραίτητη ευελιξία για την προσαρμογή του τομέα ανωτάτου επιπέδου .eu στις ραγδαία μεταβαλλόμενες τεχνικές βελτιώσεις του συστήματος ονομάτων τομέα. Επομένως, οι τελικοί χρήστες θα μπορούν να επωφεληθούν από τις τεχνικές βελτιώσεις χωρίς να περιμένουν όσο χρόνο απαιτείται για την τροποποίηση των κανονισμών. Η προτιμώμενη επιλογή θα βελτιώσει επίσης τη λειτουργία του τομέα ανωτάτου επιπέδου .eu και επομένως θα αυξήσει την ελκυστικότητά του στην αγορά των τομέων ανωτάτου επιπέδου. Ένας πιο προσαρμοστικός τομέας ανωτάτου επιπέδου .eu θα είναι, μακροπρόθεσμα, σε καλύτερη θέση να καινοτομήσει, να υιοθετήσει γρήγορα νέα τεχνικά </w:t>
      </w:r>
      <w:r>
        <w:rPr>
          <w:noProof/>
        </w:rPr>
        <w:lastRenderedPageBreak/>
        <w:t xml:space="preserve">πρότυπα και επομένως να προσφέρει ένα καλύτερο και πιο ανταγωνιστικό προϊόν στην αγορά.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Στις 16 Φεβρουαρίου 2018 η επιτροπή ρυθμιστικού ελέγχου εξέδωσε θετική γνώμη με επιφυλάξεις. Σύμφωνα με τις συστάσεις της επιτροπής, η Επιτροπή βελτίωσε περαιτέρω την έκθεση για την εκτίμηση επιπτώσεων με σκοπό την εναρμόνιση των πορισμάτων της αξιολόγησης στο τμήμα για τον ορισμό του προβλήματος και αποσαφήνισε το μέγεθος του προβλήματος και το συμφέρον των ενδιαφερόμενων μερών σε αυτό το ζήτημα. Το σενάριο αναφοράς τεκμηριώθηκε περαιτέρω ως πιθανή επιλογή. Η περιγραφή των επιλογών αναπροσαρμόστηκε ώστε να μην περιέχει ανάλυση των επιπτώσεων ή πρόωρα συμπεράσματα. Η επιλογή της χωριστής διακυβέρνησης αναπτύχθηκε περαιτέρω ώστε να εξηγηθεί το είδος των νομικών απαιτήσεων που θα εισαχθούν σε σχέση με τη δημιουργία και τη λειτουργία του χωριστού πολυμερούς οργάνου παροχής συμβουλών και τα καθήκοντα και τις εξουσίες της Επιτροπής. Το κείμενο που αφορούσε τις επιλογές που απορρίφθηκαν νωρίς τροποποιήθηκε ώστε να τεκμηριώνονται καλύτερα οι λόγοι απόρριψης των εν λόγω επιλογών. Επιπλέον διευκρινίσεις δόθηκαν σχετικά με την απευθείας καταχώριση και τα κριτήρια επιλεξιμότητας, μεταξύ άλλων και στην προτιμώμενη επιλογή. Στο τμήμα περί παρακολούθησης, διευκρινίστηκαν περαιτέρω βασικοί δείκτες όσον αφορά τον κλάδο των ονομάτων τομέα και έγινε πιο διαφανής ο σύνδεσμος με τους επιχειρησιακούς στόχους. Αυτοί, με τη σειρά τους, συνδέθηκαν με τους τέσσερις ειδικούς στόχους της πρωτοβουλίας. Η έκθεση διευκρίνισε ότι τα κριτήρια επιτυχίας για την προτιμώμενη επιλογή θα εξετάζονται τακτικά, μέσω της έκθεσης που θα πρέπει να υποβάλλει η Επιτροπή στο Ευρωπαϊκό Κοινοβούλιο και το Συμβούλιο όσον αφορά την υλοποίηση, την αποτελεσματικότητα και τη λειτουργία του τομέα ανωτάτου επιπέδου .eu. Στο νέο πλαίσιο, η υποβολή εκθέσεων θα λειτουργεί και ως εργαλείο αξιολόγησης για την εξέταση της επιτυχίας της προτιμώμενης επιλογής, μέσω της εξέτασης και της υποβολής εκθέσεων για όλους τους βασικούς δείκτες που έχουν καθοριστεί.  </w:t>
      </w:r>
    </w:p>
    <w:p>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pPr>
        <w:spacing w:before="0" w:after="200" w:line="276" w:lineRule="auto"/>
        <w:rPr>
          <w:noProof/>
          <w:szCs w:val="24"/>
        </w:rPr>
      </w:pPr>
      <w:r>
        <w:rPr>
          <w:noProof/>
        </w:rPr>
        <w:t xml:space="preserve">Η παρούσα πρωτοβουλία περιλαμβάνει στόχους απλούστευσης και βελτιωμένης αποτελεσματικότητας. Αυτοί διατυπώνονται σαφώς στον ειδικό στόχο α) «αφαίρεση παρωχημένων νομικών απαιτήσεων» και στον ειδικό στόχο β) «δημιουργία μελλοντικά βιώσιμων κανόνων για τον τομέα ανωτάτου επιπέδου .eu». Η πρόταση δημιουργεί ένα απλουστευμένο πλαίσιο με βάση αρχές. Η πρωτογενής νομοθεσία θα περιλαμβάνει μόνο τις αρχές με τις οποίες θα πρέπει να συμμορφώνεται η λειτουργία του τομέα ανωτάτου επιπέδου .eu, ενώ όλες οι άσκοπες και λεπτομερείς διοικητικές και τεχνικές απαιτήσεις είτε θα αφαιρεθούν, εφόσον είναι παρωχημένες, είτε θα αναλυθούν στη σύμβαση που θα συναφθεί μεταξύ της Ευρωπαϊκής Επιτροπής και του ορισθέντος φορέα εκμετάλλευσης του μητρώου. Έτσι θα δοθεί στον τομέα ανωτάτου επιπέδου .eu η δυνατότητα προσαρμογής στις ραγδαίες αλλαγές στην αγορά των τομέων ανωτάτου επιπέδου και του δυναμικού ψηφιακού τοπίου.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Η πρόταση θα συνεπάγεται μειωμένο χρόνο αναμονής για τους κατόχους του τομέα ανωτάτου επιπέδου .eu όσον αφορά τη διαθεσιμότητα τεχνικών καινοτομιών και καινοτομιών της αγοράς στον κλάδο των ονομάτων τομέα. Η μείωση του χρόνου αναμονής θα υπολογίζεται σε σχέση με τον χρόνο που απαιτείται για την τροποποίηση του νομικού </w:t>
      </w:r>
      <w:r>
        <w:rPr>
          <w:noProof/>
        </w:rPr>
        <w:lastRenderedPageBreak/>
        <w:t>πλαισίου για τον τομέα .eu ώστε να καταστούν δυνατές οι εν λόγω καινοτομίες όσον αφορά τον τομέα ανωτάτου επιπέδου .eu.</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Με τη θέσπιση μελλοντικά βιώσιμης νομοθεσίας και ευπροσάρμοστης δέσμης λεπτομερών πολιτικών για τη διαχείριση και τη διοίκηση του τομέα ανωτάτου επιπέδου .eu, η πρόταση έχει ως στόχο να βοηθήσει το όνομα τομέα .eu να αντεπεξέλθει στο ραγδαία μεταβαλλόμενο περιβάλλον του διαδικτύου.</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Αν και η παρούσα πρόταση αφορά ένα κατά κύριο λόγο τεχνικό, τομεακό ζήτημα σχετικά με τον κλάδο του συστήματος ονομάτων τομέα, θα συνεχίσει να εξασφαλίζει την ισχυρή προστασία των θεμελιωδών δικαιωμάτων στην Ευρωπαϊκή Ένωση κατά την εκμετάλλευση και τη διαχείριση του τομέα ανωτάτου επιπέδου .eu, σύμφωνα με τους κανόνες της Ευρωπαϊκής Ένωσης στον τομέα της προστασίας των δεδομένων, της ιδιωτικότητας, της ασφάλειας, της πολυγλωσσίας, καθώς και των δικαιωμάτων διανοητικής ιδιοκτησίας.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Το πολυμερές συμβούλιο για τον τομέα .eu πρέπει να έχει στη διάθεσή του επαρκείς πόρους. Το κόστος υπολογίζεται σε περίπου 50 000 € ανά έτος. Το νέο όργανο θα χρηματοδοτείται από την Επιτροπή.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spacing w:before="0" w:after="200" w:line="276" w:lineRule="auto"/>
        <w:rPr>
          <w:noProof/>
          <w:szCs w:val="24"/>
        </w:rPr>
      </w:pPr>
      <w:r>
        <w:rPr>
          <w:noProof/>
        </w:rPr>
        <w:t>Η Επιτροπή θα παρακολουθεί και θα εποπτεύει την οργάνωση, τη διοίκηση και τη διαχείριση του τομέα ανωτάτου επιπέδου .eu από το μητρώο.</w:t>
      </w:r>
    </w:p>
    <w:p>
      <w:pPr>
        <w:spacing w:before="0" w:after="200" w:line="276" w:lineRule="auto"/>
        <w:rPr>
          <w:rFonts w:eastAsia="Arial Unicode MS"/>
          <w:noProof/>
          <w:szCs w:val="24"/>
        </w:rPr>
      </w:pPr>
      <w:r>
        <w:rPr>
          <w:noProof/>
        </w:rPr>
        <w:t>Η Επιτροπή θα αξιολογήσει επίσης την υλοποίηση, την αποτελεσματικότητα και τη λειτουργία του τομέα ανωτάτου επιπέδου .eu το αργότερο πέντε έτη μετά την ημερομηνία εφαρμογής του παρόντος κανονισμού και στη συνέχεια κάθε τρία έτη.</w:t>
      </w:r>
    </w:p>
    <w:p>
      <w:pPr>
        <w:spacing w:before="0" w:after="200" w:line="276" w:lineRule="auto"/>
        <w:rPr>
          <w:rFonts w:eastAsia="Arial Unicode MS"/>
          <w:noProof/>
          <w:szCs w:val="24"/>
        </w:rPr>
      </w:pPr>
      <w:r>
        <w:rPr>
          <w:noProof/>
        </w:rPr>
        <w:t>Η Επιτροπή θα υποβάλλει έκθεση στο Ευρωπαϊκό Κοινοβούλιο και το Συμβούλιο με τα πορίσματα της εν λόγω αξιολόγησης.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line="276" w:lineRule="auto"/>
        <w:rPr>
          <w:rFonts w:eastAsia="Arial Unicode MS"/>
          <w:noProof/>
          <w:szCs w:val="24"/>
        </w:rPr>
      </w:pPr>
      <w:r>
        <w:rPr>
          <w:noProof/>
        </w:rPr>
        <w:t>Το κεφάλαιο I του κανονισμού περιέχει τις ακόλουθες γενικές διατάξεις: το αντικείμενο και τους στόχους (άρθρο 1) και τους ορισμούς (άρθρο 2).</w:t>
      </w:r>
    </w:p>
    <w:p>
      <w:pPr>
        <w:pBdr>
          <w:top w:val="nil"/>
          <w:left w:val="nil"/>
          <w:bottom w:val="nil"/>
          <w:right w:val="nil"/>
          <w:between w:val="nil"/>
          <w:bar w:val="nil"/>
        </w:pBdr>
        <w:spacing w:before="0" w:after="240" w:line="276" w:lineRule="auto"/>
        <w:rPr>
          <w:rFonts w:eastAsia="Arial Unicode MS"/>
          <w:noProof/>
          <w:szCs w:val="24"/>
        </w:rPr>
      </w:pPr>
      <w:r>
        <w:rPr>
          <w:noProof/>
        </w:rPr>
        <w:t>Το κεφάλαιο II του κανονισμού περιέχει τις βασικές διατάξεις σχετικά με την υλοποίηση του ονόματος τομέα ανωτάτου επιπέδου .eu.</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Το τμήμα I του εν λόγω κεφαλαίου περιέχει τις γενικές αρχές της καταχώρισης ονόματος τομέα ανωτάτου επιπέδου .eu: περιγράφει τα κριτήρια επιλεξιμότητας (άρθρο 3), τις γενικές προϋποθέσεις καταχώρισης και ανάκλησης ονομάτων τομέα (άρθρο 4), τις γλώσσες, το εφαρμοστέο δίκαιο και τη δικαιοδοσία (άρθρο 5), τις διαδικασίες για τη δέσμευση ονομάτων </w:t>
      </w:r>
      <w:r>
        <w:rPr>
          <w:noProof/>
        </w:rPr>
        <w:lastRenderedPageBreak/>
        <w:t>τομέα από το μητρώο, την Επιτροπή και τα κράτη μέλη (άρθρο 6) και τις διαδικασίες διαπίστευσης των καταχωρητών (άρθρο 7).</w:t>
      </w:r>
    </w:p>
    <w:p>
      <w:pPr>
        <w:pBdr>
          <w:top w:val="nil"/>
          <w:left w:val="nil"/>
          <w:bottom w:val="nil"/>
          <w:right w:val="nil"/>
          <w:between w:val="nil"/>
          <w:bar w:val="nil"/>
        </w:pBdr>
        <w:spacing w:before="0" w:after="240" w:line="276" w:lineRule="auto"/>
        <w:rPr>
          <w:rFonts w:eastAsia="Arial Unicode MS"/>
          <w:noProof/>
          <w:szCs w:val="24"/>
        </w:rPr>
      </w:pPr>
      <w:r>
        <w:rPr>
          <w:noProof/>
        </w:rPr>
        <w:t>Το τμήμα II αφορά τον ορισμό και τη γενική λειτουργία του μητρώου. Οι διατάξεις αυτές καλύπτουν από τον ορισμό του από την Επιτροπή (άρθρο 8) και τα χαρακτηριστικά του (άρθρο 9) έως τις βασικές του υποχρεώσεις (άρθρο 10). Το τμήμα αυτό περιέχει επίσης κατάλογο αρχών και διαδικασιών λειτουργίας του τομέα ανωτάτου επιπέδου .eu που θα πρέπει να περιλαμβάνονται στη σύμβαση με το μητρώο και έχουν ως στόχο να παρέχουν το πλαίσιο πολιτικής εντός του οποίου θα λειτουργεί το μητρώο (άρθρο 11). Τέλος, προβλέπεται ειδική διάταξη σχετικά με τη λειτουργία και τον σκοπό της βάσης δεδομένων WHOIS (άρθρο 12).</w:t>
      </w:r>
    </w:p>
    <w:p>
      <w:pPr>
        <w:pBdr>
          <w:top w:val="nil"/>
          <w:left w:val="nil"/>
          <w:bottom w:val="nil"/>
          <w:right w:val="nil"/>
          <w:between w:val="nil"/>
          <w:bar w:val="nil"/>
        </w:pBdr>
        <w:spacing w:before="0" w:after="240" w:line="276" w:lineRule="auto"/>
        <w:rPr>
          <w:rFonts w:eastAsia="Arial Unicode MS"/>
          <w:noProof/>
          <w:szCs w:val="24"/>
        </w:rPr>
      </w:pPr>
      <w:r>
        <w:rPr>
          <w:noProof/>
        </w:rPr>
        <w:t>Το τμήμα III αφορά τον εποπτικό έλεγχο του φορέα εκμετάλλευσης του μητρώου. Οι διατάξεις σχετικά με τις εποπτικές εξουσίες της Επιτροπής (άρθρο 13) και τη σύσταση πολυμερούς συμβουλίου για τον τομέα .eu (άρθρο 14) αποτελούν τη βάση για την παροχή συμβουλών από την ομάδα αυτή στην Επιτροπή σχετικά με την ενίσχυση και τη διεύρυνση των συνεισφορών για την ορθή διακυβέρνηση του μητρώου .eu και την αύξηση της διαφάνειας της λειτουργίας του.</w:t>
      </w:r>
    </w:p>
    <w:p>
      <w:pPr>
        <w:rPr>
          <w:noProof/>
        </w:rPr>
      </w:pPr>
      <w:r>
        <w:rPr>
          <w:noProof/>
        </w:rPr>
        <w:t xml:space="preserve">Τέλος, το κεφάλαιο III του κανονισμού περιέχει τις τελικές διατάξεις: επιφύλαξη δικαιωμάτων (άρθρο 15), αξιολόγηση και η επανεξέταση (άρθρο 16), διαδικασία επιτροπής (άρθρο 17) σύμφωνα με τα άρθρα 5 και 8 του κανονισμού (ΕΕ) αριθ. 182/2011. Επιπλέον, το κεφάλαιο αυτό περιέχει τις μεταβατικές διατάξεις για τη σύμβαση (άρθρο 18) και τις διατάξεις σχετικά με την κατάργηση του ισχύοντος νομικού πλαισίου (άρθρο 19) και την έναρξη ισχύος (άρθρο 20). Για την έναρξη εφαρμογής του κανονισμού προβλέπεται μέγιστο όριο τριών ετών από την έναρξη ισχύος του. Σκοπός είναι να περιοριστούν τυχόν κίνδυνοι διακοπής των υπηρεσιών του τομέα ανωτάτου επιπέδου .eu κατά τη μετάβαση από το παλαιό στο νέο κανονιστικό πλαίσιο, λαμβανομένης υπόψη της ανάγκης ορισμού και σύναψης νέας σύμβασης από την Επιτροπή με το μητρώο και της ανάγκης προετοιμασίας του μητρώου για την οργάνωση, τη διοίκηση και τη διαχείριση του τομέα ανωτάτου επιπέδου .eu.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2018/0110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υλοποίηση και τη λειτουργία του ονόματος τομέα ανωτάτου επιπέδου .eu και για την κατάργηση του κανονισμού (ΕΚ) αριθ. 733/2002 και του κανονισμού (ΕΚ) αριθ. 874/2004 της Επιτροπής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172,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0"/>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1"/>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Ο τομέας ανωτάτου επιπέδου με κωδικό χώρας (ccTLD) .eu θεσπίστηκε με τον κανονισμό (ΕΚ) αριθ. 733/2002 του Ευρωπαϊκού Κοινοβουλίου και του Συμβουλίου</w:t>
      </w:r>
      <w:r>
        <w:rPr>
          <w:rStyle w:val="FootnoteReference"/>
          <w:noProof/>
        </w:rPr>
        <w:footnoteReference w:id="12"/>
      </w:r>
      <w:r>
        <w:rPr>
          <w:noProof/>
        </w:rPr>
        <w:t xml:space="preserve"> και τον κανονισμό (ΕΚ) αριθ. 874/2004 της Επιτροπής</w:t>
      </w:r>
      <w:r>
        <w:rPr>
          <w:rStyle w:val="FootnoteReference"/>
          <w:noProof/>
        </w:rPr>
        <w:footnoteReference w:id="13"/>
      </w:r>
      <w:r>
        <w:rPr>
          <w:noProof/>
        </w:rPr>
        <w:t xml:space="preserve">. Από την έκδοση του κανονισμού (ΕΚ) αριθ. 733/2002 και του κανονισμού (ΕΚ) αριθ. 874/2004, το πολιτικό και το νομοθετικό πλαίσιο στην Ένωσης, το διαδικτυακό περιβάλλον και η αγορά έχουν αλλάξει σημαντικά. </w:t>
      </w:r>
    </w:p>
    <w:p>
      <w:pPr>
        <w:pStyle w:val="ManualConsidrant"/>
        <w:rPr>
          <w:noProof/>
        </w:rPr>
      </w:pPr>
      <w:r>
        <w:t>(2)</w:t>
      </w:r>
      <w:r>
        <w:tab/>
      </w:r>
      <w:r>
        <w:rPr>
          <w:noProof/>
        </w:rPr>
        <w:t xml:space="preserve">Οι τομείς ανωτάτου επιπέδου αποτελούν βασικό συστατικό στην ιεραρχική δομή του συστήματος ονομάτων τομέα (DNS) και διασφαλίζουν ένα διαλειτουργικό σύστημα μοναδικών αναγνωριστικών, διαθέσιμο σε ολόκληρο τον κόσμο, σε οποιαδήποτε εφαρμογή και οποιοδήποτε δίκτυο.  </w:t>
      </w:r>
    </w:p>
    <w:p>
      <w:pPr>
        <w:pStyle w:val="ManualConsidrant"/>
        <w:rPr>
          <w:noProof/>
        </w:rPr>
      </w:pPr>
      <w:r>
        <w:t>(3)</w:t>
      </w:r>
      <w:r>
        <w:tab/>
      </w:r>
      <w:r>
        <w:rPr>
          <w:noProof/>
        </w:rPr>
        <w:t xml:space="preserve">Ο τομέας ανωτάτου επιπέδου .eu θα πρέπει να προάγει τη χρήση και την πρόσβαση στα δίκτυα του διαδικτύου σύμφωνα με το άρθρο 170 και το άρθρο 171 της ΣΛΕΕ, με την παροχή καταχώρισης συμπληρωματικής των υφιστάμενων τομέων ανωτάτου </w:t>
      </w:r>
      <w:r>
        <w:rPr>
          <w:noProof/>
        </w:rPr>
        <w:lastRenderedPageBreak/>
        <w:t>επιπέδου με κωδικό χώρας (ccTLD) ή της παγκόσμιας καταχώρισης στους τομείς ανωτάτου επιπέδου γενικού χαρακτήρα.</w:t>
      </w:r>
    </w:p>
    <w:p>
      <w:pPr>
        <w:pStyle w:val="ManualConsidrant"/>
        <w:rPr>
          <w:noProof/>
        </w:rPr>
      </w:pPr>
      <w:r>
        <w:t>(4)</w:t>
      </w:r>
      <w:r>
        <w:tab/>
      </w:r>
      <w:r>
        <w:rPr>
          <w:noProof/>
        </w:rPr>
        <w:t xml:space="preserve">Ο τομέας ανωτάτου επιπέδου .eu θα πρέπει να παρέχει σαφώς αναγνωρίσιμη σύνδεση με την Ένωση και την ευρωπαϊκή αγορά. Θα πρέπει να επιτρέπει στις επιχειρήσεις, τους οργανισμούς και τα φυσικά πρόσωπα εντός της Ένωσης να καταχωρίζουν όνομα τομέα υπό τον τομέα ανωτάτου επιπέδου .eu. Οι πολίτες της Ένωσης θα πρέπει να έχουν τη δυνατότητα καταχώρισης ονόματος τομέα .eu ανεξάρτητα από τον τόπο διαμονής τους. </w:t>
      </w:r>
    </w:p>
    <w:p>
      <w:pPr>
        <w:pStyle w:val="ManualConsidrant"/>
        <w:rPr>
          <w:noProof/>
        </w:rPr>
      </w:pPr>
      <w:r>
        <w:t>(5)</w:t>
      </w:r>
      <w:r>
        <w:tab/>
      </w:r>
      <w:r>
        <w:rPr>
          <w:noProof/>
        </w:rPr>
        <w:t>Τα ονόματα τομέα στον τομέα ανωτάτου επιπέδου .eu θα πρέπει να διατίθενται στα επιλέξιμα μέρη ανάλογα με τη διαθεσιμότητα.</w:t>
      </w:r>
    </w:p>
    <w:p>
      <w:pPr>
        <w:pStyle w:val="ManualConsidrant"/>
        <w:rPr>
          <w:noProof/>
        </w:rPr>
      </w:pPr>
      <w:r>
        <w:t>(6)</w:t>
      </w:r>
      <w:r>
        <w:tab/>
      </w:r>
      <w:r>
        <w:rPr>
          <w:noProof/>
        </w:rPr>
        <w:t>Για να εξασφαλιστεί η καλύτερη προστασία των δικαιωμάτων των μερών να συνάπτουν συμβάσεις με το μητρώο και τους καταχωρητές, αντίστοιχα, οι διαφορές όσον αφορά τις καταχωρίσεις ονομάτων τομέα στον τομέα ανωτάτου επιπέδου .eu θα πρέπει να επιλύονται από όργανα που βρίσκονται στην Ένωση και που εφαρμόζουν την αντίστοιχη νομοθεσία των κρατών μελών, με την επιφύλαξη των δικαιωμάτων και των υποχρεώσεων που αναγνωρίζονται από τα κράτη μέλη ή την Ένωση και απορρέουν από διεθνή νομικά μέσα.</w:t>
      </w:r>
    </w:p>
    <w:p>
      <w:pPr>
        <w:pStyle w:val="ManualConsidrant"/>
        <w:rPr>
          <w:noProof/>
        </w:rPr>
      </w:pPr>
      <w:r>
        <w:t>(7)</w:t>
      </w:r>
      <w:r>
        <w:tab/>
      </w:r>
      <w:r>
        <w:rPr>
          <w:noProof/>
        </w:rPr>
        <w:t>Οι αρχές και οι διαδικασίες λειτουργίας του τομέα ανωτάτου επιπέδου .eu θα πρέπει να επισυνάπτονται στη σύμβαση μεταξύ της Επιτροπής και του ορισθέντος μητρώου.</w:t>
      </w:r>
    </w:p>
    <w:p>
      <w:pPr>
        <w:pStyle w:val="ManualConsidrant"/>
        <w:rPr>
          <w:noProof/>
        </w:rPr>
      </w:pPr>
      <w:r>
        <w:t>(8)</w:t>
      </w:r>
      <w:r>
        <w:tab/>
      </w:r>
      <w:r>
        <w:rPr>
          <w:noProof/>
        </w:rPr>
        <w:t>Προκειμένου να εξασφαλισθούν ενιαίες προϋποθέσεις για την εκτέλεση του παρόντος κανονισμού, θα πρέπει να ανατεθούν εκτελεστικές αρμοδιότητες στην Επιτροπή να εγκρίνει τον κατάλογο των ονομάτων τομέα που δεσμεύουν τα κράτη μέλη, να θεσπίζει τα κριτήρια και τη διαδικασία καθορισμού του μητρώου και να καθορίζει το μητρώο όταν συντρέχουν δεόντως αιτιολογημένοι λόγοι επείγουσας ανάγκης. Οι αρμοδιότητες αυτές θα πρέπει να ασκούνται σύμφωνα με τον κανονισμό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Οι κατάλογοι αυτοί θα πρέπει να καταρτίζονται ανάλογα με τη διαθεσιμότητα των ονομάτων τομέα, λαμβανομένων υπόψη των ονομάτων τομέα δεύτερου επιπέδου που έχουν ήδη δεσμευτεί ή καταχωριστεί από τα κράτη μέλη.</w:t>
      </w:r>
    </w:p>
    <w:p>
      <w:pPr>
        <w:pStyle w:val="ManualConsidrant"/>
        <w:rPr>
          <w:noProof/>
        </w:rPr>
      </w:pPr>
      <w:r>
        <w:t>(9)</w:t>
      </w:r>
      <w:r>
        <w:tab/>
      </w:r>
      <w:r>
        <w:rPr>
          <w:noProof/>
        </w:rPr>
        <w:t>Η Επιτροπή θα πρέπει, βάσει ανοικτής, διαφανούς και αμερόληπτης διαδικασίας επιλογής, να ορίσει ένα μητρώο για τον τομέα ανωτάτου επιπέδου .eu. Η Επιτροπή θα πρέπει να συνάψει σύμβαση με το επιλεγμένο μητρώο, που θα πρέπει να περιλαμβάνει τις λεπτομερείς αρχές και διαδικασίες που ισχύουν για το μητρώο όσον αφορά την οργάνωση, τη διοίκηση και τη διαχείριση του τομέα ανωτάτου επιπέδου .eu. Η σύμβαση θα πρέπει να είναι ορισμένου χρόνου και ανανεώσιμη.</w:t>
      </w:r>
    </w:p>
    <w:p>
      <w:pPr>
        <w:pStyle w:val="ManualConsidrant"/>
        <w:rPr>
          <w:noProof/>
        </w:rPr>
      </w:pPr>
      <w:r>
        <w:t>(10)</w:t>
      </w:r>
      <w:r>
        <w:tab/>
      </w:r>
      <w:r>
        <w:rPr>
          <w:noProof/>
        </w:rPr>
        <w:t xml:space="preserve">Ο παρών κανονισμός δεν θίγει την εφαρμογή των κανόνων ανταγωνισμού των άρθρων 101 και 102 της ΣΛΕΕ. </w:t>
      </w:r>
    </w:p>
    <w:p>
      <w:pPr>
        <w:pStyle w:val="ManualConsidrant"/>
        <w:rPr>
          <w:noProof/>
        </w:rPr>
      </w:pPr>
      <w:r>
        <w:t>(11)</w:t>
      </w:r>
      <w:r>
        <w:tab/>
      </w:r>
      <w:r>
        <w:rPr>
          <w:noProof/>
        </w:rPr>
        <w:t>Το μητρώο θα πρέπει να συμμορφώνεται με τις αρχές της μη εισαγωγής διακρίσεων και της διαφάνειας και θα πρέπει να εφαρμόζει μέτρα για τη διασφάλιση του θεμιτού ανταγωνισμού, τα οποία θα πρέπει να εγκρίνονται εκ των προτέρων από την Επιτροπή, ιδίως όταν το μητρώο παρέχει υπηρεσίες σε επιχειρήσεις τις οποίες ανταγωνίζεται σε αγορές επόμενου σταδίου.</w:t>
      </w:r>
    </w:p>
    <w:p>
      <w:pPr>
        <w:pStyle w:val="ManualConsidrant"/>
        <w:rPr>
          <w:noProof/>
        </w:rPr>
      </w:pPr>
      <w:r>
        <w:t>(12)</w:t>
      </w:r>
      <w:r>
        <w:tab/>
      </w:r>
      <w:r>
        <w:rPr>
          <w:noProof/>
        </w:rPr>
        <w:t xml:space="preserve">Επί του παρόντος, υπεύθυνο για τον συντονισμό της εκχώρησης στα μητρώα κωδικών που αντιπροσωπεύουν τομείς ανωτάτου επιπέδου με κωδικό χώρας  είναι το Σώμα του διαδικτύου για την εκχώρηση ονομάτων και αριθμών (ICANN). Το μητρώο θα πρέπει </w:t>
      </w:r>
      <w:r>
        <w:rPr>
          <w:noProof/>
        </w:rPr>
        <w:lastRenderedPageBreak/>
        <w:t>να συνάπτει κατάλληλη σύμβαση με το ICANN που προβλέπει την εκχώρηση του κωδικού  ccTLD .eu, λαμβανομένων υπόψη των σχετικών αρχών που καθορίζει η κυβερνητική συμβουλευτική επιτροπή (GAC).</w:t>
      </w:r>
    </w:p>
    <w:p>
      <w:pPr>
        <w:pStyle w:val="ManualConsidrant"/>
        <w:rPr>
          <w:noProof/>
        </w:rPr>
      </w:pPr>
      <w:r>
        <w:t>(13)</w:t>
      </w:r>
      <w:r>
        <w:tab/>
      </w:r>
      <w:r>
        <w:rPr>
          <w:noProof/>
        </w:rPr>
        <w:t>Το μητρώο θα πρέπει να συνάψει κατάλληλη συμφωνία μεσεγγύησης, προκειμένου να διασφαλίσει αδιάλειπτη παροχή της υπηρεσίας, και ιδίως να διασφαλίσει ότι σε περίπτωση αλλαγής εκπροσώπησης ή άλλων απρόβλεπτων καταστάσεων, θα είναι σε θέση να εξακολουθήσει να παρέχει υπηρεσίες στην τοπική κοινότητα διαδικτύου με την ελάχιστη δυνατή αναστάτωση. Το μητρώο θα πρέπει να υποβάλει στον φορέα μεσεγγύησης, σε ημερήσια βάση, ηλεκτρονικό αντίγραφο του τρέχοντος περιεχομένου της βάσης δεδομένων .eu.</w:t>
      </w:r>
    </w:p>
    <w:p>
      <w:pPr>
        <w:pStyle w:val="ManualConsidrant"/>
        <w:rPr>
          <w:noProof/>
        </w:rPr>
      </w:pPr>
      <w:r>
        <w:t>(14)</w:t>
      </w:r>
      <w:r>
        <w:tab/>
      </w:r>
      <w:r>
        <w:rPr>
          <w:noProof/>
        </w:rPr>
        <w:t xml:space="preserve">Οι διαδικασίες εναλλακτικής επίλυσης διαφορών (ADR) θα πρέπει να λαμβάνουν υπόψη τις διεθνείς βέλτιστες πρακτικές στον εν λόγω τομέα και, ιδίως, τις σχετικές συστάσεις της Παγκόσμιας Οργάνωσης Πνευματικής Ιδιοκτησίας, προκειμένου να διασφαλίζεται η αποφυγή, στο μέτρο του δυνατού, των κερδοσκοπικών και καταχρηστικών καταχωρίσεων. Κατά τη διαδικασία της εναλλακτικής επίλυσης διαφορών πρέπει να τηρείται ένας ελάχιστος αριθμός ενιαίων διαδικαστικών κανόνων σύμφωνων με τους κανόνες που θεσπίστηκαν στο πλαίσιο της πολιτικής ενιαίας επίλυσης διαφορών, η οποία εγκρίθηκε από το ICANN. </w:t>
      </w:r>
    </w:p>
    <w:p>
      <w:pPr>
        <w:pStyle w:val="ManualConsidrant"/>
        <w:rPr>
          <w:noProof/>
        </w:rPr>
      </w:pPr>
      <w:r>
        <w:t>(15)</w:t>
      </w:r>
      <w:r>
        <w:tab/>
      </w:r>
      <w:r>
        <w:rPr>
          <w:noProof/>
        </w:rPr>
        <w:t>Η πολιτική σχετικά με την καταχρηστική καταχώριση ονομάτων τομέα .eu θα πρέπει να προβλέπει την επαλήθευση από το μητρώο των δεδομένων που λαμβάνει, καθώς και την ανάκληση και τον αποκλεισμό από μελλοντική καταχώριση των ονομάτων τομέα που, με βάση τελική απόφαση δικαστηρίου κράτους μέλους, κρίνονται δυσφημιστικά, ρατσιστικά ή με άλλο τρόπο αντίθετα στο δίκαιο του κράτους μέλους. Το μητρώο θα πρέπει να είναι επιδεικνύει ιδιαίτερη προσοχή στην εξασφάλιση της ορθότητας των δεδομένων που λαμβάνει και κατέχει.</w:t>
      </w:r>
    </w:p>
    <w:p>
      <w:pPr>
        <w:pStyle w:val="ManualConsidrant"/>
        <w:rPr>
          <w:noProof/>
        </w:rPr>
      </w:pPr>
      <w:r>
        <w:t>(16)</w:t>
      </w:r>
      <w:r>
        <w:tab/>
      </w:r>
      <w:r>
        <w:rPr>
          <w:noProof/>
        </w:rPr>
        <w:t>Το μητρώο θα πρέπει να υποστηρίζει τις διωκτικές αρχές στην καταπολέμηση του εγκλήματος εφαρμόζοντας τεχνικά και επιχειρησιακά μέτρα που έχουν ως στόχο να επιτρέπουν στις αρμόδιες αρχές να έχουν πρόσβαση στα δεδομένα του μητρώου για σκοπούς πρόληψης, εντοπισμού, διερεύνησης και δίωξης εγκλημάτων, όπως προβλέπεται από το ενωσιακό ή το εθνικό δίκαιο.</w:t>
      </w:r>
    </w:p>
    <w:p>
      <w:pPr>
        <w:pStyle w:val="ManualConsidrant"/>
        <w:rPr>
          <w:noProof/>
        </w:rPr>
      </w:pPr>
      <w:r>
        <w:t>(17)</w:t>
      </w:r>
      <w:r>
        <w:tab/>
      </w:r>
      <w:r>
        <w:rPr>
          <w:noProof/>
        </w:rPr>
        <w:t>Η εφαρμογή του παρόντος κανονισμού θα πρέπει να γίνεται σύμφωνα με τις αρχές που αφορούν την προστασία της ιδιωτικής ζωής και των δεδομένων προσωπικού χαρακτήρα. Το μητρώο θα πρέπει να συμμορφώνεται με τους σχετικούς ενωσιακούς κανόνες, τις αρχές και τις κατευθυντήριες γραμμές για την προστασία των δεδομένων και ιδίως με τις σχετικές απαιτήσεις ασφαλείας, τις αρχές της αναγκαιότητας, της αναλογικότητας, του περιορισμού του σκοπού και της αναλογικής περιόδου διατήρησης των δεδομένων. Επίσης, η προστασία των δεδομένων προσωπικού χαρακτήρα ήδη από τον σχεδιασμό και εκ προεπιλογής θα πρέπει να ενσωματωθεί σε όλα τα συστήματα επεξεργασίας δεδομένων και τις βάσεις δεδομένων που αναπτύσσονται και/ή διατηρούνται.</w:t>
      </w:r>
    </w:p>
    <w:p>
      <w:pPr>
        <w:pStyle w:val="ManualConsidrant"/>
        <w:rPr>
          <w:noProof/>
        </w:rPr>
      </w:pPr>
      <w:r>
        <w:t>(18)</w:t>
      </w:r>
      <w:r>
        <w:tab/>
      </w:r>
      <w:r>
        <w:rPr>
          <w:noProof/>
        </w:rPr>
        <w:t xml:space="preserve">Προκειμένου να εξασφαλιστεί αποτελεσματική περιοδική εποπτεία, το μητρώο θα πρέπει να ελέγχεται, με δικές του δαπάνες, τουλάχιστον ανά διετία, από ανεξάρτητο όργανο με σκοπό την επιβεβαίωση της συμμόρφωσης του μητρώου με τις απαιτήσεις του παρόντος κανονισμού. Το μητρώο θα πρέπει να υποβάλλει στην Επιτροπή την έκθεση αξιολόγησης της συμμόρφωσης που προκύπτει σύμφωνα με τη διαδικασία που ορίζεται στη σύμβαση με το μητρώο. </w:t>
      </w:r>
    </w:p>
    <w:p>
      <w:pPr>
        <w:pStyle w:val="ManualConsidrant"/>
        <w:rPr>
          <w:noProof/>
        </w:rPr>
      </w:pPr>
      <w:r>
        <w:lastRenderedPageBreak/>
        <w:t>(19)</w:t>
      </w:r>
      <w:r>
        <w:tab/>
      </w:r>
      <w:r>
        <w:rPr>
          <w:noProof/>
        </w:rPr>
        <w:t>Η σύμβαση που συνάπτεται με το μητρώο θα πρέπει να προβλέπει διαδικασίες για τη βελτίωση της οργάνωσης, της διοίκησης και της διαχείρισης του τομέα ανωτάτου επιπέδου .eu από το μητρώο σύμφωνα με τις οδηγίες της Επιτροπής που προκύπτουν από τις εποπτικές δραστηριότητες που προβλέπει ο παρών κανονισμός.</w:t>
      </w:r>
    </w:p>
    <w:p>
      <w:pPr>
        <w:pStyle w:val="ManualConsidrant"/>
        <w:rPr>
          <w:noProof/>
        </w:rPr>
      </w:pPr>
      <w:r>
        <w:t>(20)</w:t>
      </w:r>
      <w:r>
        <w:tab/>
      </w:r>
      <w:r>
        <w:rPr>
          <w:noProof/>
        </w:rPr>
        <w:t xml:space="preserve">Στα συμπεράσματα του Συμβουλίου σχετικά με τη διακυβέρνηση του διαδικτύου, της 27ης Νοεμβρίου 2014, επανεπιβεβαιώθηκε η προσήλωση της Ευρωπαϊκής Ένωσης στην προαγωγή πολυσυμμετοχικών δομών διακυβέρνησης που βασίζονται σε ένα συνεκτικό σύνολο παγκόσμιων αρχών διακυβέρνησης του διαδικτύου. Η έννοια της διακυβέρνησης του διαδικτύου χωρίς αποκλεισμούς αναφέρεται στην ανάπτυξη και στην εφαρμογή —από πλευράς κυβερνήσεων, του ιδιωτικού τομέα, της κοινωνίας των πολιτών, διεθνών οργανισμών και της τεχνολογικής κοινότητας στο πλαίσιο των αντίστοιχων αρμοδιοτήτων τους— κοινών αρχών, προτύπων, κανόνων, διαδικασιών λήψης αποφάσεων και προγραμμάτων τα οποία διαμορφώνουν την εξέλιξη και τη χρήση του διαδικτύου. </w:t>
      </w:r>
    </w:p>
    <w:p>
      <w:pPr>
        <w:pStyle w:val="ManualConsidrant"/>
        <w:rPr>
          <w:noProof/>
        </w:rPr>
      </w:pPr>
      <w:r>
        <w:t>(21)</w:t>
      </w:r>
      <w:r>
        <w:tab/>
      </w:r>
      <w:r>
        <w:rPr>
          <w:noProof/>
        </w:rPr>
        <w:t>Θα πρέπει να συσταθεί πολυμερές συμβούλιο για τον τομέα .eu με συμβουλευτικό ρόλο προς την Επιτροπή με σκοπό την ενίσχυση και διεύρυνση των συνεισφορών για την ορθή διακυβέρνηση του μητρώου .eu και των ζητημάτων που καλύπτονται από τις αρχές και τις διαδικασίες για τη λειτουργία του τομέα ανωτάτου επιπέδου .eu και την ενίσχυση της διαφάνειας των εμπορικών και επιχειρησιακών πρακτικών του μητρώου. Τα μέλη της ομάδας θα πρέπει να αντικατοπτρίζουν το πολυσυμμετοχικό μοντέλο διακυβέρνησης του διαδικτύου και να διορίζονται από την Επιτροπή με βάση ανοικτή και διαφανή διαδικασία.</w:t>
      </w:r>
    </w:p>
    <w:p>
      <w:pPr>
        <w:pStyle w:val="ManualConsidrant"/>
        <w:rPr>
          <w:noProof/>
        </w:rPr>
      </w:pPr>
      <w:r>
        <w:t>(22)</w:t>
      </w:r>
      <w:r>
        <w:tab/>
      </w:r>
      <w:r>
        <w:rPr>
          <w:noProof/>
        </w:rPr>
        <w:t xml:space="preserve">Η Επιτροπή θα πρέπει να διενεργεί αξιολόγηση της αποτελεσματικότητας και της λειτουργίας του τομέα ανωτάτου επιπέδου .eu. Στην αξιολόγηση θα πρέπει να λαμβάνονται υπόψη οι εργασιακές πρακτικές και η συνάφεια των καθηκόντων του ορισθέντος μητρώου. </w:t>
      </w:r>
    </w:p>
    <w:p>
      <w:pPr>
        <w:pStyle w:val="ManualConsidrant"/>
        <w:rPr>
          <w:noProof/>
        </w:rPr>
      </w:pPr>
      <w:r>
        <w:t>(23)</w:t>
      </w:r>
      <w:r>
        <w:tab/>
      </w:r>
      <w:r>
        <w:rPr>
          <w:noProof/>
        </w:rPr>
        <w:t>Δεδομένου ότι ο στόχος του παρόντος κανονισμού, δηλαδή η υλοποίηση ενός πανευρωπαϊκού τομέα ανωτάτου επιπέδου επιπλέον των εθνικών τομέων ανωτάτου επιπέδου με κωδικό χώρας, δεν μπορεί να επιτευχθεί επαρκώς από τα κράτη μέλη, μπορεί όμως, λόγω της κλίμακας και των επιπτώσεών του, να επιτευχθεί καλύτερα σε ενωσιακό επίπεδο, η Ένωση δύναται να λάβει μέτρα σύμφωνα με την αρχή της επικουρικότητας, η οποία διατυπώνεται στο άρθρο 5 της Συνθήκης για την Ευρωπαϊκή Ένωση (ΣΕΕ). Σύμφωνα με την αρχή της αναλογικότητας, που ορίζεται στο ίδιο άρθρο, ο παρών κανονισμός δεν υπερβαίνει τα αναγκαία όρια για την επίτευξη του στόχου αυτού.</w:t>
      </w:r>
    </w:p>
    <w:p>
      <w:pPr>
        <w:pStyle w:val="ManualConsidrant"/>
        <w:rPr>
          <w:noProof/>
        </w:rPr>
      </w:pPr>
      <w:r>
        <w:t>(24)</w:t>
      </w:r>
      <w:r>
        <w:tab/>
      </w:r>
      <w:r>
        <w:rPr>
          <w:noProof/>
        </w:rPr>
        <w:t>Προκειμένου να περιοριστούν τυχόν κίνδυνοι διακοπής των υπηρεσιών του τομέα ανωτάτου επιπέδου .eu κατά τη μετάβαση από το παλιό στο νέο κανονιστικό πλαίσιο, στον παρόντα κανονισμό προβλέπονται μεταβατικές διατάξεις.</w:t>
      </w:r>
    </w:p>
    <w:p>
      <w:pPr>
        <w:pStyle w:val="ManualConsidrant"/>
        <w:rPr>
          <w:noProof/>
        </w:rPr>
      </w:pPr>
      <w:r>
        <w:t>(25)</w:t>
      </w:r>
      <w:r>
        <w:tab/>
      </w:r>
      <w:r>
        <w:rPr>
          <w:noProof/>
        </w:rPr>
        <w:t>Ο κανονισμός (EE) αριθ. 733/2002 του Ευρωπαϊκού Κοινοβουλίου και του Συμβουλίου και ο κανονισμός (ΕΚ) αριθ. 874/2004 της Επιτροπής θα πρέπει επομένως να καταργηθούν,</w:t>
      </w:r>
    </w:p>
    <w:p>
      <w:pPr>
        <w:pStyle w:val="Formuledadoption"/>
        <w:rPr>
          <w:noProof/>
        </w:rPr>
      </w:pPr>
      <w:r>
        <w:rPr>
          <w:noProof/>
        </w:rPr>
        <w:t>ΕΞΕΔΩΣΑΝ ΤΟΝ ΠΑΡΟΝΤΑ ΚΑΝΟΝΙΣΜΟ:</w:t>
      </w:r>
    </w:p>
    <w:p>
      <w:pPr>
        <w:keepNext/>
        <w:spacing w:before="360"/>
        <w:jc w:val="center"/>
        <w:rPr>
          <w:i/>
          <w:noProof/>
          <w:szCs w:val="24"/>
        </w:rPr>
      </w:pPr>
      <w:r>
        <w:rPr>
          <w:i/>
          <w:noProof/>
        </w:rPr>
        <w:t>ΚΕΦΑΛΑΙΟ I</w:t>
      </w:r>
    </w:p>
    <w:p>
      <w:pPr>
        <w:spacing w:before="0" w:after="200" w:line="276" w:lineRule="auto"/>
        <w:jc w:val="center"/>
        <w:rPr>
          <w:b/>
          <w:i/>
          <w:noProof/>
          <w:szCs w:val="24"/>
        </w:rPr>
      </w:pPr>
      <w:r>
        <w:rPr>
          <w:b/>
          <w:i/>
          <w:noProof/>
        </w:rPr>
        <w:t>Γενικές διατάξεις</w:t>
      </w:r>
    </w:p>
    <w:p>
      <w:pPr>
        <w:pStyle w:val="Titrearticle"/>
        <w:rPr>
          <w:noProof/>
        </w:rPr>
      </w:pPr>
      <w:r>
        <w:rPr>
          <w:noProof/>
        </w:rPr>
        <w:lastRenderedPageBreak/>
        <w:t>Άρθρο 1</w:t>
      </w:r>
    </w:p>
    <w:p>
      <w:pPr>
        <w:spacing w:before="0" w:after="200" w:line="276" w:lineRule="auto"/>
        <w:jc w:val="center"/>
        <w:rPr>
          <w:b/>
          <w:noProof/>
          <w:szCs w:val="24"/>
        </w:rPr>
      </w:pPr>
      <w:r>
        <w:rPr>
          <w:b/>
          <w:noProof/>
        </w:rPr>
        <w:t>Αντικείμενο και στόχοι</w:t>
      </w:r>
    </w:p>
    <w:p>
      <w:pPr>
        <w:spacing w:before="0" w:after="200" w:line="276" w:lineRule="auto"/>
        <w:rPr>
          <w:b/>
          <w:noProof/>
          <w:szCs w:val="24"/>
        </w:rPr>
      </w:pPr>
      <w:r>
        <w:rPr>
          <w:noProof/>
        </w:rPr>
        <w:t>1.</w:t>
      </w:r>
      <w:r>
        <w:rPr>
          <w:noProof/>
        </w:rPr>
        <w:tab/>
        <w:t>Ο παρών κανονισμός υλοποιεί τον τομέα ανωτάτου επιπέδου με κωδικό χώρας («ccTLD») .eu και καθορίζει τις προϋποθέσεις για την υλοποίησή του, συμπεριλαμβανομένου του ορισμού και των χαρακτηριστικών του μητρώου. Ο παρών κανονισμός θεσπίζει επίσης το νομικό και γενικό πλαίσιο πολιτικής εντός του οποίου θα λειτουργεί το ορισθέν μητρώο.</w:t>
      </w:r>
    </w:p>
    <w:p>
      <w:pPr>
        <w:spacing w:before="0" w:after="200" w:line="276" w:lineRule="auto"/>
        <w:rPr>
          <w:noProof/>
          <w:szCs w:val="24"/>
        </w:rPr>
      </w:pPr>
      <w:r>
        <w:rPr>
          <w:noProof/>
        </w:rPr>
        <w:t>2.</w:t>
      </w:r>
      <w:r>
        <w:rPr>
          <w:noProof/>
        </w:rPr>
        <w:tab/>
        <w:t>Ο παρών κανονισμός εφαρμόζεται με την επιφύλαξη διακανονισμών στα κράτη μέλη όσον αφορά τους εθνικούς τους τομείς ανωτάτου επιπέδου με κωδικό χώρας.</w:t>
      </w:r>
    </w:p>
    <w:p>
      <w:pPr>
        <w:pStyle w:val="Titrearticle"/>
        <w:rPr>
          <w:noProof/>
        </w:rPr>
      </w:pPr>
      <w:r>
        <w:rPr>
          <w:noProof/>
        </w:rPr>
        <w:t>Άρθρο 2</w:t>
      </w:r>
    </w:p>
    <w:p>
      <w:pPr>
        <w:spacing w:before="0" w:after="200" w:line="276" w:lineRule="auto"/>
        <w:jc w:val="center"/>
        <w:rPr>
          <w:b/>
          <w:noProof/>
          <w:szCs w:val="24"/>
        </w:rPr>
      </w:pPr>
      <w:r>
        <w:rPr>
          <w:b/>
          <w:noProof/>
        </w:rPr>
        <w:t>Ορισμοί</w:t>
      </w:r>
    </w:p>
    <w:p>
      <w:pPr>
        <w:spacing w:before="0" w:after="200" w:line="276" w:lineRule="auto"/>
        <w:rPr>
          <w:noProof/>
          <w:szCs w:val="24"/>
        </w:rPr>
      </w:pPr>
      <w:r>
        <w:rPr>
          <w:noProof/>
        </w:rPr>
        <w:t>Για τους σκοπούς του παρόντος κανονισμού ισχύουν οι ακόλουθοι ορισμοί:</w:t>
      </w:r>
    </w:p>
    <w:p>
      <w:pPr>
        <w:spacing w:before="0" w:after="200" w:line="276" w:lineRule="auto"/>
        <w:rPr>
          <w:noProof/>
          <w:szCs w:val="24"/>
        </w:rPr>
      </w:pPr>
      <w:r>
        <w:rPr>
          <w:noProof/>
        </w:rPr>
        <w:t>α) «μητρώο»: η οντότητα η οποία επιφορτίζεται με την οργάνωση, τη διοίκηση και τη διαχείριση του τομέα ανωτάτου επιπέδου .eu, συμπεριλαμβανομένης της συντήρησης των σχετικών βάσεων δεδομένων, των σχετικών υπηρεσιών δημόσιας αναζήτησης, της καταχώρισης των ονομάτων τομέα, της λειτουργίας του μητρώου ονομάτων τομέα, της λειτουργίας των εξυπηρετητών του μητρώου ονομάτων τομέα ανωτάτου επιπέδου και της διάδοσης των αρχείων ζώνης του τομέα ανωτάτου επιπέδου·</w:t>
      </w:r>
    </w:p>
    <w:p>
      <w:pPr>
        <w:spacing w:before="0" w:after="200" w:line="276" w:lineRule="auto"/>
        <w:rPr>
          <w:noProof/>
          <w:szCs w:val="24"/>
        </w:rPr>
      </w:pPr>
      <w:r>
        <w:rPr>
          <w:noProof/>
        </w:rPr>
        <w:t>β) «καταχωρητής»: το φυσικό ή νομικό πρόσωπο που, βάσει συμβάσεως με το μητρώο, παρέχει υπηρεσίες καταχώρισης ονομάτων τομέα σε καταχωρούμενους·</w:t>
      </w:r>
    </w:p>
    <w:p>
      <w:pPr>
        <w:spacing w:before="0" w:after="200" w:line="276" w:lineRule="auto"/>
        <w:rPr>
          <w:noProof/>
          <w:szCs w:val="24"/>
        </w:rPr>
      </w:pPr>
      <w:r>
        <w:rPr>
          <w:noProof/>
        </w:rPr>
        <w:t>γ) «πρωτόκολλα διεθνοποιημένων ονομάτων τομέα (IDN)»: τα πρότυπα και τα πρωτόκολλα που στηρίζουν τη χρήση ονομάτων τομέων με χαρακτήρες που δεν είναι χαρακτήρες του Αμερικανικού Πρότυπου Κώδικα για Ανταλλαγή Πληροφοριών (κώδικα ASCII)·</w:t>
      </w:r>
    </w:p>
    <w:p>
      <w:pPr>
        <w:spacing w:before="0" w:after="200" w:line="276" w:lineRule="auto"/>
        <w:rPr>
          <w:noProof/>
          <w:szCs w:val="24"/>
        </w:rPr>
      </w:pPr>
      <w:r>
        <w:rPr>
          <w:noProof/>
        </w:rPr>
        <w:t>δ) «βάση δεδομένων WHOIS»: η συλλογή δεδομένων που περιέχουν πληροφορίες σχετικά με τις τεχνικές και διοικητικές πτυχές των καταχωρίσεων του τομέα ανωτάτου επιπέδου .eu·</w:t>
      </w:r>
    </w:p>
    <w:p>
      <w:pPr>
        <w:spacing w:before="0" w:after="200" w:line="276" w:lineRule="auto"/>
        <w:rPr>
          <w:noProof/>
          <w:szCs w:val="24"/>
        </w:rPr>
      </w:pPr>
      <w:r>
        <w:rPr>
          <w:noProof/>
        </w:rPr>
        <w:t xml:space="preserve">ε) «αρχές και διαδικασίες λειτουργίας του τομέα ανωτάτου επιπέδου .eu»: οι λεπτομερείς κανόνες λειτουργίας και διαχείρισης του τομέα ανωτάτου επιπέδου .eu· </w:t>
      </w:r>
    </w:p>
    <w:p>
      <w:pPr>
        <w:spacing w:before="0" w:after="200" w:line="276" w:lineRule="auto"/>
        <w:rPr>
          <w:noProof/>
          <w:szCs w:val="24"/>
        </w:rPr>
      </w:pPr>
      <w:r>
        <w:rPr>
          <w:noProof/>
        </w:rPr>
        <w:t>στ) «καταχώριση»: σειρά ενεργειών και διαδικαστικών βημάτων, από την έναρξη έως την ολοκλήρωση, που λαμβάνονται από τους καταχωρητές και/ή το μητρώο κατόπιν αιτήματος φυσικού ή νομικού προσώπου και έχουν ως στόχο την υλοποίηση της καταχώρισης ονόματος τομέα για ορισμένο χρονικό διάστημα.</w:t>
      </w:r>
    </w:p>
    <w:p>
      <w:pPr>
        <w:keepNext/>
        <w:spacing w:before="360"/>
        <w:jc w:val="center"/>
        <w:rPr>
          <w:i/>
          <w:noProof/>
          <w:szCs w:val="24"/>
        </w:rPr>
      </w:pPr>
      <w:r>
        <w:rPr>
          <w:i/>
          <w:noProof/>
        </w:rPr>
        <w:t>ΚΕΦΑΛΑΙΟ II</w:t>
      </w:r>
    </w:p>
    <w:p>
      <w:pPr>
        <w:spacing w:before="0" w:after="200" w:line="276" w:lineRule="auto"/>
        <w:jc w:val="center"/>
        <w:rPr>
          <w:b/>
          <w:i/>
          <w:noProof/>
          <w:szCs w:val="24"/>
        </w:rPr>
      </w:pPr>
      <w:r>
        <w:rPr>
          <w:b/>
          <w:i/>
          <w:noProof/>
        </w:rPr>
        <w:t>Υλοποίηση του τομέα ανωτάτου επιπέδου .eu</w:t>
      </w:r>
    </w:p>
    <w:p>
      <w:pPr>
        <w:spacing w:before="0" w:after="200" w:line="276" w:lineRule="auto"/>
        <w:jc w:val="center"/>
        <w:rPr>
          <w:i/>
          <w:noProof/>
          <w:szCs w:val="24"/>
        </w:rPr>
      </w:pPr>
      <w:r>
        <w:rPr>
          <w:i/>
          <w:noProof/>
        </w:rPr>
        <w:t>Τμήμα 1</w:t>
      </w:r>
    </w:p>
    <w:p>
      <w:pPr>
        <w:spacing w:before="0" w:after="200" w:line="276" w:lineRule="auto"/>
        <w:jc w:val="center"/>
        <w:rPr>
          <w:i/>
          <w:noProof/>
          <w:szCs w:val="24"/>
        </w:rPr>
      </w:pPr>
      <w:r>
        <w:rPr>
          <w:i/>
          <w:noProof/>
        </w:rPr>
        <w:t>ΓΕΝΙΚΕΣ ΑΡΧΕΣ</w:t>
      </w:r>
    </w:p>
    <w:p>
      <w:pPr>
        <w:pStyle w:val="Titrearticle"/>
        <w:rPr>
          <w:noProof/>
        </w:rPr>
      </w:pPr>
      <w:r>
        <w:rPr>
          <w:noProof/>
        </w:rPr>
        <w:lastRenderedPageBreak/>
        <w:t>Άρθρο 3</w:t>
      </w:r>
    </w:p>
    <w:p>
      <w:pPr>
        <w:spacing w:before="0" w:after="200" w:line="276" w:lineRule="auto"/>
        <w:jc w:val="center"/>
        <w:rPr>
          <w:b/>
          <w:noProof/>
          <w:szCs w:val="24"/>
        </w:rPr>
      </w:pPr>
      <w:r>
        <w:rPr>
          <w:b/>
          <w:noProof/>
        </w:rPr>
        <w:t>Κριτήρια επιλεξιμότητας</w:t>
      </w:r>
    </w:p>
    <w:p>
      <w:pPr>
        <w:spacing w:before="0" w:after="200" w:line="276" w:lineRule="auto"/>
        <w:rPr>
          <w:noProof/>
          <w:szCs w:val="24"/>
        </w:rPr>
      </w:pPr>
      <w:r>
        <w:rPr>
          <w:noProof/>
        </w:rPr>
        <w:t>Η καταχώριση ενός ή περισσότερων ονομάτων τομέα υπό τον τομέα ανωτάτου επιπέδου .eu μπορεί να ζητηθεί από οποιονδήποτε από τους παρακάτω:</w:t>
      </w:r>
    </w:p>
    <w:p>
      <w:pPr>
        <w:spacing w:before="0" w:after="200" w:line="276" w:lineRule="auto"/>
        <w:rPr>
          <w:noProof/>
          <w:szCs w:val="24"/>
        </w:rPr>
      </w:pPr>
      <w:r>
        <w:rPr>
          <w:noProof/>
        </w:rPr>
        <w:t>i) πολίτη της Ένωσης, ανεξάρτητα από τον τόπο διαμονής του· ή</w:t>
      </w:r>
    </w:p>
    <w:p>
      <w:pPr>
        <w:spacing w:before="0" w:after="200" w:line="276" w:lineRule="auto"/>
        <w:rPr>
          <w:noProof/>
          <w:szCs w:val="24"/>
        </w:rPr>
      </w:pPr>
      <w:r>
        <w:rPr>
          <w:noProof/>
        </w:rPr>
        <w:t>ii) φυσικό πρόσωπο που δεν είναι πολίτης της Ένωσης και κατοικεί σε κράτος μέλος· ή</w:t>
      </w:r>
    </w:p>
    <w:p>
      <w:pPr>
        <w:spacing w:before="0" w:after="200" w:line="276" w:lineRule="auto"/>
        <w:rPr>
          <w:noProof/>
          <w:szCs w:val="24"/>
        </w:rPr>
      </w:pPr>
      <w:r>
        <w:rPr>
          <w:noProof/>
        </w:rPr>
        <w:t>iii) επιχείρηση εγκατεστημένη εντός της Ένωσης· ή</w:t>
      </w:r>
    </w:p>
    <w:p>
      <w:pPr>
        <w:spacing w:before="0" w:after="200" w:line="276" w:lineRule="auto"/>
        <w:rPr>
          <w:noProof/>
          <w:szCs w:val="24"/>
        </w:rPr>
      </w:pPr>
      <w:r>
        <w:rPr>
          <w:noProof/>
        </w:rPr>
        <w:t>iv) οργανισμό ο οποίος είναι εγκατεστημένος εντός της Ένωσης, με την επιφύλαξη της εφαρμογής του εθνικού δικαίου.</w:t>
      </w:r>
    </w:p>
    <w:p>
      <w:pPr>
        <w:pStyle w:val="Titrearticle"/>
        <w:rPr>
          <w:noProof/>
        </w:rPr>
      </w:pPr>
      <w:r>
        <w:rPr>
          <w:noProof/>
        </w:rPr>
        <w:t>Άρθρο 4</w:t>
      </w:r>
    </w:p>
    <w:p>
      <w:pPr>
        <w:spacing w:before="0" w:after="200" w:line="276" w:lineRule="auto"/>
        <w:jc w:val="center"/>
        <w:rPr>
          <w:b/>
          <w:noProof/>
          <w:szCs w:val="24"/>
        </w:rPr>
      </w:pPr>
      <w:r>
        <w:rPr>
          <w:b/>
          <w:noProof/>
        </w:rPr>
        <w:t>Καταχώριση και ανάκληση ονομάτων τομέα</w:t>
      </w:r>
    </w:p>
    <w:p>
      <w:pPr>
        <w:spacing w:before="0" w:after="200" w:line="276" w:lineRule="auto"/>
        <w:rPr>
          <w:noProof/>
          <w:szCs w:val="24"/>
        </w:rPr>
      </w:pPr>
      <w:r>
        <w:rPr>
          <w:noProof/>
        </w:rPr>
        <w:t>1.</w:t>
      </w:r>
      <w:r>
        <w:rPr>
          <w:noProof/>
        </w:rPr>
        <w:tab/>
        <w:t xml:space="preserve">Ένα όνομα τομέα διατίθεται στο επιλέξιμο μέρος του οποίου η αίτηση έχει παραληφθεί πρώτη κατά σειρά από το μητρώο, με τεχνικώς σωστό τρόπο, σύμφωνα με τις διαδικασίες για τις αιτήσεις καταχώρισης βάσει του άρθρου 11 στοιχείο β). </w:t>
      </w:r>
    </w:p>
    <w:p>
      <w:pPr>
        <w:spacing w:before="0" w:after="200" w:line="276" w:lineRule="auto"/>
        <w:rPr>
          <w:noProof/>
          <w:szCs w:val="24"/>
        </w:rPr>
      </w:pPr>
      <w:r>
        <w:rPr>
          <w:noProof/>
        </w:rPr>
        <w:t>2.</w:t>
      </w:r>
      <w:r>
        <w:rPr>
          <w:noProof/>
        </w:rPr>
        <w:tab/>
        <w:t>Ένα καταχωρισμένο όνομα τομέα καθίσταται μη διαθέσιμο για μελλοντική καταχώριση, έως ότου λήξει η καταχώριση χωρίς ανανέωση, ή έως ότου το όνομα τομέα αποσυρθεί.</w:t>
      </w:r>
    </w:p>
    <w:p>
      <w:pPr>
        <w:spacing w:before="0" w:after="200" w:line="276" w:lineRule="auto"/>
        <w:rPr>
          <w:noProof/>
          <w:szCs w:val="24"/>
        </w:rPr>
      </w:pPr>
      <w:r>
        <w:rPr>
          <w:noProof/>
        </w:rPr>
        <w:t>3.</w:t>
      </w:r>
      <w:r>
        <w:rPr>
          <w:noProof/>
        </w:rPr>
        <w:tab/>
        <w:t>Το μητρώο δύναται να ανακαλεί όνομα τομέα με δική του πρωτοβουλία και χωρίς να προσφεύγει για την επίλυση της διαφοράς σε οιαδήποτε διαδικασία εξωδικαστικής διευθέτησης διαφορών, για τους παρακάτω λόγους:</w:t>
      </w:r>
    </w:p>
    <w:p>
      <w:pPr>
        <w:spacing w:before="0" w:after="200" w:line="276" w:lineRule="auto"/>
        <w:rPr>
          <w:noProof/>
          <w:szCs w:val="24"/>
        </w:rPr>
      </w:pPr>
      <w:r>
        <w:rPr>
          <w:noProof/>
        </w:rPr>
        <w:t>α) εκκρεμή ανεξόφλητα χρέη στο μητρώο·</w:t>
      </w:r>
    </w:p>
    <w:p>
      <w:pPr>
        <w:spacing w:before="0" w:after="200" w:line="276" w:lineRule="auto"/>
        <w:rPr>
          <w:noProof/>
          <w:szCs w:val="24"/>
        </w:rPr>
      </w:pPr>
      <w:r>
        <w:rPr>
          <w:noProof/>
        </w:rPr>
        <w:t>β) ο κάτοχος του ονόματος τομέα δεν πληροί τα κριτήρια επιλεξιμότητας του άρθρου 3·</w:t>
      </w:r>
    </w:p>
    <w:p>
      <w:pPr>
        <w:spacing w:before="0" w:after="200" w:line="276" w:lineRule="auto"/>
        <w:rPr>
          <w:noProof/>
          <w:szCs w:val="24"/>
        </w:rPr>
      </w:pPr>
      <w:r>
        <w:rPr>
          <w:noProof/>
        </w:rPr>
        <w:t>γ) ο κάτοχος του ονόματος τομέα έχει παραβεί τις απαιτήσεις για τις αιτήσεις καταχώρισης που προβλέπονται στο άρθρο 11 στοιχείο β).</w:t>
      </w:r>
    </w:p>
    <w:p>
      <w:pPr>
        <w:spacing w:before="0" w:after="200" w:line="276" w:lineRule="auto"/>
        <w:rPr>
          <w:noProof/>
          <w:szCs w:val="24"/>
        </w:rPr>
      </w:pPr>
      <w:r>
        <w:rPr>
          <w:noProof/>
        </w:rPr>
        <w:t>4.</w:t>
      </w:r>
      <w:r>
        <w:rPr>
          <w:noProof/>
        </w:rPr>
        <w:tab/>
        <w:t>Το όνομα τομέα μπορεί επίσης να ανακληθεί και, κατά περίπτωση, να μεταβιβαστεί μεταγενέστερα σε άλλο μέρος, με την κατάλληλη διαδικασία εναλλακτικής επίλυσης διαφορών («ADR») ή δικαστική διαδικασία, όταν το εν λόγω όνομα είναι ταυτόσημο ή παρόμοιο σε βαθμό που προκαλεί σύγχυση με όνομα για το οποίο έχει θεσπιστεί δικαίωμα βάσει της εθνικής ή και της ενωσιακής νομοθεσίας, και όταν το εν λόγω όνομα τομέα:</w:t>
      </w:r>
    </w:p>
    <w:p>
      <w:pPr>
        <w:spacing w:before="0" w:after="200" w:line="276" w:lineRule="auto"/>
        <w:rPr>
          <w:noProof/>
          <w:szCs w:val="24"/>
        </w:rPr>
      </w:pPr>
      <w:r>
        <w:rPr>
          <w:noProof/>
        </w:rPr>
        <w:t>α) καταχωρίσθηκε από τον κάτοχό του χωρίς αυτός να έχει δικαιώματα ή έννομο συμφέρον επί του ονόματος τομέα· ή</w:t>
      </w:r>
    </w:p>
    <w:p>
      <w:pPr>
        <w:spacing w:before="0" w:after="200" w:line="276" w:lineRule="auto"/>
        <w:rPr>
          <w:noProof/>
          <w:szCs w:val="24"/>
        </w:rPr>
      </w:pPr>
      <w:r>
        <w:rPr>
          <w:noProof/>
        </w:rPr>
        <w:t>β) καταχωρίσθηκε ή χρησιμοποιείται με κακή πίστη.</w:t>
      </w:r>
    </w:p>
    <w:p>
      <w:pPr>
        <w:spacing w:before="0" w:after="200" w:line="276" w:lineRule="auto"/>
        <w:rPr>
          <w:noProof/>
          <w:szCs w:val="24"/>
        </w:rPr>
      </w:pPr>
      <w:r>
        <w:rPr>
          <w:noProof/>
        </w:rPr>
        <w:lastRenderedPageBreak/>
        <w:t>5.</w:t>
      </w:r>
      <w:r>
        <w:rPr>
          <w:noProof/>
        </w:rPr>
        <w:tab/>
        <w:t>Εάν ένα όνομα τομέα κριθεί από δικαστήριο κράτους μέλους δυσφημιστικό, ρατσιστικό ή ότι αντίκειται στη δημόσια τάξη, δεσμεύεται από το μητρώο μόλις κοινοποιηθεί η δικαστική απόφαση και αποσύρεται μόλις κοινοποιηθεί η τελική απόφαση του δικαστηρίου. Το μητρώο αποκλείει από κάθε μελλοντική καταχώριση όσα ονόματα αποτέλεσαν αντικείμενο παρόμοιας δικαστικής απόφασης, για όσο διάστημα η δικαστική απόφαση παραμένει σε ισχύ.</w:t>
      </w:r>
    </w:p>
    <w:p>
      <w:pPr>
        <w:pStyle w:val="Titrearticle"/>
        <w:rPr>
          <w:noProof/>
        </w:rPr>
      </w:pPr>
      <w:r>
        <w:rPr>
          <w:noProof/>
        </w:rPr>
        <w:t>Άρθρο 5</w:t>
      </w:r>
    </w:p>
    <w:p>
      <w:pPr>
        <w:spacing w:before="0" w:after="200" w:line="276" w:lineRule="auto"/>
        <w:jc w:val="center"/>
        <w:rPr>
          <w:b/>
          <w:noProof/>
          <w:szCs w:val="24"/>
        </w:rPr>
      </w:pPr>
      <w:r>
        <w:rPr>
          <w:b/>
          <w:noProof/>
        </w:rPr>
        <w:t>Γλώσσες, εφαρμοστέο δίκαιο και δικαιοδοσία</w:t>
      </w:r>
    </w:p>
    <w:p>
      <w:pPr>
        <w:spacing w:before="0" w:after="200" w:line="276" w:lineRule="auto"/>
        <w:rPr>
          <w:noProof/>
          <w:szCs w:val="24"/>
        </w:rPr>
      </w:pPr>
      <w:r>
        <w:rPr>
          <w:noProof/>
        </w:rPr>
        <w:t>1.</w:t>
      </w:r>
      <w:r>
        <w:rPr>
          <w:noProof/>
        </w:rPr>
        <w:tab/>
        <w:t>Η καταχώριση ονομάτων τομέα πραγματοποιείται σε όλους τους αλφαβητικούς χαρακτήρες των επισήμων γλωσσών της Ένωσης σύμφωνα με τα διαθέσιμα διεθνή πρότυπα, όπως επιτρέπουν τα σχετικά πρωτόκολλα διεθνοποιημένων ονομάτων τομέα (IDN).</w:t>
      </w:r>
    </w:p>
    <w:p>
      <w:pPr>
        <w:spacing w:before="0" w:after="200" w:line="276" w:lineRule="auto"/>
        <w:rPr>
          <w:noProof/>
          <w:szCs w:val="24"/>
        </w:rPr>
      </w:pPr>
      <w:r>
        <w:rPr>
          <w:noProof/>
        </w:rPr>
        <w:t>2.</w:t>
      </w:r>
      <w:r>
        <w:rPr>
          <w:noProof/>
        </w:rPr>
        <w:tab/>
        <w:t>Με την επιφύλαξη του κανονισμού (ΕΕ) αριθ. 1215/2012 και των δικαιωμάτων και των υποχρεώσεων που αναγνωρίζονται από τα κράτη μέλη ή την Ένωση και απορρέουν από διεθνή νομικά μέσα, οι συμβάσεις μεταξύ του μητρώου και των καταχωρητών, καθώς και οι συμβάσεις μεταξύ καταχωρητών και καταχωρούντων ονομάτων τομέα δεν ορίζουν ως εφαρμοστέο άλλο δίκαιο πλην του δικαίου ενός εκ των κρατών μελών ούτε ορίζουν ως αρμόδιο φορέα επίλυσης διαφορών δικαστήριο, διαιτητικό δικαστήριο ή άλλο φορέα που εδρεύει εκτός της Ένωσης.</w:t>
      </w:r>
    </w:p>
    <w:p>
      <w:pPr>
        <w:pStyle w:val="Titrearticle"/>
        <w:rPr>
          <w:noProof/>
        </w:rPr>
      </w:pPr>
      <w:r>
        <w:rPr>
          <w:noProof/>
        </w:rPr>
        <w:t>Άρθρο 6</w:t>
      </w:r>
    </w:p>
    <w:p>
      <w:pPr>
        <w:spacing w:before="0" w:after="200" w:line="276" w:lineRule="auto"/>
        <w:jc w:val="center"/>
        <w:rPr>
          <w:b/>
          <w:noProof/>
          <w:szCs w:val="24"/>
        </w:rPr>
      </w:pPr>
      <w:r>
        <w:rPr>
          <w:b/>
          <w:noProof/>
        </w:rPr>
        <w:t>Δέσμευση ονομάτων τομέα</w:t>
      </w:r>
    </w:p>
    <w:p>
      <w:pPr>
        <w:spacing w:before="0" w:after="0"/>
        <w:rPr>
          <w:noProof/>
          <w:szCs w:val="24"/>
        </w:rPr>
      </w:pPr>
      <w:r>
        <w:rPr>
          <w:noProof/>
        </w:rPr>
        <w:t>1.</w:t>
      </w:r>
      <w:r>
        <w:rPr>
          <w:noProof/>
        </w:rPr>
        <w:tab/>
        <w:t>Το μητρώο μπορεί να δεσμεύει μια σειρά ονομάτων τομέα που θεωρούνται αναγκαία για τις επιχειρησιακές λειτουργίες του σύμφωνα με τη σύμβαση που αναφέρεται στο άρθρο 8 παράγραφος 3.</w:t>
      </w:r>
    </w:p>
    <w:p>
      <w:pPr>
        <w:spacing w:before="0" w:after="0"/>
        <w:rPr>
          <w:noProof/>
          <w:szCs w:val="24"/>
        </w:rPr>
      </w:pPr>
    </w:p>
    <w:p>
      <w:pPr>
        <w:spacing w:before="0" w:after="0"/>
        <w:rPr>
          <w:noProof/>
          <w:szCs w:val="24"/>
        </w:rPr>
      </w:pPr>
      <w:r>
        <w:rPr>
          <w:noProof/>
        </w:rPr>
        <w:t>2.</w:t>
      </w:r>
      <w:r>
        <w:rPr>
          <w:noProof/>
        </w:rPr>
        <w:tab/>
        <w:t>Η Επιτροπή δύναται να δώσει εντολή στο μητρώο να εισαγάγει ονόματα τομέα απευθείας υπό τον τομέα ανωτάτου επιπέδου .eu, για χρήση από ενωσιακά θεσμικά όργανα και οργανισμούς.</w:t>
      </w:r>
    </w:p>
    <w:p>
      <w:pPr>
        <w:spacing w:before="0" w:after="0"/>
        <w:rPr>
          <w:noProof/>
          <w:szCs w:val="24"/>
        </w:rPr>
      </w:pPr>
    </w:p>
    <w:p>
      <w:pPr>
        <w:spacing w:before="0" w:after="0"/>
        <w:rPr>
          <w:noProof/>
          <w:szCs w:val="24"/>
        </w:rPr>
      </w:pPr>
      <w:r>
        <w:rPr>
          <w:noProof/>
        </w:rPr>
        <w:t>3.</w:t>
      </w:r>
      <w:r>
        <w:rPr>
          <w:noProof/>
        </w:rPr>
        <w:tab/>
        <w:t>Τα κράτη μέλη, με την επιφύλαξη των ονομάτων τομέα που έχει ήδη δεσμευτεί ή καταχωριστεί, δύνανται να κοινοποιήσουν στην Επιτροπή κατάλογο ονομάτων τομέα που:</w:t>
      </w:r>
    </w:p>
    <w:p>
      <w:pPr>
        <w:spacing w:before="0" w:after="0"/>
        <w:rPr>
          <w:noProof/>
          <w:szCs w:val="24"/>
        </w:rPr>
      </w:pPr>
    </w:p>
    <w:p>
      <w:pPr>
        <w:spacing w:before="0" w:after="200" w:line="276" w:lineRule="auto"/>
        <w:rPr>
          <w:noProof/>
          <w:szCs w:val="24"/>
        </w:rPr>
      </w:pPr>
      <w:r>
        <w:rPr>
          <w:noProof/>
        </w:rPr>
        <w:t>α) δεν μπορούν να καταχωριστούν, βάσει της εθνικής νομοθεσίας· ή</w:t>
      </w:r>
    </w:p>
    <w:p>
      <w:pPr>
        <w:spacing w:before="0" w:after="200" w:line="276" w:lineRule="auto"/>
        <w:rPr>
          <w:noProof/>
          <w:szCs w:val="24"/>
        </w:rPr>
      </w:pPr>
      <w:r>
        <w:rPr>
          <w:noProof/>
        </w:rPr>
        <w:t>β) μπορούν να καταχωριστούν ή να δεσμευτούν από τα κράτη μέλη μόνο υπό τομείς δεύτερου επιπέδου. Τα εν λόγω ονόματα τομέα πρέπει να περιορίζονται σε ευρέως αναγνωρισμένους γεωγραφικούς και/ή γεωπολιτικούς όρους που έχουν επιπτώσεις την πολιτική ή εδαφική οργάνωση των κρατών μελών.</w:t>
      </w:r>
    </w:p>
    <w:p>
      <w:pPr>
        <w:spacing w:before="0" w:after="0"/>
        <w:rPr>
          <w:noProof/>
          <w:szCs w:val="24"/>
        </w:rPr>
      </w:pPr>
      <w:r>
        <w:rPr>
          <w:noProof/>
        </w:rPr>
        <w:t>4.</w:t>
      </w:r>
      <w:r>
        <w:rPr>
          <w:noProof/>
        </w:rPr>
        <w:tab/>
        <w:t xml:space="preserve">Η Επιτροπή εγκρίνει τους καταλόγους που κοινοποιούν τα κράτη μέλη με εκτελεστικές πράξεις. Οι εν λόγω εκτελεστικές πράξεις εκδίδονται σύμφωνα με τη διαδικασία εξέτασης που αναφέρεται στο άρθρο 17 παράγραφος 2. </w:t>
      </w:r>
    </w:p>
    <w:p>
      <w:pPr>
        <w:pStyle w:val="Titrearticle"/>
        <w:rPr>
          <w:noProof/>
        </w:rPr>
      </w:pPr>
      <w:r>
        <w:rPr>
          <w:noProof/>
        </w:rPr>
        <w:lastRenderedPageBreak/>
        <w:t>Άρθρο 7</w:t>
      </w:r>
    </w:p>
    <w:p>
      <w:pPr>
        <w:spacing w:before="0" w:after="200" w:line="276" w:lineRule="auto"/>
        <w:jc w:val="center"/>
        <w:rPr>
          <w:b/>
          <w:noProof/>
          <w:szCs w:val="24"/>
        </w:rPr>
      </w:pPr>
      <w:r>
        <w:rPr>
          <w:b/>
          <w:noProof/>
        </w:rPr>
        <w:t>Καταχωρητές</w:t>
      </w:r>
    </w:p>
    <w:p>
      <w:pPr>
        <w:spacing w:before="0" w:after="0"/>
        <w:rPr>
          <w:noProof/>
          <w:szCs w:val="24"/>
        </w:rPr>
      </w:pPr>
      <w:r>
        <w:rPr>
          <w:noProof/>
        </w:rPr>
        <w:t>1.</w:t>
      </w:r>
      <w:r>
        <w:rPr>
          <w:noProof/>
        </w:rPr>
        <w:tab/>
        <w:t>Το μητρώο παρέχει διαπίστευση σε καταχωριστών σύμφωνα με λογικές, διαφανείς και χωρίς διακρίσεις διαδικασίες διαπίστευσης, οι οποία έχουν εγκριθεί εκ των προτέρων από την Επιτροπή. Το μητρώο καθιστά τις διαδικασίες διαπίστευσης δημοσίως διαθέσιμες σε εύκολα προσβάσιμη μορφή.</w:t>
      </w:r>
    </w:p>
    <w:p>
      <w:pPr>
        <w:spacing w:before="0" w:after="0"/>
        <w:rPr>
          <w:noProof/>
          <w:szCs w:val="24"/>
        </w:rPr>
      </w:pPr>
    </w:p>
    <w:p>
      <w:pPr>
        <w:spacing w:before="0" w:after="0"/>
        <w:rPr>
          <w:noProof/>
          <w:szCs w:val="24"/>
        </w:rPr>
      </w:pPr>
      <w:r>
        <w:rPr>
          <w:noProof/>
        </w:rPr>
        <w:t>2.</w:t>
      </w:r>
      <w:r>
        <w:rPr>
          <w:noProof/>
        </w:rPr>
        <w:tab/>
        <w:t>Το μητρώο εφαρμόζει ισοδύναμες προϋποθέσεις σε ισοδύναμες συνθήκες σε σχέση με τους διαπιστευμένους καταχωρητές του τομέα .eu που παρέχουν ισοδύναμες υπηρεσίες, και τους παρέχει υπηρεσίες και πληροφορίες υπό τις ίδιες προϋποθέσεις και με την ίδια ποιότητα, όπως προβλέπεται για τις δικές του ισοδύναμες υπηρεσίες.</w:t>
      </w:r>
    </w:p>
    <w:p>
      <w:pPr>
        <w:spacing w:before="0" w:after="200" w:line="276" w:lineRule="auto"/>
        <w:jc w:val="left"/>
        <w:rPr>
          <w:i/>
          <w:noProof/>
          <w:szCs w:val="24"/>
        </w:rPr>
      </w:pPr>
    </w:p>
    <w:p>
      <w:pPr>
        <w:spacing w:before="0" w:after="200" w:line="276" w:lineRule="auto"/>
        <w:jc w:val="center"/>
        <w:rPr>
          <w:i/>
          <w:noProof/>
          <w:szCs w:val="24"/>
        </w:rPr>
      </w:pPr>
      <w:r>
        <w:rPr>
          <w:i/>
          <w:noProof/>
        </w:rPr>
        <w:t>Τμήμα 2</w:t>
      </w:r>
    </w:p>
    <w:p>
      <w:pPr>
        <w:spacing w:before="0" w:after="200" w:line="276" w:lineRule="auto"/>
        <w:jc w:val="center"/>
        <w:rPr>
          <w:i/>
          <w:noProof/>
          <w:szCs w:val="24"/>
        </w:rPr>
      </w:pPr>
      <w:r>
        <w:rPr>
          <w:i/>
          <w:noProof/>
        </w:rPr>
        <w:t>ΜΗΤΡΩΟ</w:t>
      </w:r>
    </w:p>
    <w:p>
      <w:pPr>
        <w:pStyle w:val="Titrearticle"/>
        <w:rPr>
          <w:noProof/>
        </w:rPr>
      </w:pPr>
      <w:r>
        <w:rPr>
          <w:noProof/>
        </w:rPr>
        <w:t>Άρθρο 8</w:t>
      </w:r>
    </w:p>
    <w:p>
      <w:pPr>
        <w:spacing w:before="0" w:after="200" w:line="276" w:lineRule="auto"/>
        <w:jc w:val="center"/>
        <w:rPr>
          <w:b/>
          <w:noProof/>
          <w:szCs w:val="24"/>
        </w:rPr>
      </w:pPr>
      <w:r>
        <w:rPr>
          <w:b/>
          <w:noProof/>
        </w:rPr>
        <w:t>Ορισμός του μητρώου</w:t>
      </w:r>
    </w:p>
    <w:p>
      <w:pPr>
        <w:spacing w:before="0" w:after="200" w:line="276" w:lineRule="auto"/>
        <w:rPr>
          <w:noProof/>
          <w:szCs w:val="24"/>
        </w:rPr>
      </w:pPr>
      <w:r>
        <w:rPr>
          <w:noProof/>
        </w:rPr>
        <w:t>1.</w:t>
      </w:r>
      <w:r>
        <w:rPr>
          <w:noProof/>
        </w:rPr>
        <w:tab/>
        <w:t xml:space="preserve">Η Επιτροπή καθορίζει τα κριτήρια και τη διαδικασία για τον ορισμό του μητρώου μέσω εκτελεστικών πράξεων. Οι εν λόγω εκτελεστικές πράξεις εκδίδονται σύμφωνα με τη διαδικασία εξέτασης που αναφέρεται στο άρθρο 17 παράγραφος 2. </w:t>
      </w:r>
    </w:p>
    <w:p>
      <w:pPr>
        <w:spacing w:before="0" w:after="200" w:line="276" w:lineRule="auto"/>
        <w:rPr>
          <w:noProof/>
          <w:szCs w:val="24"/>
        </w:rPr>
      </w:pPr>
      <w:r>
        <w:rPr>
          <w:noProof/>
        </w:rPr>
        <w:t>2.</w:t>
      </w:r>
      <w:r>
        <w:rPr>
          <w:noProof/>
        </w:rPr>
        <w:tab/>
        <w:t>Η Επιτροπή ορίζει το μητρώο κατόπιν ολοκλήρωσης της διαδικασίας που αναφέρεται στην παράγραφο 1.</w:t>
      </w:r>
    </w:p>
    <w:p>
      <w:pPr>
        <w:spacing w:before="0" w:after="200" w:line="276" w:lineRule="auto"/>
        <w:rPr>
          <w:noProof/>
          <w:szCs w:val="24"/>
        </w:rPr>
      </w:pPr>
      <w:r>
        <w:rPr>
          <w:noProof/>
        </w:rPr>
        <w:t>3.</w:t>
      </w:r>
      <w:r>
        <w:rPr>
          <w:noProof/>
        </w:rPr>
        <w:tab/>
        <w:t>Η Επιτροπή συνάπτει σύμβαση με το ορισθέν μητρώο. Η σύμβαση προσδιορίζει του κανόνες, τις πολιτικές και τις διαδικασίες για την παροχή υπηρεσιών από το μητρώο και τους όρους σύμφωνα με τους οποίους η Επιτροπή εποπτεύει την οργάνωση, τη διοίκηση και τη διαχείριση του τομέα ανωτάτου επιπέδου .eu από το μητρώο. Η σύμβαση έχει περιορισμένη διάρκεια, με δυνατότητα ανανέωσης, και περιλαμβάνει τις αρχές και τις διαδικασίες για τη λειτουργία του τομέα ανωτάτου επιπέδου .eu που προβλέπονται με βάση το άρθρο 11.</w:t>
      </w:r>
    </w:p>
    <w:p>
      <w:pPr>
        <w:spacing w:before="0" w:after="200" w:line="276" w:lineRule="auto"/>
        <w:rPr>
          <w:noProof/>
          <w:szCs w:val="24"/>
        </w:rPr>
      </w:pPr>
      <w:r>
        <w:rPr>
          <w:noProof/>
        </w:rPr>
        <w:t>4</w:t>
      </w:r>
      <w:r>
        <w:rPr>
          <w:noProof/>
        </w:rPr>
        <w:tab/>
        <w:t>Κατά παρέκκλιση από τις διαδικασίες που αναφέρονται στις παραγράφους 1 και 2, για επιτακτικούς λόγους επείγουσας ανάγκης, η Επιτροπή δύναται να ορίσει το μητρώο μέσω εκτελεστικών πράξεων άμεσης εφαρμογής σύμφωνα με τη διαδικασία στην οποία παραπέμπει το άρθρο 17 παράγραφος 3.</w:t>
      </w:r>
    </w:p>
    <w:p>
      <w:pPr>
        <w:pStyle w:val="Titrearticle"/>
        <w:rPr>
          <w:noProof/>
        </w:rPr>
      </w:pPr>
      <w:r>
        <w:rPr>
          <w:noProof/>
        </w:rPr>
        <w:t>Άρθρο 9</w:t>
      </w:r>
    </w:p>
    <w:p>
      <w:pPr>
        <w:spacing w:before="0" w:after="200" w:line="276" w:lineRule="auto"/>
        <w:ind w:firstLine="720"/>
        <w:jc w:val="center"/>
        <w:rPr>
          <w:b/>
          <w:noProof/>
          <w:szCs w:val="24"/>
        </w:rPr>
      </w:pPr>
      <w:r>
        <w:rPr>
          <w:b/>
          <w:noProof/>
        </w:rPr>
        <w:t>Χαρακτηριστικά του μητρώου</w:t>
      </w:r>
    </w:p>
    <w:p>
      <w:pPr>
        <w:spacing w:before="0" w:after="200" w:line="276" w:lineRule="auto"/>
        <w:rPr>
          <w:b/>
          <w:noProof/>
          <w:szCs w:val="24"/>
        </w:rPr>
      </w:pPr>
      <w:r>
        <w:rPr>
          <w:noProof/>
        </w:rPr>
        <w:t>1.</w:t>
      </w:r>
      <w:r>
        <w:rPr>
          <w:noProof/>
        </w:rPr>
        <w:tab/>
        <w:t>Το μητρώο έχει την καταστατική του έδρα, την κεντρική του διοίκηση και την κύρια εγκατάστασή του στο έδαφος της Ένωσης.</w:t>
      </w:r>
    </w:p>
    <w:p>
      <w:pPr>
        <w:spacing w:before="0" w:after="200" w:line="276" w:lineRule="auto"/>
        <w:rPr>
          <w:noProof/>
          <w:szCs w:val="24"/>
        </w:rPr>
      </w:pPr>
      <w:r>
        <w:rPr>
          <w:noProof/>
        </w:rPr>
        <w:lastRenderedPageBreak/>
        <w:t>2.</w:t>
      </w:r>
      <w:r>
        <w:rPr>
          <w:noProof/>
        </w:rPr>
        <w:tab/>
        <w:t xml:space="preserve">Το μητρώο δύναται να επιβάλλει τέλη τα οποία σχετίζονται άμεσα με το κόστος που ανακύπτει, εφόσον επιτρέπεται από τη σύμβαση που συνάπτεται σύμφωνα με το άρθρο 8 παράγραφος 3. </w:t>
      </w:r>
    </w:p>
    <w:p>
      <w:pPr>
        <w:pStyle w:val="Titrearticle"/>
        <w:rPr>
          <w:noProof/>
        </w:rPr>
      </w:pPr>
      <w:r>
        <w:rPr>
          <w:noProof/>
        </w:rPr>
        <w:t>Άρθρο 10</w:t>
      </w:r>
    </w:p>
    <w:p>
      <w:pPr>
        <w:spacing w:before="0" w:after="200" w:line="276" w:lineRule="auto"/>
        <w:jc w:val="center"/>
        <w:rPr>
          <w:b/>
          <w:noProof/>
          <w:szCs w:val="24"/>
        </w:rPr>
      </w:pPr>
      <w:r>
        <w:rPr>
          <w:b/>
          <w:noProof/>
        </w:rPr>
        <w:t>Υποχρεώσεις του μητρώου</w:t>
      </w:r>
    </w:p>
    <w:p>
      <w:pPr>
        <w:spacing w:before="0" w:after="200" w:line="276" w:lineRule="auto"/>
        <w:rPr>
          <w:noProof/>
          <w:szCs w:val="24"/>
        </w:rPr>
      </w:pPr>
      <w:r>
        <w:rPr>
          <w:noProof/>
        </w:rPr>
        <w:t>Το μητρώο:</w:t>
      </w:r>
    </w:p>
    <w:p>
      <w:pPr>
        <w:spacing w:before="0" w:after="200" w:line="276" w:lineRule="auto"/>
        <w:rPr>
          <w:noProof/>
          <w:szCs w:val="24"/>
        </w:rPr>
      </w:pPr>
      <w:r>
        <w:rPr>
          <w:noProof/>
        </w:rPr>
        <w:t>α) τηρεί τους κανόνες, τις πολιτικές και τις διαδικασίες που καθορίζονται στον παρόντα κανονισμό και τη σύμβαση που αναφέρεται στο άρθρο 8 παράγραφος 3·</w:t>
      </w:r>
    </w:p>
    <w:p>
      <w:pPr>
        <w:spacing w:before="0" w:after="200" w:line="276" w:lineRule="auto"/>
        <w:rPr>
          <w:noProof/>
          <w:szCs w:val="24"/>
        </w:rPr>
      </w:pPr>
      <w:r>
        <w:rPr>
          <w:noProof/>
        </w:rPr>
        <w:t>β) οργανώνει, διοικεί και διαχειρίζεται τον τομέα ανωτάτου επιπέδου .eu προς το γενικό συμφέρον και βάσει των αρχών της ποιότητας, της αποδοτικότητας, της αξιοπιστίας, της διαφάνειας, της προσβασιμότητας και της μη διακριτικής μεταχείρισης και με τη διασφάλιση δίκαιων συνθηκών ανταγωνισμού·</w:t>
      </w:r>
    </w:p>
    <w:p>
      <w:pPr>
        <w:spacing w:before="0" w:after="200" w:line="276" w:lineRule="auto"/>
        <w:rPr>
          <w:noProof/>
          <w:szCs w:val="24"/>
        </w:rPr>
      </w:pPr>
      <w:r>
        <w:rPr>
          <w:noProof/>
        </w:rPr>
        <w:t xml:space="preserve">γ) συνάπτει κατάλληλη σύμβαση που προβλέπει την εκχώρηση του κωδικού του τομέα ανωτάτου επιπέδου .eu, με την επιφύλαξη της προηγούμενης συναίνεσης της Επιτροπής· </w:t>
      </w:r>
    </w:p>
    <w:p>
      <w:pPr>
        <w:spacing w:before="0" w:after="200" w:line="276" w:lineRule="auto"/>
        <w:rPr>
          <w:noProof/>
          <w:szCs w:val="24"/>
        </w:rPr>
      </w:pPr>
      <w:r>
        <w:rPr>
          <w:noProof/>
        </w:rPr>
        <w:t xml:space="preserve">δ) πραγματοποιεί την καταχώριση ονομάτων τομέα στον τομέα ανωτάτου επιπέδου .eu όπου αυτό ζητηθεί από οποιοδήποτε επιλέξιμο μέρος που αναφέρεται στο άρθρο 3· </w:t>
      </w:r>
    </w:p>
    <w:p>
      <w:pPr>
        <w:spacing w:before="0" w:after="200" w:line="276" w:lineRule="auto"/>
        <w:rPr>
          <w:noProof/>
          <w:szCs w:val="24"/>
        </w:rPr>
      </w:pPr>
      <w:r>
        <w:rPr>
          <w:noProof/>
        </w:rPr>
        <w:t>ε) διασφαλίζει, με την επιφύλαξη τυχόν δικαστικών διαδικασιών και κατάλληλων διαδικαστικών εγγυήσεων για τα ενδιαφερόμενα μέρη, τη δυνατότητα των καταχωριστών και των καταχωρούμενων να προσφύγουν για οποιαδήποτε συμβατική διαφορά με το μητρώο ενώπιον οργάνου εναλλακτικής επίλυσης διαφορών·</w:t>
      </w:r>
    </w:p>
    <w:p>
      <w:pPr>
        <w:spacing w:before="0" w:after="200" w:line="276" w:lineRule="auto"/>
        <w:rPr>
          <w:noProof/>
          <w:szCs w:val="24"/>
        </w:rPr>
      </w:pPr>
      <w:r>
        <w:rPr>
          <w:noProof/>
        </w:rPr>
        <w:t>στ) εξασφαλίζει τη διαθεσιμότητα και τη γνησιότητα των βάσεων δεδομένων των ονομάτων τομέα·</w:t>
      </w:r>
    </w:p>
    <w:p>
      <w:pPr>
        <w:spacing w:before="0" w:after="200" w:line="276" w:lineRule="auto"/>
        <w:rPr>
          <w:noProof/>
          <w:szCs w:val="24"/>
        </w:rPr>
      </w:pPr>
      <w:r>
        <w:rPr>
          <w:noProof/>
        </w:rPr>
        <w:t>ζ) συνάπτει, με δικές του δαπάνες και με τη συγκατάθεση της Επιτροπής, συμφωνία με ευυπόληπτο καταπιστευματοδόχο ή άλλον φορέα μεσεγγύησης εγκατεστημένο στο έδαφος της Ένωσης, ορίζοντας την Επιτροπή ως δικαιούχο της συμφωνίας μεσεγγύησης και υποβάλλει στον αντίστοιχο καταπιστευματοδόχο ή φορέα μεσεγγύησης, σε ημερήσια βάση, ηλεκτρονικό αντίγραφο του περιεχομένου της βάσης δεδομένων του τομέα ανωτάτου επιπέδου .eu·</w:t>
      </w:r>
    </w:p>
    <w:p>
      <w:pPr>
        <w:spacing w:before="0" w:after="200" w:line="276" w:lineRule="auto"/>
        <w:rPr>
          <w:noProof/>
          <w:szCs w:val="24"/>
        </w:rPr>
      </w:pPr>
      <w:r>
        <w:rPr>
          <w:noProof/>
        </w:rPr>
        <w:t>η) υλοποιεί τους καταλόγους που αναφέρονται στο άρθρο 6 παράγραφος 3·</w:t>
      </w:r>
    </w:p>
    <w:p>
      <w:pPr>
        <w:spacing w:before="0" w:after="200" w:line="276" w:lineRule="auto"/>
        <w:rPr>
          <w:noProof/>
          <w:szCs w:val="24"/>
        </w:rPr>
      </w:pPr>
      <w:r>
        <w:rPr>
          <w:noProof/>
        </w:rPr>
        <w:t>θ) προωθεί τους στόχους της Ένωσης στον τομέα της διακυβέρνησης του διαδικτύου·</w:t>
      </w:r>
    </w:p>
    <w:p>
      <w:pPr>
        <w:spacing w:before="0" w:after="200" w:line="276" w:lineRule="auto"/>
        <w:rPr>
          <w:noProof/>
          <w:szCs w:val="24"/>
        </w:rPr>
      </w:pPr>
      <w:r>
        <w:rPr>
          <w:noProof/>
        </w:rPr>
        <w:t>ι) δημοσιεύει τις αρχές και τις διαδικασίες λειτουργίας του τομέα ανωτάτου επιπέδου .eu που καθορίζονται βάσει του άρθρου 11 σε όλες τις επίσημες γλώσσες της Ένωσης·</w:t>
      </w:r>
    </w:p>
    <w:p>
      <w:pPr>
        <w:spacing w:before="0" w:after="200" w:line="276" w:lineRule="auto"/>
        <w:rPr>
          <w:noProof/>
          <w:szCs w:val="24"/>
        </w:rPr>
      </w:pPr>
      <w:r>
        <w:rPr>
          <w:noProof/>
        </w:rPr>
        <w:t>ια) διενεργεί έλεγχο από ανεξάρτητο όργανο, με δικές του δαπάνες και τουλάχιστον ανά δύο έτη με σκοπό την πιστοποίηση της συμμόρφωσης με τον παρόντα κανονισμό και αποστέλλει το αποτέλεσμα στην Επιτροπή·</w:t>
      </w:r>
    </w:p>
    <w:p>
      <w:pPr>
        <w:spacing w:before="0" w:after="200" w:line="276" w:lineRule="auto"/>
        <w:rPr>
          <w:noProof/>
          <w:szCs w:val="24"/>
        </w:rPr>
      </w:pPr>
      <w:r>
        <w:rPr>
          <w:noProof/>
        </w:rPr>
        <w:lastRenderedPageBreak/>
        <w:t xml:space="preserve">ιβ) συμμετέχει, κατόπιν αιτήματος της Επιτροπής, στο έργο του πολυμερούς συμβουλίου για τον τομέα .eu και συνεργάζεται με την Επιτροπή για τη βελτίωση της λειτουργίας και της διαχείρισης του τομέα ανωτάτου επιπέδου .eu.  </w:t>
      </w:r>
    </w:p>
    <w:p>
      <w:pPr>
        <w:pStyle w:val="Titrearticle"/>
        <w:rPr>
          <w:noProof/>
        </w:rPr>
      </w:pPr>
      <w:r>
        <w:rPr>
          <w:noProof/>
        </w:rPr>
        <w:t>Άρθρο 11</w:t>
      </w:r>
    </w:p>
    <w:p>
      <w:pPr>
        <w:spacing w:before="0" w:after="200" w:line="276" w:lineRule="auto"/>
        <w:jc w:val="center"/>
        <w:rPr>
          <w:b/>
          <w:noProof/>
          <w:szCs w:val="24"/>
        </w:rPr>
      </w:pPr>
      <w:r>
        <w:rPr>
          <w:b/>
          <w:noProof/>
        </w:rPr>
        <w:t xml:space="preserve">Αρχές και διαδικασίες λειτουργίας του τομέα ανωτάτου επιπέδου .eu </w:t>
      </w:r>
    </w:p>
    <w:p>
      <w:pPr>
        <w:spacing w:before="0" w:after="200" w:line="276" w:lineRule="auto"/>
        <w:rPr>
          <w:noProof/>
          <w:szCs w:val="24"/>
        </w:rPr>
      </w:pPr>
      <w:r>
        <w:rPr>
          <w:noProof/>
        </w:rPr>
        <w:t>Η σύμβαση που συνάπτεται μεταξύ της Επιτροπής και του ορισθέντος μητρώου σύμφωνα με το άρθρο 8 παράγραφος 3 περιλαμβάνει τις αρχές και διαδικασίες λειτουργίας του τομέα ανωτάτου επιπέδου .eu, σύμφωνα με τον παρόντα κανονισμό, συμπεριλαμβανομένων των παρακάτω:</w:t>
      </w:r>
    </w:p>
    <w:p>
      <w:pPr>
        <w:spacing w:before="0" w:after="200" w:line="276" w:lineRule="auto"/>
        <w:rPr>
          <w:noProof/>
          <w:szCs w:val="24"/>
        </w:rPr>
      </w:pPr>
      <w:r>
        <w:rPr>
          <w:noProof/>
        </w:rPr>
        <w:t>α) πολιτική εναλλακτικής επίλυσης διαφορών·</w:t>
      </w:r>
    </w:p>
    <w:p>
      <w:pPr>
        <w:spacing w:before="0" w:after="200" w:line="276" w:lineRule="auto"/>
        <w:rPr>
          <w:noProof/>
          <w:szCs w:val="24"/>
        </w:rPr>
      </w:pPr>
      <w:r>
        <w:rPr>
          <w:noProof/>
        </w:rPr>
        <w:t>β) απαιτήσεις και διαδικασίες για αιτήσεις καταχώρισης, πολιτική για την επαλήθευση των στοιχείων των καταχωρούμενων και κερδοσκοπικών καταχωρίσεων ονομάτων τομέα·</w:t>
      </w:r>
    </w:p>
    <w:p>
      <w:pPr>
        <w:spacing w:before="0" w:after="200" w:line="276" w:lineRule="auto"/>
        <w:rPr>
          <w:noProof/>
          <w:szCs w:val="24"/>
        </w:rPr>
      </w:pPr>
      <w:r>
        <w:rPr>
          <w:noProof/>
        </w:rPr>
        <w:t>γ) πολιτική για τις καταχρηστικές καταχωρίσεις ονομάτων τομέα·</w:t>
      </w:r>
    </w:p>
    <w:p>
      <w:pPr>
        <w:spacing w:before="0" w:after="200" w:line="276" w:lineRule="auto"/>
        <w:rPr>
          <w:noProof/>
          <w:szCs w:val="24"/>
        </w:rPr>
      </w:pPr>
      <w:r>
        <w:rPr>
          <w:noProof/>
        </w:rPr>
        <w:t>δ) πολιτική για την ανάκληση ονομάτων τομέα·</w:t>
      </w:r>
    </w:p>
    <w:p>
      <w:pPr>
        <w:spacing w:before="0" w:after="200" w:line="276" w:lineRule="auto"/>
        <w:rPr>
          <w:noProof/>
          <w:szCs w:val="24"/>
        </w:rPr>
      </w:pPr>
      <w:r>
        <w:rPr>
          <w:noProof/>
        </w:rPr>
        <w:t>ε) μεταχείριση των δικαιωμάτων διανοητικής ιδιοκτησίας·</w:t>
      </w:r>
    </w:p>
    <w:p>
      <w:pPr>
        <w:spacing w:before="0" w:after="200" w:line="276" w:lineRule="auto"/>
        <w:rPr>
          <w:noProof/>
          <w:szCs w:val="24"/>
        </w:rPr>
      </w:pPr>
      <w:r>
        <w:rPr>
          <w:noProof/>
        </w:rPr>
        <w:t>στ) μέτρα που έχουν ως στόχο να επιτρέπουν στις αρμόδιες αρχές να έχουν πρόσβαση στα δεδομένα του μητρώου για σκοπούς πρόληψης, εντοπισμού, διερεύνησης και δίωξης εγκλημάτων, όπως προβλέπεται από το ενωσιακό ή το εθνικό δίκαιο.</w:t>
      </w:r>
    </w:p>
    <w:p>
      <w:pPr>
        <w:spacing w:before="0" w:after="200" w:line="276" w:lineRule="auto"/>
        <w:rPr>
          <w:noProof/>
          <w:szCs w:val="24"/>
        </w:rPr>
      </w:pPr>
      <w:r>
        <w:rPr>
          <w:noProof/>
        </w:rPr>
        <w:t>ζ) λεπτομερείς διαδικασίες για την τροποποίηση της σύμβασης.</w:t>
      </w:r>
    </w:p>
    <w:p>
      <w:pPr>
        <w:pStyle w:val="Titrearticle"/>
        <w:rPr>
          <w:noProof/>
        </w:rPr>
      </w:pPr>
      <w:r>
        <w:rPr>
          <w:noProof/>
        </w:rPr>
        <w:t>Άρθρο 12</w:t>
      </w:r>
    </w:p>
    <w:p>
      <w:pPr>
        <w:spacing w:before="0" w:after="200" w:line="276" w:lineRule="auto"/>
        <w:jc w:val="center"/>
        <w:rPr>
          <w:b/>
          <w:noProof/>
          <w:szCs w:val="24"/>
        </w:rPr>
      </w:pPr>
      <w:r>
        <w:rPr>
          <w:b/>
          <w:noProof/>
        </w:rPr>
        <w:t>Βάση δεδομένων WHOIS</w:t>
      </w:r>
    </w:p>
    <w:p>
      <w:pPr>
        <w:spacing w:before="0" w:after="200" w:line="276" w:lineRule="auto"/>
        <w:rPr>
          <w:noProof/>
          <w:szCs w:val="24"/>
        </w:rPr>
      </w:pPr>
      <w:r>
        <w:rPr>
          <w:noProof/>
        </w:rPr>
        <w:t>1.</w:t>
      </w:r>
      <w:r>
        <w:rPr>
          <w:noProof/>
        </w:rPr>
        <w:tab/>
        <w:t xml:space="preserve">Το μητρώο δημιουργεί και διαχειρίζεται βάση δεδομένων WHOIS με σκοπό την παροχή ακριβών και ενημερωμένων στοιχείων καταχώρισης όσον αφορά τα ονόματα τομέα που έχουν καταχωριστεί υπό τον τομέα ανωτάτου επιπέδου .eu. </w:t>
      </w:r>
    </w:p>
    <w:p>
      <w:pPr>
        <w:spacing w:before="0" w:after="200" w:line="276" w:lineRule="auto"/>
        <w:rPr>
          <w:noProof/>
          <w:szCs w:val="24"/>
        </w:rPr>
      </w:pPr>
      <w:r>
        <w:rPr>
          <w:noProof/>
        </w:rPr>
        <w:t>2.</w:t>
      </w:r>
      <w:r>
        <w:rPr>
          <w:noProof/>
        </w:rPr>
        <w:tab/>
        <w:t xml:space="preserve">Η βάση δεδομένων WHOIS περιέχει σχετικές πληροφορίες που δεν είναι υπερβολικές σε συνάρτηση με τον σκοπό της βάσης δεδομένων, σχετικά με τους υπευθύνους που διαχειρίζονται τα ονόματα τομέα υπό τον τομέα ανωτάτου επιπέδου .eu και τους κατόχους των ονομάτων τομέα. Αν ο κάτοχος ονόματος τομέα είναι φυσικό πρόσωπο, για τη δημόσια διάθεση πληροφοριών απαιτείται η συγκατάθεση του κατόχου ονόματος τομέας κατά την έννοια του κανονισμού 2016/679. </w:t>
      </w:r>
    </w:p>
    <w:p>
      <w:pPr>
        <w:spacing w:before="0" w:after="200" w:line="276" w:lineRule="auto"/>
        <w:jc w:val="center"/>
        <w:rPr>
          <w:i/>
          <w:noProof/>
          <w:szCs w:val="24"/>
        </w:rPr>
      </w:pPr>
    </w:p>
    <w:p>
      <w:pPr>
        <w:spacing w:before="0" w:after="200" w:line="276" w:lineRule="auto"/>
        <w:jc w:val="center"/>
        <w:rPr>
          <w:i/>
          <w:noProof/>
          <w:szCs w:val="24"/>
        </w:rPr>
      </w:pPr>
      <w:r>
        <w:rPr>
          <w:i/>
          <w:noProof/>
        </w:rPr>
        <w:t>Τμήμα 3</w:t>
      </w:r>
    </w:p>
    <w:p>
      <w:pPr>
        <w:spacing w:before="0" w:after="200" w:line="276" w:lineRule="auto"/>
        <w:jc w:val="center"/>
        <w:rPr>
          <w:i/>
          <w:noProof/>
          <w:szCs w:val="24"/>
        </w:rPr>
      </w:pPr>
      <w:r>
        <w:rPr>
          <w:i/>
          <w:noProof/>
        </w:rPr>
        <w:t>ΕΠΟΠΤΙΚΟΣ ΕΛΕΓΧΟΣ ΤΟΥ ΜΗΤΡΩΟΥ</w:t>
      </w:r>
    </w:p>
    <w:p>
      <w:pPr>
        <w:pStyle w:val="Titrearticle"/>
        <w:rPr>
          <w:noProof/>
        </w:rPr>
      </w:pPr>
      <w:r>
        <w:rPr>
          <w:noProof/>
        </w:rPr>
        <w:lastRenderedPageBreak/>
        <w:t>Άρθρο 13</w:t>
      </w:r>
    </w:p>
    <w:p>
      <w:pPr>
        <w:spacing w:before="0" w:after="0"/>
        <w:jc w:val="center"/>
        <w:rPr>
          <w:b/>
          <w:noProof/>
          <w:szCs w:val="24"/>
        </w:rPr>
      </w:pPr>
      <w:r>
        <w:rPr>
          <w:b/>
          <w:noProof/>
        </w:rPr>
        <w:t>Εποπτεία</w:t>
      </w:r>
    </w:p>
    <w:p>
      <w:pPr>
        <w:spacing w:before="0" w:after="0"/>
        <w:jc w:val="center"/>
        <w:rPr>
          <w:rFonts w:cstheme="minorBidi"/>
          <w:b/>
          <w:noProof/>
        </w:rPr>
      </w:pPr>
    </w:p>
    <w:p>
      <w:pPr>
        <w:spacing w:before="0" w:after="200" w:line="276" w:lineRule="auto"/>
        <w:rPr>
          <w:noProof/>
          <w:szCs w:val="24"/>
        </w:rPr>
      </w:pPr>
      <w:r>
        <w:rPr>
          <w:noProof/>
        </w:rPr>
        <w:t>1.</w:t>
      </w:r>
      <w:r>
        <w:rPr>
          <w:noProof/>
        </w:rPr>
        <w:tab/>
        <w:t>Η Επιτροπή παρακολουθεί και εποπτεύει την οργάνωση, τη διοίκηση και τη διαχείριση του τομέα ανωτάτου επιπέδου .eu από το μητρώο.</w:t>
      </w:r>
    </w:p>
    <w:p>
      <w:pPr>
        <w:spacing w:before="0" w:after="200" w:line="276" w:lineRule="auto"/>
        <w:rPr>
          <w:rFonts w:cstheme="minorBidi"/>
          <w:noProof/>
        </w:rPr>
      </w:pPr>
      <w:r>
        <w:rPr>
          <w:noProof/>
        </w:rPr>
        <w:t>2.</w:t>
      </w:r>
      <w:r>
        <w:rPr>
          <w:noProof/>
        </w:rPr>
        <w:tab/>
        <w:t>Η Επιτροπή προβαίνει σε εκτίμηση της χρηστής δημοσιονομικής διαχείρισης, της συμμόρφωσης με τον κανονισμό και με τις αρχές και τις διαδικασίες λειτουργίας του τομέα ανωτάτου επιπέδου .eu που αναφέρονται στο άρθρο 11 από το μητρώο και μπορεί να ζητάει πληροφορίες για τον σκοπό αυτό.</w:t>
      </w:r>
    </w:p>
    <w:p>
      <w:pPr>
        <w:spacing w:before="0" w:after="200" w:line="276" w:lineRule="auto"/>
        <w:rPr>
          <w:noProof/>
          <w:szCs w:val="24"/>
        </w:rPr>
      </w:pPr>
      <w:r>
        <w:rPr>
          <w:noProof/>
        </w:rPr>
        <w:t>3.</w:t>
      </w:r>
      <w:r>
        <w:rPr>
          <w:noProof/>
        </w:rPr>
        <w:tab/>
        <w:t>Σύμφωνα με τις εποπτικές της δραστηριότητες, η Επιτροπή μπορεί να δίνει συγκεκριμένες οδηγίες στο μητρώο για τη διόρθωση και/ή τη βελτίωση της οργάνωσης, της διοίκησης και της διαχείρισης του τομέα ανωτάτου επιπέδου .eu.</w:t>
      </w:r>
    </w:p>
    <w:p>
      <w:pPr>
        <w:spacing w:before="0" w:after="200" w:line="276" w:lineRule="auto"/>
        <w:rPr>
          <w:noProof/>
          <w:szCs w:val="24"/>
        </w:rPr>
      </w:pPr>
      <w:r>
        <w:rPr>
          <w:noProof/>
        </w:rPr>
        <w:t>4.</w:t>
      </w:r>
      <w:r>
        <w:rPr>
          <w:noProof/>
        </w:rPr>
        <w:tab/>
        <w:t>Η Επιτροπή μπορεί, κατά περίπτωση, να συμβουλεύεται ενδιαφερόμενα μέρη και να ζητά συμβουλές εμπειρογνωμόνων για τα αποτελέσματα των εποπτικών δραστηριοτήτων που προβλέπονται στο παρόν άρθρο και για τρόπους βελτίωσης της οργάνωσης, της διοίκησης και της διαχείρισης του τομέα ανωτάτου επιπέδου .eu από το μητρώο.</w:t>
      </w:r>
    </w:p>
    <w:p>
      <w:pPr>
        <w:pStyle w:val="Titrearticle"/>
        <w:rPr>
          <w:noProof/>
        </w:rPr>
      </w:pPr>
      <w:r>
        <w:rPr>
          <w:noProof/>
        </w:rPr>
        <w:t>Άρθρο 14</w:t>
      </w:r>
    </w:p>
    <w:p>
      <w:pPr>
        <w:spacing w:before="0" w:after="200" w:line="276" w:lineRule="auto"/>
        <w:jc w:val="center"/>
        <w:rPr>
          <w:b/>
          <w:noProof/>
          <w:szCs w:val="24"/>
        </w:rPr>
      </w:pPr>
      <w:r>
        <w:rPr>
          <w:b/>
          <w:noProof/>
        </w:rPr>
        <w:t>Πολυμερές συμβούλιο για τον τομέα .eu</w:t>
      </w:r>
    </w:p>
    <w:p>
      <w:pPr>
        <w:spacing w:before="0" w:after="200" w:line="276" w:lineRule="auto"/>
        <w:rPr>
          <w:noProof/>
          <w:szCs w:val="24"/>
        </w:rPr>
      </w:pPr>
      <w:r>
        <w:rPr>
          <w:noProof/>
        </w:rPr>
        <w:t>1.</w:t>
      </w:r>
      <w:r>
        <w:rPr>
          <w:noProof/>
        </w:rPr>
        <w:tab/>
        <w:t xml:space="preserve">Συστήνεται πολυμερές συμβούλιο για τον τομέα .eu που θα παρέχει συμβουλές στην Επιτροπή σχετικά με την εφαρμογή του παρόντος κανονισμού. </w:t>
      </w:r>
    </w:p>
    <w:p>
      <w:pPr>
        <w:spacing w:before="0" w:after="200" w:line="276" w:lineRule="auto"/>
        <w:rPr>
          <w:noProof/>
          <w:szCs w:val="24"/>
        </w:rPr>
      </w:pPr>
      <w:r>
        <w:rPr>
          <w:noProof/>
        </w:rPr>
        <w:t>2.</w:t>
      </w:r>
      <w:r>
        <w:rPr>
          <w:noProof/>
        </w:rPr>
        <w:tab/>
        <w:t>Το πολυμερές συμβούλιο για τον τομέα .eu αποτελείται από αντιπροσώπους που προέρχονται από τον ιδιωτικό τομέα, την τεχνολογική κοινότητα, τα κράτη μέλη και τους διεθνείς οργανισμούς, την κοινωνία των πολιτών και τους ακαδημαϊκούς κύκλους και τα μέλη του διορίζονται από την Επιτροπή με βάση ανοικτή και διαφανή διαδικασία.</w:t>
      </w:r>
    </w:p>
    <w:p>
      <w:pPr>
        <w:spacing w:before="0" w:after="200" w:line="276" w:lineRule="auto"/>
        <w:rPr>
          <w:noProof/>
          <w:szCs w:val="24"/>
        </w:rPr>
      </w:pPr>
      <w:r>
        <w:rPr>
          <w:noProof/>
        </w:rPr>
        <w:t>3.</w:t>
      </w:r>
      <w:r>
        <w:rPr>
          <w:noProof/>
        </w:rPr>
        <w:tab/>
        <w:t>Το πολυμερές συμβούλιο για τον τομέα .eu έχει τα εξής καθήκοντα:</w:t>
      </w:r>
    </w:p>
    <w:p>
      <w:pPr>
        <w:spacing w:before="0" w:after="200" w:line="276" w:lineRule="auto"/>
        <w:rPr>
          <w:noProof/>
          <w:szCs w:val="24"/>
        </w:rPr>
      </w:pPr>
      <w:r>
        <w:rPr>
          <w:noProof/>
        </w:rPr>
        <w:t>α) την παροχή συνδρομής και συμβουλών στην Επιτροπή κατά την εφαρμογή του παρόντος κανονισμού·</w:t>
      </w:r>
    </w:p>
    <w:p>
      <w:pPr>
        <w:spacing w:before="0" w:after="200" w:line="276" w:lineRule="auto"/>
        <w:rPr>
          <w:noProof/>
          <w:szCs w:val="24"/>
        </w:rPr>
      </w:pPr>
      <w:r>
        <w:rPr>
          <w:noProof/>
        </w:rPr>
        <w:t>β) την έκδοση γνωμοδοτήσεων για ζητήματα διαχείρισης, οργάνωσης και διοίκησης του τομέα ανωτάτου επιπέδου .eu·</w:t>
      </w:r>
    </w:p>
    <w:p>
      <w:pPr>
        <w:spacing w:before="0" w:after="200" w:line="276" w:lineRule="auto"/>
        <w:rPr>
          <w:noProof/>
          <w:szCs w:val="24"/>
        </w:rPr>
      </w:pPr>
      <w:r>
        <w:rPr>
          <w:noProof/>
        </w:rPr>
        <w:t>γ) την παροχή συμβουλών στην Επιτροπή για ζητήματα παρακολούθησης και εποπτείας του μητρώου.</w:t>
      </w:r>
    </w:p>
    <w:p>
      <w:pPr>
        <w:keepNext/>
        <w:spacing w:before="360"/>
        <w:jc w:val="center"/>
        <w:rPr>
          <w:noProof/>
          <w:szCs w:val="24"/>
        </w:rPr>
      </w:pPr>
      <w:r>
        <w:rPr>
          <w:noProof/>
        </w:rPr>
        <w:t>ΚΕΦΑΛΑΙΟ III</w:t>
      </w:r>
    </w:p>
    <w:p>
      <w:pPr>
        <w:spacing w:before="0" w:after="200" w:line="276" w:lineRule="auto"/>
        <w:jc w:val="center"/>
        <w:rPr>
          <w:b/>
          <w:i/>
          <w:noProof/>
          <w:szCs w:val="24"/>
        </w:rPr>
      </w:pPr>
      <w:r>
        <w:rPr>
          <w:b/>
          <w:i/>
          <w:noProof/>
        </w:rPr>
        <w:t>Τελικές διατάξεις</w:t>
      </w:r>
    </w:p>
    <w:p>
      <w:pPr>
        <w:pStyle w:val="Titrearticle"/>
        <w:rPr>
          <w:noProof/>
        </w:rPr>
      </w:pPr>
      <w:r>
        <w:rPr>
          <w:noProof/>
        </w:rPr>
        <w:lastRenderedPageBreak/>
        <w:t>Άρθρο 15</w:t>
      </w:r>
    </w:p>
    <w:p>
      <w:pPr>
        <w:spacing w:before="0" w:after="200" w:line="276" w:lineRule="auto"/>
        <w:jc w:val="center"/>
        <w:rPr>
          <w:b/>
          <w:noProof/>
          <w:szCs w:val="24"/>
        </w:rPr>
      </w:pPr>
      <w:r>
        <w:rPr>
          <w:b/>
          <w:noProof/>
        </w:rPr>
        <w:t>Επιφύλαξη δικαιωμάτων</w:t>
      </w:r>
    </w:p>
    <w:p>
      <w:pPr>
        <w:spacing w:before="0" w:after="200" w:line="276" w:lineRule="auto"/>
        <w:rPr>
          <w:noProof/>
          <w:szCs w:val="24"/>
        </w:rPr>
      </w:pPr>
      <w:r>
        <w:rPr>
          <w:noProof/>
        </w:rPr>
        <w:t>Η Ένωση διατηρεί όλα τα δικαιώματα σχετικά με τον τομέα ανωτάτου επιπέδου .eu, μεταξύ των οποίων, ιδίως, τα δικαιώματα διανοητικής ιδιοκτησίας και τα λοιπά δικαιώματα σχετικά με τις βάσεις δεδομένων του μητρώου τα οποία είναι απαραίτητα προκειμένου να διασφαλίζεται η εφαρμογή του παρόντος κανονισμού, καθώς και το δικαίωμα επανορισμού του μητρώου.</w:t>
      </w:r>
    </w:p>
    <w:p>
      <w:pPr>
        <w:pStyle w:val="Titrearticle"/>
        <w:rPr>
          <w:noProof/>
        </w:rPr>
      </w:pPr>
      <w:r>
        <w:rPr>
          <w:noProof/>
        </w:rPr>
        <w:t>Άρθρο 16</w:t>
      </w:r>
    </w:p>
    <w:p>
      <w:pPr>
        <w:spacing w:before="0" w:after="200" w:line="276" w:lineRule="auto"/>
        <w:jc w:val="center"/>
        <w:rPr>
          <w:b/>
          <w:noProof/>
          <w:szCs w:val="24"/>
        </w:rPr>
      </w:pPr>
      <w:r>
        <w:rPr>
          <w:rFonts w:cstheme="minorBidi"/>
          <w:b/>
          <w:noProof/>
        </w:rPr>
        <w:t>Αξιολόγηση και επανεξέταση</w:t>
      </w:r>
    </w:p>
    <w:p>
      <w:pPr>
        <w:spacing w:before="0" w:after="200" w:line="276" w:lineRule="auto"/>
        <w:rPr>
          <w:noProof/>
          <w:szCs w:val="24"/>
        </w:rPr>
      </w:pPr>
      <w:r>
        <w:rPr>
          <w:noProof/>
        </w:rPr>
        <w:t>1.</w:t>
      </w:r>
      <w:r>
        <w:rPr>
          <w:noProof/>
        </w:rPr>
        <w:tab/>
        <w:t>Το αργότερο πέντε έτη μετά την ημερομηνία εφαρμογής του παρόντος κανονισμού και ανά τρία έτη στη συνέχεια, η Επιτροπή αξιολογεί την εφαρμογή, την αποτελεσματικότητα και τη λειτουργία του τομέα ανωτάτου επιπέδου .eu.</w:t>
      </w:r>
    </w:p>
    <w:p>
      <w:pPr>
        <w:spacing w:before="0" w:after="200" w:line="276" w:lineRule="auto"/>
        <w:rPr>
          <w:noProof/>
          <w:szCs w:val="24"/>
        </w:rPr>
      </w:pPr>
      <w:r>
        <w:rPr>
          <w:noProof/>
        </w:rPr>
        <w:t>2.</w:t>
      </w:r>
      <w:r>
        <w:rPr>
          <w:noProof/>
        </w:rPr>
        <w:tab/>
        <w:t>Η Επιτροπή υποβάλλει έκθεση στο Ευρωπαϊκό Κοινοβούλιο και στο Συμβούλιο με τα πορίσματα της αξιολόγησης της παραγράφου 1.</w:t>
      </w:r>
    </w:p>
    <w:p>
      <w:pPr>
        <w:pStyle w:val="Titrearticle"/>
        <w:rPr>
          <w:noProof/>
        </w:rPr>
      </w:pPr>
      <w:r>
        <w:rPr>
          <w:noProof/>
        </w:rPr>
        <w:t>Άρθρο 17</w:t>
      </w:r>
    </w:p>
    <w:p>
      <w:pPr>
        <w:spacing w:before="0" w:after="200" w:line="276" w:lineRule="auto"/>
        <w:jc w:val="center"/>
        <w:rPr>
          <w:rFonts w:cstheme="minorBidi"/>
          <w:b/>
          <w:noProof/>
        </w:rPr>
      </w:pPr>
      <w:r>
        <w:rPr>
          <w:rFonts w:cstheme="minorBidi"/>
          <w:b/>
          <w:noProof/>
        </w:rPr>
        <w:t>Διαδικασία επιτροπής</w:t>
      </w:r>
    </w:p>
    <w:p>
      <w:pPr>
        <w:spacing w:before="0" w:after="0"/>
        <w:rPr>
          <w:rFonts w:eastAsia="Calibri"/>
          <w:noProof/>
          <w:szCs w:val="24"/>
        </w:rPr>
      </w:pPr>
      <w:r>
        <w:rPr>
          <w:noProof/>
        </w:rPr>
        <w:t>1.</w:t>
      </w:r>
      <w:r>
        <w:rPr>
          <w:noProof/>
        </w:rPr>
        <w:tab/>
        <w:t>Η Επιτροπή επικουρείται από επιτροπή. Η εν λόγω επιτροπή αποτελεί επιτροπή κατά την έννοια του κανονισμού (ΕΕ) αριθ. 182/2011.</w:t>
      </w:r>
    </w:p>
    <w:p>
      <w:pPr>
        <w:spacing w:before="0" w:after="0"/>
        <w:rPr>
          <w:rFonts w:eastAsia="Calibri"/>
          <w:noProof/>
          <w:szCs w:val="24"/>
        </w:rPr>
      </w:pPr>
      <w:r>
        <w:rPr>
          <w:noProof/>
        </w:rPr>
        <w:t>2.</w:t>
      </w:r>
      <w:r>
        <w:rPr>
          <w:noProof/>
        </w:rPr>
        <w:tab/>
        <w:t>Όποτε γίνεται αναφορά στην παρούσα παράγραφο, εφαρμόζεται το άρθρο 5 του κανονισμού (ΕΕ) αριθ. 182/2011.</w:t>
      </w:r>
    </w:p>
    <w:p>
      <w:pPr>
        <w:spacing w:before="0" w:after="0"/>
        <w:rPr>
          <w:rFonts w:eastAsia="Calibri"/>
          <w:noProof/>
          <w:szCs w:val="24"/>
        </w:rPr>
      </w:pPr>
      <w:r>
        <w:rPr>
          <w:noProof/>
        </w:rPr>
        <w:t>3.</w:t>
      </w:r>
      <w:r>
        <w:rPr>
          <w:noProof/>
        </w:rPr>
        <w:tab/>
        <w:t>Όποτε γίνεται αναφορά στην παρούσα παράγραφο, εφαρμόζεται το άρθρο 8 του κανονισμού (ΕΕ) αριθ. 182/2011, σε συνδυασμό με το άρθρο 5.</w:t>
      </w:r>
    </w:p>
    <w:p>
      <w:pPr>
        <w:pStyle w:val="Titrearticle"/>
        <w:rPr>
          <w:noProof/>
        </w:rPr>
      </w:pPr>
      <w:r>
        <w:rPr>
          <w:noProof/>
        </w:rPr>
        <w:t>Άρθρο 18</w:t>
      </w:r>
    </w:p>
    <w:p>
      <w:pPr>
        <w:spacing w:before="0" w:after="200" w:line="276" w:lineRule="auto"/>
        <w:jc w:val="center"/>
        <w:rPr>
          <w:b/>
          <w:noProof/>
          <w:szCs w:val="24"/>
        </w:rPr>
      </w:pPr>
      <w:r>
        <w:rPr>
          <w:b/>
          <w:noProof/>
        </w:rPr>
        <w:t>Μεταβατικές διατάξεις</w:t>
      </w:r>
    </w:p>
    <w:p>
      <w:pPr>
        <w:spacing w:before="0" w:after="200" w:line="276" w:lineRule="auto"/>
        <w:rPr>
          <w:noProof/>
          <w:szCs w:val="24"/>
        </w:rPr>
      </w:pPr>
      <w:r>
        <w:rPr>
          <w:noProof/>
        </w:rPr>
        <w:t>1.</w:t>
      </w:r>
      <w:r>
        <w:rPr>
          <w:noProof/>
        </w:rPr>
        <w:tab/>
        <w:t>Οι κάτοχοι ονομάτων τομέα που έχουν ονόματα τομέα καταχωρισμένα σύμφωνα με το άρθρο 4 παράγραφος 2 στοιχείο β) του κανονισμού (ΕΚ) αριθ. 733/2002 διατηρούν τα δικαιώματά τους επί των υφιστάμενων ονομάτων τομέα που έχουν καταχωριστεί υπό τον τομέα ανωτάτου επιπέδου .eu.</w:t>
      </w:r>
    </w:p>
    <w:p>
      <w:pPr>
        <w:keepNext/>
        <w:spacing w:before="360"/>
        <w:rPr>
          <w:noProof/>
          <w:szCs w:val="24"/>
        </w:rPr>
      </w:pPr>
      <w:r>
        <w:rPr>
          <w:noProof/>
        </w:rPr>
        <w:t>2.</w:t>
      </w:r>
      <w:r>
        <w:rPr>
          <w:noProof/>
        </w:rPr>
        <w:tab/>
        <w:t xml:space="preserve">Έως την </w:t>
      </w:r>
      <w:r>
        <w:rPr>
          <w:i/>
          <w:noProof/>
        </w:rPr>
        <w:t>[ημερομηνία – το αργότερο δύο έτη μετά την έναρξη ισχύος]</w:t>
      </w:r>
      <w:r>
        <w:rPr>
          <w:noProof/>
        </w:rPr>
        <w:t xml:space="preserve"> η Επιτροπή λαμβάνει τα απαραίτητα μέτρα για τον ορισμό και τη σύναψη σύμβασης με το μητρώο σύμφωνα με τον παρόντα κανονισμό. Η σύμβαση παράγει αποτελέσματα από την </w:t>
      </w:r>
      <w:r>
        <w:rPr>
          <w:i/>
          <w:noProof/>
        </w:rPr>
        <w:t>[ημερομηνία – της εφαρμογής του παρόντος κανονισμού: το αργότερο τρία έτη μετά την έναρξη ισχύος]</w:t>
      </w:r>
      <w:r>
        <w:rPr>
          <w:noProof/>
        </w:rPr>
        <w:t>.</w:t>
      </w:r>
    </w:p>
    <w:p>
      <w:pPr>
        <w:keepNext/>
        <w:spacing w:before="360"/>
        <w:rPr>
          <w:i/>
          <w:noProof/>
          <w:szCs w:val="24"/>
        </w:rPr>
      </w:pPr>
      <w:r>
        <w:rPr>
          <w:noProof/>
        </w:rPr>
        <w:t>3.</w:t>
      </w:r>
      <w:r>
        <w:rPr>
          <w:noProof/>
        </w:rPr>
        <w:tab/>
        <w:t xml:space="preserve">Η σύμβαση που συνάπτεται μεταξύ της Επιτροπής και του μητρώου σύμφωνα με το άρθρο 3 παράγραφος 1 στοιχείο γ) του κανονισμού (ΕΚ) αριθ. 733/2002 συνεχίζει να παράγει </w:t>
      </w:r>
      <w:r>
        <w:rPr>
          <w:noProof/>
        </w:rPr>
        <w:lastRenderedPageBreak/>
        <w:t xml:space="preserve">αποτελέσματα έως την </w:t>
      </w:r>
      <w:r>
        <w:rPr>
          <w:i/>
          <w:noProof/>
        </w:rPr>
        <w:t>[ημερομηνία – μείον μία ημέρα από την ημερομηνία εφαρμογής του παρόντος κανονισμού: το αργότερο τρία έτη μετά την έναρξη ισχύος]</w:t>
      </w:r>
      <w:r>
        <w:rPr>
          <w:noProof/>
        </w:rPr>
        <w:t>.</w:t>
      </w:r>
    </w:p>
    <w:p>
      <w:pPr>
        <w:pStyle w:val="Titrearticle"/>
        <w:rPr>
          <w:noProof/>
        </w:rPr>
      </w:pPr>
      <w:r>
        <w:rPr>
          <w:noProof/>
        </w:rPr>
        <w:t>Άρθρο 19</w:t>
      </w:r>
    </w:p>
    <w:p>
      <w:pPr>
        <w:spacing w:before="0" w:after="200" w:line="276" w:lineRule="auto"/>
        <w:jc w:val="center"/>
        <w:rPr>
          <w:b/>
          <w:noProof/>
          <w:szCs w:val="24"/>
        </w:rPr>
      </w:pPr>
      <w:r>
        <w:rPr>
          <w:b/>
          <w:noProof/>
        </w:rPr>
        <w:t>Κατάργηση</w:t>
      </w:r>
    </w:p>
    <w:p>
      <w:pPr>
        <w:keepNext/>
        <w:spacing w:before="360"/>
        <w:rPr>
          <w:noProof/>
          <w:szCs w:val="24"/>
        </w:rPr>
      </w:pPr>
      <w:r>
        <w:rPr>
          <w:noProof/>
        </w:rPr>
        <w:t xml:space="preserve">Ο κανονισμός (ΕΚ) αριθ. 733/2002 και ο κανονισμός (ΕΚ) αριθ. 874/2004 της Επιτροπής καταργούνται από την </w:t>
      </w:r>
      <w:r>
        <w:rPr>
          <w:i/>
          <w:noProof/>
        </w:rPr>
        <w:t>[ημερομηνία – της εφαρμογής του παρόντος κανονισμού: το αργότερο τρία έτη μετά την έναρξη ισχύος]</w:t>
      </w:r>
      <w:r>
        <w:rPr>
          <w:noProof/>
        </w:rPr>
        <w:t xml:space="preserve">. </w:t>
      </w:r>
    </w:p>
    <w:p>
      <w:pPr>
        <w:pStyle w:val="Titrearticle"/>
        <w:rPr>
          <w:noProof/>
        </w:rPr>
      </w:pPr>
      <w:r>
        <w:rPr>
          <w:noProof/>
        </w:rPr>
        <w:t>Άρθρο 20</w:t>
      </w:r>
    </w:p>
    <w:p>
      <w:pPr>
        <w:spacing w:before="0" w:after="200" w:line="276" w:lineRule="auto"/>
        <w:jc w:val="center"/>
        <w:rPr>
          <w:b/>
          <w:noProof/>
          <w:szCs w:val="24"/>
        </w:rPr>
      </w:pPr>
      <w:r>
        <w:rPr>
          <w:b/>
          <w:noProof/>
        </w:rPr>
        <w:t xml:space="preserve">Έναρξη ισχύος </w:t>
      </w:r>
    </w:p>
    <w:p>
      <w:pPr>
        <w:spacing w:before="0" w:after="200" w:line="276" w:lineRule="auto"/>
        <w:rPr>
          <w:noProof/>
          <w:szCs w:val="24"/>
        </w:rPr>
      </w:pPr>
      <w:r>
        <w:rPr>
          <w:noProof/>
        </w:rPr>
        <w:t xml:space="preserve">Ο παρών κανονισμός αρχίζει να ισχύει την </w:t>
      </w:r>
      <w:r>
        <w:rPr>
          <w:i/>
          <w:noProof/>
        </w:rPr>
        <w:t>εικοστή</w:t>
      </w:r>
      <w:r>
        <w:rPr>
          <w:noProof/>
        </w:rPr>
        <w:t xml:space="preserve"> ημέρα από τη δημοσίευσή του στην </w:t>
      </w:r>
      <w:r>
        <w:rPr>
          <w:i/>
          <w:noProof/>
        </w:rPr>
        <w:t>Επίσημη Εφημερίδα της Ευρωπαϊκής Ένωσης</w:t>
      </w:r>
      <w:r>
        <w:rPr>
          <w:noProof/>
        </w:rPr>
        <w:t>.</w:t>
      </w:r>
    </w:p>
    <w:p>
      <w:pPr>
        <w:spacing w:before="0" w:after="200" w:line="276" w:lineRule="auto"/>
        <w:rPr>
          <w:i/>
          <w:noProof/>
          <w:szCs w:val="24"/>
        </w:rPr>
      </w:pPr>
      <w:r>
        <w:rPr>
          <w:noProof/>
        </w:rPr>
        <w:t xml:space="preserve">Ισχύει από την </w:t>
      </w:r>
      <w:r>
        <w:rPr>
          <w:i/>
          <w:noProof/>
        </w:rPr>
        <w:t>[ημερομηνία – το αργότερο τρία έτη μετά την έναρξη ισχύος]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Ο/Η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Στο σύστημα ονομάτων τομέα (DNS), η «εκχώρηση» ονόματος τομέα πραγματοποιείται όταν ο σχετικός τομέας ανωτάτου επιπέδου (στην προκειμένη περίπτωση, .eu) δημοσιεύεται στη βάση δεδομένων της ζώνης ρίζας από το ICANN. Η δημοσίευση στη βάση δεδομένων της ζώνης ρίζας καθιστά δυνατή τη λειτουργία κωδικού (π.χ. .eu) ως τομέα ανωτάτου επιπέδου στο πλαίσιο του συστήματος ονομάτων τομέα.</w:t>
      </w:r>
    </w:p>
  </w:footnote>
  <w:footnote w:id="3">
    <w:p>
      <w:pPr>
        <w:pStyle w:val="FootnoteText"/>
      </w:pPr>
      <w:r>
        <w:rPr>
          <w:rStyle w:val="FootnoteReference"/>
        </w:rPr>
        <w:footnoteRef/>
      </w:r>
      <w:r>
        <w:tab/>
        <w:t xml:space="preserve">Η ζώνη ρίζας είναι η ανωτάτου επιπέδου ζώνη DNS στην ιεραρχία του χώρου ονομάτων του συστήματος ονομάτων τομέα (DNS) του διαδικτύου. </w:t>
      </w:r>
    </w:p>
  </w:footnote>
  <w:footnote w:id="4">
    <w:p>
      <w:pPr>
        <w:pStyle w:val="FootnoteText"/>
        <w:rPr>
          <w:lang w:val="pt-PT"/>
        </w:rPr>
      </w:pPr>
      <w:r>
        <w:rPr>
          <w:rStyle w:val="FootnoteReference"/>
        </w:rPr>
        <w:footnoteRef/>
      </w:r>
      <w:r>
        <w:rPr>
          <w:lang w:val="pt-PT"/>
        </w:rPr>
        <w:tab/>
        <w:t>COM/2015/0192 final</w:t>
      </w:r>
    </w:p>
  </w:footnote>
  <w:footnote w:id="5">
    <w:p>
      <w:pPr>
        <w:pStyle w:val="FootnoteText"/>
        <w:rPr>
          <w:lang w:val="pt-PT"/>
        </w:rPr>
      </w:pPr>
      <w:r>
        <w:rPr>
          <w:rStyle w:val="FootnoteReference"/>
        </w:rPr>
        <w:footnoteRef/>
      </w:r>
      <w:r>
        <w:rPr>
          <w:lang w:val="pt-PT"/>
        </w:rPr>
        <w:tab/>
      </w:r>
      <w:hyperlink r:id="rId1">
        <w:r>
          <w:rPr>
            <w:rStyle w:val="Hyperlink"/>
            <w:lang w:val="pt-PT"/>
          </w:rPr>
          <w:t>https://ec.europa.eu/digital-single-market/en/news/summary-report-public-consultation-evaluation-and-revision-eu-top-level-domain-regulations</w:t>
        </w:r>
      </w:hyperlink>
      <w:r>
        <w:rPr>
          <w:lang w:val="pt-PT"/>
        </w:rPr>
        <w:t xml:space="preserve"> </w:t>
      </w:r>
    </w:p>
  </w:footnote>
  <w:footnote w:id="6">
    <w:p>
      <w:pPr>
        <w:pStyle w:val="FootnoteText"/>
      </w:pPr>
      <w:r>
        <w:rPr>
          <w:rStyle w:val="FootnoteReference"/>
        </w:rPr>
        <w:footnoteRef/>
      </w:r>
      <w:r>
        <w:tab/>
        <w:t>16200/14</w:t>
      </w:r>
    </w:p>
  </w:footnote>
  <w:footnote w:id="7">
    <w:p>
      <w:pPr>
        <w:pStyle w:val="FootnoteText"/>
      </w:pPr>
      <w:r>
        <w:rPr>
          <w:rStyle w:val="FootnoteReference"/>
        </w:rPr>
        <w:footnoteRef/>
      </w:r>
      <w:r>
        <w:tab/>
        <w:t>COM/2014/072 final</w:t>
      </w:r>
    </w:p>
  </w:footnote>
  <w:footnote w:id="8">
    <w:p>
      <w:pPr>
        <w:pStyle w:val="FootnoteText"/>
      </w:pPr>
      <w:r>
        <w:rPr>
          <w:rStyle w:val="FootnoteReference"/>
        </w:rPr>
        <w:footnoteRef/>
      </w:r>
      <w:r>
        <w:tab/>
        <w:t>Τα διεθνοποιημένα ονόματα τομέα καθιστούν δυνατή τη χρήση ονομάτων τομέα σε τοπικές γλώσσες και αλφάβητα. Τα διεθνοποιημένα ονόματα τομέα διαμορφώνονται με τη χρήση χαρακτήρων από διάφορα αλφάβητα, όπως το αραβικό, το κινεζικό, το κυριλλικό ή το δεβαναγαρικό. Αυτά κωδικοποιούνται μέσω του προτύπου «Unicode» και χρησιμοποιούνται ανάλογα με τη δυνατότητα που παρέχεται από τα σχετικά πρωτόκολλα για τα διεθνοποιημένα ονόματα τομέα. Ο τομέας ανωτάτου επιπέδου .eu υποστηρίζει και τις 24 επίσημες γλώσσες της ΕΕ, συμπεριλαμβανομένων των βουλγάρικων και των ελληνικών, που απαιτούν ονόματα τομέα στο κυριλλικό και το ελληνικό αλφάβητο.</w:t>
      </w:r>
    </w:p>
  </w:footnote>
  <w:footnote w:id="9">
    <w:p>
      <w:pPr>
        <w:pStyle w:val="FootnoteText"/>
      </w:pPr>
      <w:r>
        <w:rPr>
          <w:rStyle w:val="FootnoteReference"/>
        </w:rPr>
        <w:footnoteRef/>
      </w:r>
      <w:r>
        <w:tab/>
      </w:r>
      <w:hyperlink r:id="rId2">
        <w:r>
          <w:rPr>
            <w:rStyle w:val="Hyperlink"/>
          </w:rPr>
          <w:t>https://ec.europa.eu/digital-single-market/en/news/summary-report-public-consultation-evaluation-and-revision-eu-top-level-domain-regulations</w:t>
        </w:r>
      </w:hyperlink>
      <w:r>
        <w:t xml:space="preserve"> </w:t>
      </w:r>
    </w:p>
  </w:footnote>
  <w:footnote w:id="10">
    <w:p>
      <w:pPr>
        <w:pStyle w:val="FootnoteText"/>
      </w:pPr>
      <w:r>
        <w:rPr>
          <w:rStyle w:val="FootnoteReference"/>
        </w:rPr>
        <w:footnoteRef/>
      </w:r>
      <w:r>
        <w:tab/>
        <w:t>ΕΕ C της , σ. .</w:t>
      </w:r>
    </w:p>
  </w:footnote>
  <w:footnote w:id="11">
    <w:p>
      <w:pPr>
        <w:pStyle w:val="FootnoteText"/>
      </w:pPr>
      <w:r>
        <w:rPr>
          <w:rStyle w:val="FootnoteReference"/>
        </w:rPr>
        <w:footnoteRef/>
      </w:r>
      <w:r>
        <w:tab/>
        <w:t>ΕΕ C της , σ. .</w:t>
      </w:r>
    </w:p>
  </w:footnote>
  <w:footnote w:id="12">
    <w:p>
      <w:pPr>
        <w:pStyle w:val="FootnoteText"/>
      </w:pPr>
      <w:r>
        <w:rPr>
          <w:rStyle w:val="FootnoteReference"/>
        </w:rPr>
        <w:footnoteRef/>
      </w:r>
      <w:r>
        <w:tab/>
        <w:t xml:space="preserve">Κανονισμός (ΕΚ) αριθ. 733/2002 του Ευρωπαϊκού Κοινοβουλίου και του Συμβουλίου, της 22ας Απριλίου 2002, για την υλοποίηση του .eu τομέα ανωτάτου επιπέδου (ΕΕ L 113 της 30.4.2002, σ. 1). </w:t>
      </w:r>
    </w:p>
  </w:footnote>
  <w:footnote w:id="13">
    <w:p>
      <w:pPr>
        <w:pStyle w:val="FootnoteText"/>
      </w:pPr>
      <w:r>
        <w:rPr>
          <w:rStyle w:val="FootnoteReference"/>
        </w:rPr>
        <w:footnoteRef/>
      </w:r>
      <w:r>
        <w:tab/>
        <w:t>Κανονισμός (ΕΚ) αριθ. 874/2004 της Επιτροπής, της 28ης Απριλίου 2004, για τη θέσπιση κανόνων δημοσίου συμφέροντος σχετικά με την υλοποίηση και τις λειτουργίες του .eu τομέα ανωτάτου επιπέδου και τις αρχές που διέπουν την καταχώριση (ΕΕ L 162 της 30.4.2004, σ.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5: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32CC72-A1A6-4443-9190-009D591E820D"/>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Βρυξέλλες,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5?\u955?\u959?\u960?\u959?\u943?\u951?\u963?\u951? \u954?\u945?\u953? \u964?\u951? \u955?\u949?\u953?\u964?\u959?\u965?\u961?\u947?\u943?\u945? \u964?\u959?\u965? \u959?\u957?\u972?\u956?\u945?\u964?\u959?\u962? \u964?\u959?\u956?\u941?\u945? \u945?\u957?\u969?\u964?\u940?\u964?\u959?\u965? \u949?\u960?\u953?\u960?\u941?\u948?\u959?\u965? .eu \u954?\u945?\u953? \u947?\u953?\u945? \u964?\u951?\u957? \u954?\u945?\u964?\u940?\u961?\u947?\u951?\u963?\u951? \u964?\u959?\u965? \u954?\u945?\u957?\u959?\u957?\u953?\u963?\u956?\u959?\u973? (\u917?\u922?) \u945?\u961?\u953?\u952?. 733/2002 \u954?\u945?\u953? \u964?\u959?\u965? \u954?\u945?\u957?\u959?\u957?\u953?\u963?\u956?\u959?\u973? (\u917?\u922?) \u945?\u961?\u953?\u952?. 874/2004 \u964?\u951?\u962? \u917?\u960?\u953?\u964?\u961?\u959?\u960?\u942?\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F5F8D9-37F8-46A1-8221-C08CDB9A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8550</Words>
  <Characters>49851</Characters>
  <Application>Microsoft Office Word</Application>
  <DocSecurity>0</DocSecurity>
  <Lines>890</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2018-04-27T14:21:00Z</dcterms:created>
  <dcterms:modified xsi:type="dcterms:W3CDTF">2018-05-18T09:55:00Z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