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ECDA0FB-7F0B-40C7-B690-15DA5032CBA2" style="width:450.7pt;height:37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autoSpaceDE w:val="0"/>
        <w:autoSpaceDN w:val="0"/>
        <w:adjustRightInd w:val="0"/>
        <w:rPr>
          <w:noProof/>
        </w:rPr>
      </w:pPr>
      <w:r>
        <w:rPr>
          <w:noProof/>
        </w:rPr>
        <w:t>Scopul prezentei propuneri de directivă de modificare a Directivei 2006/112/CE a Consiliului din 28 noiembrie 2006 privind sistemul comun al taxei pe valoarea adăugată</w:t>
      </w:r>
      <w:r>
        <w:rPr>
          <w:rStyle w:val="FootnoteReference"/>
          <w:noProof/>
        </w:rPr>
        <w:footnoteReference w:id="1"/>
      </w:r>
      <w:r>
        <w:rPr>
          <w:noProof/>
        </w:rPr>
        <w:t xml:space="preserve"> (denumită în continuare Directiva TVA) este de a prelungi: 1) posibilitatea utilizării de către statele membre a procedurii de taxare inversă</w:t>
      </w:r>
      <w:r>
        <w:rPr>
          <w:rStyle w:val="FootnoteReference"/>
          <w:noProof/>
        </w:rPr>
        <w:footnoteReference w:id="2"/>
      </w:r>
      <w:r>
        <w:rPr>
          <w:noProof/>
        </w:rPr>
        <w:t xml:space="preserve"> pentru a combate frauda care afectează livrările de bunuri și servicii menționate la articolul 199a alineatul (1) din Directiva TVA și 2) posibilitatea utilizării mecanismului de reacție rapidă (MRR) pentru combaterea fraudei. </w:t>
      </w:r>
    </w:p>
    <w:p>
      <w:pPr>
        <w:rPr>
          <w:noProof/>
          <w:szCs w:val="20"/>
        </w:rPr>
      </w:pPr>
      <w:r>
        <w:rPr>
          <w:noProof/>
        </w:rPr>
        <w:t>Articolul 199a</w:t>
      </w:r>
      <w:r>
        <w:rPr>
          <w:rStyle w:val="FootnoteReference"/>
          <w:noProof/>
        </w:rPr>
        <w:footnoteReference w:id="3"/>
      </w:r>
      <w:r>
        <w:rPr>
          <w:noProof/>
        </w:rPr>
        <w:t xml:space="preserve"> din Directiva TVA permite statelor membre să utilizeze, dacă doresc, mecanismul de taxare inversă pentru plata TVA-ului la livrarea unor bunuri și servicii predefinite, care prezintă risc de fraudă, în special de fraudă intracomunitară cu firme fantomă. </w:t>
      </w:r>
    </w:p>
    <w:p>
      <w:pPr>
        <w:autoSpaceDE w:val="0"/>
        <w:autoSpaceDN w:val="0"/>
        <w:adjustRightInd w:val="0"/>
        <w:rPr>
          <w:noProof/>
        </w:rPr>
      </w:pPr>
      <w:r>
        <w:rPr>
          <w:noProof/>
        </w:rPr>
        <w:t>Dacă un stat membru dorește să aplice mecanismul de taxare inversă pentru alte livrări decât cele menționate la articolul 199a din directiva TVA, poate fi acordată o derogare pe baza articolului 395 din Directiva TVA în scopul simplificării procedurii de colectare a TVA sau al prevenirii anumitor forme de evaziune fiscală sau de evitare a obligațiilor fiscale. Cu toate acestea, adoptarea unei derogări în temeiul acestui articol necesită o propunere din partea Comisiei și adoptarea în unanimitate de către Consiliu, proces care durează câteva luni (până la maximum 8 luni, în conformitate cu articolul 395 din directiva TVA). Dacă un stat membru s-ar confrunta dintr-odată cu fraude masive, durata procedurii de obținere a derogării pe baza articolului 395 ar putea conduce la pierderi importante de încasări din TVA. MRR prevăzut la articolul 199b</w:t>
      </w:r>
      <w:r>
        <w:rPr>
          <w:rStyle w:val="FootnoteReference"/>
          <w:noProof/>
        </w:rPr>
        <w:footnoteReference w:id="4"/>
      </w:r>
      <w:r>
        <w:rPr>
          <w:noProof/>
        </w:rPr>
        <w:t xml:space="preserve"> din Directiva TVA conține o procedură accelerată care permite statelor membre, în anumite condiții stricte, să aplice mecanismul de taxare inversă, oferind astfel statelor membre o soluție mai adecvată și mai eficientă pentru combaterea unor forme de fraudă neprevăzută și masivă. </w:t>
      </w:r>
    </w:p>
    <w:p>
      <w:pPr>
        <w:autoSpaceDE w:val="0"/>
        <w:autoSpaceDN w:val="0"/>
        <w:adjustRightInd w:val="0"/>
        <w:rPr>
          <w:noProof/>
        </w:rPr>
      </w:pPr>
      <w:r>
        <w:rPr>
          <w:noProof/>
        </w:rPr>
        <w:t>Scopul măsurilor prevăzute la articolele 199a și 199b este de a permite statelor membre să soluționeze rapid problemele legate de frauda intracomunitară cu firme fantomă (Missing Trader IntraCommunity, MTIC): articolul 199a oferă posibilitatea aplicării mecanismului de taxare inversă pentru livrările enumerate, iar articolul 199b pune la dispoziție o procedură mai rapidă de introducere a mecanismului de taxare inversă în caz de fraudă neprevăzută și masivă. Ambele articole expiră la 31 decembrie 2018</w:t>
      </w:r>
      <w:r>
        <w:rPr>
          <w:rStyle w:val="FootnoteReference"/>
          <w:noProof/>
        </w:rPr>
        <w:footnoteReference w:id="5"/>
      </w:r>
      <w:r>
        <w:rPr>
          <w:noProof/>
        </w:rPr>
        <w:t xml:space="preserve">. </w:t>
      </w:r>
    </w:p>
    <w:p>
      <w:pPr>
        <w:autoSpaceDE w:val="0"/>
        <w:autoSpaceDN w:val="0"/>
        <w:adjustRightInd w:val="0"/>
        <w:rPr>
          <w:noProof/>
        </w:rPr>
      </w:pPr>
      <w:r>
        <w:rPr>
          <w:noProof/>
        </w:rPr>
        <w:t xml:space="preserve">Frauda MTIC se produce atunci când un comerciant achiziționează bunuri, transportate sau expediate dintr-un alt stat membru, în cadrul unei livrări scutite de la plata TVA și le vinde facturând cumpărătorului TVA. După încasarea TVA de la client, respectivul comerciant dispare înainte de a achita autorităților fiscale TVA datorată. În același timp, clientul, acționând sau nu cu bună-credință, poate deduce TVA achitată furnizorului în baza declarației de TVA. Mecanismul opțional de taxare inversă, întemeiat pe articolul 199a din Directiva TVA, pare a fi un instrument preventiv util, care permite statelor membre să combată acest tip de fraudă în sectoarele sensibile predefinite atunci când aceasta se produce pe teritoriul lor. În condițiile în care comerciantul este obligat să utilizeze mecanismul de taxare inversă pentru astfel de livrări pe teritoriul său național, el nu poate percepe TVA pe factura emisă. El nu va încasa apoi TVA-ul de la clientul său, neputând astfel să dispară cu TVA-ul încasat. MRR prevăzut la articolul 199b este o măsură cu caracter excepțional care permite statelor membre să introducă rapid un mecanism temporar de taxare inversă pentru livrările de bunuri și servicii în sectoare în care au avut loc cazuri de fraudă neprevăzută și masivă și care nu sunt enumerate la articolul 199a din Directiva TVA. Utilizând acest mecanism, statele membre pot acoperi perioada necesară până la obținerea derogării normale în temeiul articolului 395 din Directiva TVA. </w:t>
      </w:r>
    </w:p>
    <w:p>
      <w:pPr>
        <w:rPr>
          <w:noProof/>
          <w:szCs w:val="24"/>
        </w:rPr>
      </w:pPr>
      <w:r>
        <w:rPr>
          <w:noProof/>
        </w:rPr>
        <w:t>În conformitate cu cerințele Directivei TVA, Comisia a prezentat un raport privind efectele mecanismelor prevăzute la articolele 199a și 199b din Directiva TVA</w:t>
      </w:r>
      <w:r>
        <w:rPr>
          <w:rStyle w:val="FootnoteReference"/>
          <w:noProof/>
        </w:rPr>
        <w:footnoteReference w:id="6"/>
      </w:r>
      <w:r>
        <w:rPr>
          <w:noProof/>
        </w:rPr>
        <w:t>. Pentru elaborarea acestui raport, statele membre au fost invitate să își împărtășească experiența și evaluările măsurilor. Pentru ca feedbackul din partea întreprinderilor să poată fi luat în considerare, părțile interesate din mediul de afaceri au fost invitate să-și prezinte opiniile, prin intermediul Grupului de experți în domeniul TVA</w:t>
      </w:r>
      <w:r>
        <w:rPr>
          <w:rStyle w:val="FootnoteReference"/>
          <w:noProof/>
        </w:rPr>
        <w:footnoteReference w:id="7"/>
      </w:r>
      <w:r>
        <w:rPr>
          <w:noProof/>
        </w:rPr>
        <w:t xml:space="preserve">. În general, statele membre și părțile interesate consultate consideră că mecanismul de taxare inversă prevăzut la articolul 199a din Directiva TVA este un instrument temporar eficace și eficient pentru combaterea fraudei în domeniul TVA. În ceea ce privește măsura MRR prevăzută la articolul 199b din Directiva TVA, deși nu a fost niciodată utilizată efectiv, majoritatea statelor membre consideră că aceasta este totuși un instrument util și o măsură preventivă în cazuri excepționale de fraudă în domeniul TVA. </w:t>
      </w:r>
    </w:p>
    <w:p>
      <w:pPr>
        <w:rPr>
          <w:noProof/>
          <w:szCs w:val="24"/>
        </w:rPr>
      </w:pPr>
      <w:r>
        <w:rPr>
          <w:noProof/>
        </w:rPr>
        <w:t>Comisia a prezentat recent două propuneri legislative care vizează să ofere răspuns mai decisiv la problema fraudei în domeniul TVA. Prima este o propunere de cooperare administrativă și combatere a fraudei în domeniul TVA</w:t>
      </w:r>
      <w:r>
        <w:rPr>
          <w:rStyle w:val="FootnoteReference"/>
          <w:noProof/>
        </w:rPr>
        <w:footnoteReference w:id="8"/>
      </w:r>
      <w:r>
        <w:rPr>
          <w:noProof/>
        </w:rPr>
        <w:t xml:space="preserve">, care ar permite consolidarea cooperării dintre statele membre în vederea combaterii cu eficacitate a fraudei transfrontaliere. </w:t>
      </w:r>
    </w:p>
    <w:p>
      <w:pPr>
        <w:rPr>
          <w:rFonts w:eastAsiaTheme="majorEastAsia"/>
          <w:noProof/>
        </w:rPr>
      </w:pPr>
      <w:r>
        <w:rPr>
          <w:noProof/>
        </w:rPr>
        <w:t>A doua propunere descrie fundamentele unui sistem definitiv de TVA mai simplu și mai puțin vulnerabil la fraude pentru comerțul în cadrul Uniunii</w:t>
      </w:r>
      <w:r>
        <w:rPr>
          <w:rStyle w:val="FootnoteReference"/>
          <w:noProof/>
        </w:rPr>
        <w:footnoteReference w:id="9"/>
      </w:r>
      <w:r>
        <w:rPr>
          <w:noProof/>
        </w:rPr>
        <w:t>. Pentru implementarea acestor fundamente, se va utiliza o abordare în două etape. Într-o primă etapă, Comisia va prezenta în primul semestru al anului 2018 o propunere care conține dispoziții detaliate privind funcționarea regimului definitiv pentru livrările de bunuri între companii (B2B) în cadrul Uniunii.</w:t>
      </w:r>
    </w:p>
    <w:p>
      <w:pPr>
        <w:rPr>
          <w:noProof/>
          <w:szCs w:val="24"/>
        </w:rPr>
      </w:pPr>
      <w:r>
        <w:rPr>
          <w:noProof/>
        </w:rPr>
        <w:t xml:space="preserve">Acest regim, care ar trebui să intre în vigoare la 1 iulie 2022, oferă un răspuns decisiv la problema fraudei MTIC. Întrucât TVA-ul ar fi perceput efectiv pentru livrările efectuate în cadrul Uniunii, comerciantul nu ar mai putea să achiziționeze bunuri, transportate sau expediate dintr-un alt stat membru cu scutire de TVA, care se află la originea fraudei MTIC. Numai persoanele impozabile de încredere care au obținut statutul de persoană impozabilă atestată vor putea achiziționa bunuri transportate sau expediate dintr-un alt stat membru fără ca TVA-ul să fie facturat de furnizor. </w:t>
      </w:r>
    </w:p>
    <w:p>
      <w:pPr>
        <w:autoSpaceDE w:val="0"/>
        <w:autoSpaceDN w:val="0"/>
        <w:adjustRightInd w:val="0"/>
        <w:rPr>
          <w:noProof/>
        </w:rPr>
      </w:pPr>
      <w:r>
        <w:rPr>
          <w:noProof/>
        </w:rPr>
        <w:t xml:space="preserve">Din cele de mai sus rezultă că măsurile prevăzute la articolele 199a și 199b din Directiva TVA s-au dovedit a fi utile ca măsuri temporare și precise. Expirarea acestora la 31 decembrie 2018 ar priva statele membre de un instrument eficient de combatere a fraudei. </w:t>
      </w:r>
    </w:p>
    <w:p>
      <w:pPr>
        <w:rPr>
          <w:noProof/>
        </w:rPr>
      </w:pPr>
      <w:r>
        <w:rPr>
          <w:noProof/>
        </w:rPr>
        <w:t xml:space="preserve">Prin urmare, este oportun să se prelungească măsurile prevăzute la articolele 199a și 199b până la 30 iunie 2022, dată la care ar trebui să intre în vigoare regimul definitiv pentru livrările B2B în cadrul Uniunii. </w:t>
      </w:r>
    </w:p>
    <w:p>
      <w:pPr>
        <w:rPr>
          <w:rFonts w:eastAsia="Arial Unicode MS"/>
          <w:noProof/>
          <w:szCs w:val="24"/>
        </w:rPr>
      </w:pPr>
      <w:r>
        <w:rPr>
          <w:noProof/>
        </w:rPr>
        <w:t xml:space="preserve">În conformitate cu articolul 199a alineatul (1) din Directiva TVA, statele membre pot aplica mecanismul de taxare inversă pentru o perioadă minimă de doi ani. </w:t>
      </w:r>
      <w:r>
        <w:rPr>
          <w:noProof/>
          <w:color w:val="000000"/>
        </w:rPr>
        <w:t xml:space="preserve">Cerința ce prevede perioada minimă de doi ani pentru aplicarea măsurii s-a dovedit a fi un impediment pentru câteva state membre care au dorit să introducă mecanismul de taxare inversă în cursul anului 2017 pentru a combate noile cazuri de fraudă descoperite în domeniul TVA în ceea ce privește livrările de bunuri și/sau prestările de servicii enumerate la articolul 199a. Statele membre în cauză au fost nevoite în cele din urmă să depună o cerere de derogare în temeiul articolului 395 din Directiva TVA și în conformitate cu procedura prevăzută la acest articol, ceea ce a dus la întârzierea reacției statelor membre la problema fraudei. În consecință, se propune eliminarea cerinței privind perioada minimă de doi ani din dispoziția respectivă. </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deja existente în domeniul de politică vizat</w:t>
      </w:r>
    </w:p>
    <w:p>
      <w:pPr>
        <w:pStyle w:val="Default"/>
        <w:jc w:val="both"/>
        <w:rPr>
          <w:noProof/>
        </w:rPr>
      </w:pPr>
      <w:r>
        <w:rPr>
          <w:noProof/>
        </w:rPr>
        <w:t>Prezenta propunere nu aduce atingere propunerii Comisiei referitoare la aplicarea temporară a unui mecanism generalizat de taxare inversă</w:t>
      </w:r>
      <w:r>
        <w:rPr>
          <w:rStyle w:val="FootnoteReference"/>
          <w:noProof/>
        </w:rPr>
        <w:footnoteReference w:id="10"/>
      </w:r>
      <w:r>
        <w:rPr>
          <w:noProof/>
        </w:rPr>
        <w:t xml:space="preserve">, care ar oferi statelor membre deosebit de afectate de fraudă posibilitatea de a introduce un mecanism general (și nu limitat la anumite sectoare) de taxare inversă pentru livrările de bunuri și prestările de servicii pe plan intern, cu condiția îndeplinirii anumitor condiții stricte. Sfera de aplicare și condițiile necesare pentru aplicarea mecanismului general de taxare inversă sunt diferite față de condițiile prevăzute la articolele 199a și 199b din Directiva TVA. </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noProof/>
        </w:rPr>
      </w:pPr>
      <w:r>
        <w:rPr>
          <w:noProof/>
        </w:rPr>
        <w:t xml:space="preserve">Prezenta directivă modifică Directiva TVA în temeiul articolului 113 din Tratatul privind funcționarea Uniunii Europene.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Întrucât propunerea extinde durata aplicării anumitor dispoziții ale directivei, este necesară o modificare a Directivei TVA. </w:t>
      </w:r>
    </w:p>
    <w:p>
      <w:pPr>
        <w:pStyle w:val="ManualHeading2"/>
        <w:rPr>
          <w:rFonts w:eastAsia="Arial Unicode MS"/>
          <w:noProof/>
          <w:u w:color="000000"/>
          <w:bdr w:val="nil"/>
        </w:rPr>
      </w:pPr>
      <w:r>
        <w:rPr>
          <w:noProof/>
        </w:rPr>
        <w:t>•</w:t>
      </w:r>
      <w:r>
        <w:rPr>
          <w:noProof/>
        </w:rPr>
        <w:tab/>
        <w:t xml:space="preserve">Subsidiaritatea (în cazul competențelor neexclusive) </w:t>
      </w:r>
    </w:p>
    <w:p>
      <w:pPr>
        <w:pStyle w:val="Text1"/>
        <w:ind w:left="0"/>
        <w:rPr>
          <w:noProof/>
        </w:rPr>
      </w:pPr>
      <w:r>
        <w:rPr>
          <w:noProof/>
        </w:rPr>
        <w:t>În conformitate cu principiul subsidiarității, astfel cum a fost prevăzut la articolul 5 alineatul (3) din Tratatul privind Uniunea Europeană, Uniunea poate interveni numai dacă obiectivele preconizate nu pot fi realizate în mod satisfăcător de statele membre acționând singure și, prin urmare, având în vedere amploarea și efectele acțiunilor propuse, pot fi realizate mai bine la nivelul Uniunii.</w:t>
      </w:r>
    </w:p>
    <w:p>
      <w:pPr>
        <w:pBdr>
          <w:top w:val="nil"/>
          <w:left w:val="nil"/>
          <w:bottom w:val="nil"/>
          <w:right w:val="nil"/>
          <w:between w:val="nil"/>
          <w:bar w:val="nil"/>
        </w:pBdr>
        <w:spacing w:before="0" w:after="240"/>
        <w:rPr>
          <w:rFonts w:eastAsia="Arial Unicode MS"/>
          <w:noProof/>
        </w:rPr>
      </w:pPr>
      <w:r>
        <w:rPr>
          <w:noProof/>
        </w:rPr>
        <w:t xml:space="preserve">Obiectivul de combatere a fraudei prin aplicarea mecanismului de taxare inversă și posibilitatea de utilizare a mecanismului de reacție rapidă pentru combaterea unor forme de fraudă neprevăzută și masivă poate fi realizat cel mai bine la nivelul Uniunii și își are temeiul juridic specific în Directiva TVA. Prin urmare, extinderea acestor măsuri necesită o modificare a Directivei TVA. </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Din cauza caracterului opțional și temporar al măsurilor extinse, propunerea este proporțională cu obiectivul urmărit, acela de combatere a fraudei care afectează anumite livrări de bunuri și servicii și de ajutor oferit statelor membre pentru soluționarea cazurilor de fraudă neprevăzută și masivă în domeniul TVA. </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color w:val="000000" w:themeColor="text1"/>
        </w:rPr>
      </w:pPr>
      <w:r>
        <w:rPr>
          <w:noProof/>
        </w:rPr>
        <w:t xml:space="preserve">În scopul modificării Directivei TVA se propune o directivă. </w:t>
      </w:r>
    </w:p>
    <w:p>
      <w:pPr>
        <w:pStyle w:val="ManualHeading1"/>
        <w:rPr>
          <w:noProof/>
        </w:rPr>
      </w:pPr>
      <w:r>
        <w:rPr>
          <w:noProof/>
        </w:rPr>
        <w:t>3.</w:t>
      </w:r>
      <w:r>
        <w:rPr>
          <w:noProof/>
        </w:rPr>
        <w:tab/>
        <w:t>REZULTATELE EVALUĂRILOR EX POST, ALE CONSULTĂRILOR CU PĂRȚILE INTERESATE ȘI ALE EVALUĂRII IMPACTULUI</w:t>
      </w:r>
    </w:p>
    <w:p>
      <w:pPr>
        <w:pStyle w:val="ManualHeading2"/>
        <w:rPr>
          <w:rFonts w:eastAsia="Arial Unicode MS"/>
          <w:noProof/>
          <w:u w:color="000000"/>
          <w:bdr w:val="nil"/>
        </w:rPr>
      </w:pPr>
      <w:r>
        <w:rPr>
          <w:noProof/>
        </w:rPr>
        <w:t>•</w:t>
      </w:r>
      <w:r>
        <w:rPr>
          <w:noProof/>
        </w:rPr>
        <w:tab/>
        <w:t>Consultările cu părțile interesate</w:t>
      </w:r>
    </w:p>
    <w:p>
      <w:pPr>
        <w:pBdr>
          <w:top w:val="nil"/>
          <w:left w:val="nil"/>
          <w:bottom w:val="nil"/>
          <w:right w:val="nil"/>
          <w:between w:val="nil"/>
          <w:bar w:val="nil"/>
        </w:pBdr>
        <w:spacing w:before="0" w:after="240"/>
        <w:rPr>
          <w:rFonts w:eastAsia="Arial Unicode MS"/>
          <w:noProof/>
        </w:rPr>
      </w:pPr>
      <w:r>
        <w:rPr>
          <w:noProof/>
        </w:rPr>
        <w:t xml:space="preserve">Reacția statelor membre și a părților interesate a fost prezentată în raportul Comisiei privind efectele aplicării articolelor 199a și 199b din Directiva TVA asupra combaterii fraudei. </w:t>
      </w:r>
    </w:p>
    <w:p>
      <w:pPr>
        <w:rPr>
          <w:noProof/>
          <w:szCs w:val="24"/>
        </w:rPr>
      </w:pPr>
      <w:r>
        <w:rPr>
          <w:noProof/>
        </w:rPr>
        <w:t xml:space="preserve">Potrivit raportului, statele membre consideră în general că mecanismul de taxare inversă prevăzut la articolul 199a din Directiva TVA constituie un instrument eficace și eficient pentru combaterea fraudei în domeniul TVA. Datorită introducerii mecanismului de taxare inversă, cazurile de fraudă s-au redus semnificativ sau au dispărut în sectoarele definite. Această opinie a fost împărtășită în răspunsurile primite de la părțile interesate consultate, care consideră că mecanismul de taxare inversă este o măsură temporară eficientă de combatere a fraudei. </w:t>
      </w:r>
    </w:p>
    <w:p>
      <w:pPr>
        <w:rPr>
          <w:noProof/>
          <w:szCs w:val="24"/>
        </w:rPr>
      </w:pPr>
      <w:r>
        <w:rPr>
          <w:noProof/>
        </w:rPr>
        <w:t xml:space="preserve">În ceea ce privește mecanismul de reacție rapidă prevăzut la articolul 199b din Directiva TVA, deși nu a fost utilizat niciodată, majoritatea statelor membre consideră că acesta este în continuare un instrument util și o măsură preventivă utilă în cazuri excepționale de fraudă neprevăzută în domeniul TVA. </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noProof/>
        </w:rPr>
      </w:pPr>
      <w:r>
        <w:rPr>
          <w:noProof/>
        </w:rPr>
        <w:t xml:space="preserve">Grupul de experți în domeniul TVA a fost consultat în ceea ce privește efectele măsurii prevăzute la articolul 199a din Directiva TVA. Feedbackul primit sugerează că mecanismul de taxare inversă pentru anumite livrări este considerat un instrument temporar eficient pentru combaterea fraudei. </w:t>
      </w:r>
    </w:p>
    <w:p>
      <w:pPr>
        <w:pBdr>
          <w:top w:val="nil"/>
          <w:left w:val="nil"/>
          <w:bottom w:val="nil"/>
          <w:right w:val="nil"/>
          <w:between w:val="nil"/>
          <w:bar w:val="nil"/>
        </w:pBdr>
        <w:spacing w:before="0" w:after="240"/>
        <w:rPr>
          <w:noProof/>
          <w:color w:val="000000"/>
          <w:szCs w:val="24"/>
        </w:rPr>
      </w:pPr>
      <w:r>
        <w:rPr>
          <w:noProof/>
        </w:rPr>
        <w:t>În general, mecanismul opțional de taxare inversă a fost evaluat în studiile anterioare. Potrivit unui studiu recent privind evaluarea mecanismului opțional de taxare inversă</w:t>
      </w:r>
      <w:r>
        <w:rPr>
          <w:rStyle w:val="FootnoteReference"/>
          <w:noProof/>
        </w:rPr>
        <w:footnoteReference w:id="11"/>
      </w:r>
      <w:r>
        <w:rPr>
          <w:noProof/>
        </w:rPr>
        <w:t>, mecanismul de taxare inversă presupune o majorare cu 43 % a costurilor de asigurare a conformității suportate de întreprinderi. În cadrul evaluării impactului care însoțește propunerea privind aplicarea temporară a unui mecanism generalizat de taxare inversă</w:t>
      </w:r>
      <w:r>
        <w:rPr>
          <w:rStyle w:val="FootnoteReference"/>
          <w:noProof/>
        </w:rPr>
        <w:footnoteReference w:id="12"/>
      </w:r>
      <w:r>
        <w:rPr>
          <w:noProof/>
        </w:rPr>
        <w:t xml:space="preserve"> a fost realizată o evaluare a unui mecanism general de taxare inversă (care a inclus și o comparație cu taxarea inversă la nivel sectorial) pe piața internă.</w:t>
      </w:r>
      <w:r>
        <w:rPr>
          <w:noProof/>
          <w:color w:val="000000"/>
        </w:rPr>
        <w:t xml:space="preserve"> Mecanismul selectiv de taxare inversă nu pare să aibă consecințe negative majore, dată fiind sfera restrânsă de aplicare și limitarea în timp a acestuia. </w:t>
      </w:r>
    </w:p>
    <w:p>
      <w:pPr>
        <w:pStyle w:val="ManualHeading2"/>
        <w:rPr>
          <w:rFonts w:eastAsia="Arial Unicode MS"/>
          <w:noProof/>
          <w:u w:color="000000"/>
          <w:bdr w:val="nil"/>
        </w:rPr>
      </w:pPr>
      <w:r>
        <w:rPr>
          <w:noProof/>
        </w:rPr>
        <w:t>•</w:t>
      </w:r>
      <w:r>
        <w:rPr>
          <w:noProof/>
        </w:rPr>
        <w:tab/>
        <w:t>Evaluarea impactului</w:t>
      </w:r>
    </w:p>
    <w:p>
      <w:pPr>
        <w:rPr>
          <w:noProof/>
          <w:color w:val="000000" w:themeColor="text1"/>
        </w:rPr>
      </w:pPr>
      <w:r>
        <w:rPr>
          <w:noProof/>
          <w:color w:val="000000" w:themeColor="text1"/>
        </w:rPr>
        <w:t xml:space="preserve">Inițiativa extinde măsurile prevăzute la articolele 199a și 199b pentru a sprijini statele membre în lupta împotriva fraudei în domeniul TVA până la implementarea unei reforme mai aprofundate a sistemului TVA. </w:t>
      </w:r>
    </w:p>
    <w:p>
      <w:pPr>
        <w:rPr>
          <w:noProof/>
          <w:color w:val="000000" w:themeColor="text1"/>
        </w:rPr>
      </w:pPr>
      <w:r>
        <w:rPr>
          <w:noProof/>
          <w:color w:val="000000" w:themeColor="text1"/>
        </w:rPr>
        <w:t xml:space="preserve">Având în vedere activitatea în curs a Comisiei privind regimul definitiv al TVA și impactul preconizat al acestuia asupra luptei împotriva fraudei, o evaluare care ar merge mai în profunzime decât recentul raport sau o revizuire a măsurilor nu ar fi utilă pentru moment, deoarece orice concluzie ar fi tranzitorie și ar trebui reevaluată odată cu intrarea în vigoare a regimului definitiv. </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Propunerea nu va avea implicații negative pentru bugetul Uniunii. </w:t>
      </w:r>
    </w:p>
    <w:p>
      <w:pPr>
        <w:pStyle w:val="ManualHeading1"/>
        <w:rPr>
          <w:noProof/>
        </w:rPr>
      </w:pPr>
      <w:r>
        <w:rPr>
          <w:noProof/>
        </w:rPr>
        <w:t>5.</w:t>
      </w:r>
      <w:r>
        <w:rPr>
          <w:noProof/>
        </w:rPr>
        <w:tab/>
        <w:t>ALTE ELEMENTE</w:t>
      </w:r>
    </w:p>
    <w:p>
      <w:pPr>
        <w:rPr>
          <w:noProof/>
        </w:rPr>
      </w:pPr>
      <w:r>
        <w:rPr>
          <w:noProof/>
        </w:rPr>
        <w:t>Propunerea este limitată în timp.</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2018/0150 (CNS)</w:t>
      </w:r>
    </w:p>
    <w:p>
      <w:pPr>
        <w:pStyle w:val="Statut"/>
        <w:rPr>
          <w:noProof/>
        </w:rPr>
      </w:pPr>
      <w:r>
        <w:rPr>
          <w:noProof/>
        </w:rPr>
        <w:t>Propunere de</w:t>
      </w:r>
    </w:p>
    <w:p>
      <w:pPr>
        <w:pStyle w:val="Typedudocument"/>
        <w:rPr>
          <w:noProof/>
        </w:rPr>
      </w:pPr>
      <w:r>
        <w:rPr>
          <w:noProof/>
        </w:rPr>
        <w:t>DIRECTIVĂ A CONSILIULUI</w:t>
      </w:r>
    </w:p>
    <w:p>
      <w:pPr>
        <w:pStyle w:val="Titreobjet"/>
        <w:rPr>
          <w:noProof/>
        </w:rPr>
      </w:pPr>
      <w:r>
        <w:rPr>
          <w:noProof/>
        </w:rPr>
        <w:t>de modificare a Directivei 2006/112/CE privind sistemul comun al taxei pe valoarea adăugată în ceea ce privește perioada de aplicare a mecanismului opțional de taxare inversă în legătură cu livrările de anumite bunuri și servicii care prezintă risc de fraudă și a mecanismului de reacție rapidă împotriva fraudei în domeniul TVA</w:t>
      </w:r>
    </w:p>
    <w:p>
      <w:pPr>
        <w:pStyle w:val="Institutionquiagit"/>
        <w:rPr>
          <w:noProof/>
        </w:rPr>
      </w:pPr>
      <w:r>
        <w:rPr>
          <w:noProof/>
        </w:rPr>
        <w:t>CONSILIUL UNIUNII EUROPENE,</w:t>
      </w:r>
    </w:p>
    <w:p>
      <w:pPr>
        <w:rPr>
          <w:noProof/>
        </w:rPr>
      </w:pPr>
      <w:r>
        <w:rPr>
          <w:noProof/>
        </w:rPr>
        <w:t>având în vedere Tratatul privind funcționarea Uniunii Europene, în special articolul 113,</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r>
        <w:rPr>
          <w:rStyle w:val="FootnoteReference"/>
          <w:noProof/>
        </w:rPr>
        <w:footnoteReference w:id="13"/>
      </w:r>
      <w:r>
        <w:rPr>
          <w:noProof/>
        </w:rPr>
        <w:t xml:space="preserve">, </w:t>
      </w:r>
    </w:p>
    <w:p>
      <w:pPr>
        <w:rPr>
          <w:noProof/>
        </w:rPr>
      </w:pPr>
      <w:r>
        <w:rPr>
          <w:noProof/>
        </w:rPr>
        <w:t>având în vedere avizul Comitetului Economic și Social European</w:t>
      </w:r>
      <w:r>
        <w:rPr>
          <w:rStyle w:val="FootnoteReference"/>
          <w:noProof/>
        </w:rPr>
        <w:footnoteReference w:id="14"/>
      </w:r>
      <w:r>
        <w:rPr>
          <w:noProof/>
        </w:rPr>
        <w:t xml:space="preserve">, </w:t>
      </w:r>
    </w:p>
    <w:p>
      <w:pPr>
        <w:rPr>
          <w:noProof/>
        </w:rPr>
      </w:pPr>
      <w:r>
        <w:rPr>
          <w:noProof/>
        </w:rPr>
        <w:t>hotărând în conformitate cu o procedură legislativă specială,</w:t>
      </w:r>
    </w:p>
    <w:p>
      <w:pPr>
        <w:rPr>
          <w:noProof/>
        </w:rPr>
      </w:pPr>
      <w:r>
        <w:rPr>
          <w:noProof/>
        </w:rPr>
        <w:t>întrucât:</w:t>
      </w:r>
    </w:p>
    <w:p>
      <w:pPr>
        <w:pStyle w:val="ManualConsidrant"/>
        <w:rPr>
          <w:noProof/>
        </w:rPr>
      </w:pPr>
      <w:r>
        <w:t>(1)</w:t>
      </w:r>
      <w:r>
        <w:tab/>
      </w:r>
      <w:r>
        <w:rPr>
          <w:noProof/>
        </w:rPr>
        <w:t xml:space="preserve">Frauda fiscală în domeniul taxei pe valoarea adăugată (TVA) duce la pierderi bugetare considerabile și afectează funcționarea pieței interne. </w:t>
      </w:r>
    </w:p>
    <w:p>
      <w:pPr>
        <w:pStyle w:val="ManualConsidrant"/>
        <w:rPr>
          <w:noProof/>
        </w:rPr>
      </w:pPr>
      <w:r>
        <w:t>(2)</w:t>
      </w:r>
      <w:r>
        <w:tab/>
      </w:r>
      <w:r>
        <w:rPr>
          <w:noProof/>
        </w:rPr>
        <w:t>Articolul 199a din Directiva 2006/112/CE a Consiliului</w:t>
      </w:r>
      <w:r>
        <w:rPr>
          <w:rStyle w:val="FootnoteReference"/>
          <w:noProof/>
        </w:rPr>
        <w:footnoteReference w:id="15"/>
      </w:r>
      <w:r>
        <w:rPr>
          <w:noProof/>
        </w:rPr>
        <w:t xml:space="preserve"> permite statelor membre să prevadă ca persoana obligată la plata TVA pentru livrările enumerate la articolul menționat să fie persoana impozabilă căreia îi sunt destinate livrările (mecanismul de taxare inversă) cu scopul de a permite soluționarea rapidă a problemelor legate de frauda cu firme fantomă în comerțul intracomunitar (MTIC). Statele membre pot aplica acest mecanism până la 31 decembrie 2018 și pentru o perioadă minimă de doi ani. </w:t>
      </w:r>
    </w:p>
    <w:p>
      <w:pPr>
        <w:pStyle w:val="ManualConsidrant"/>
        <w:rPr>
          <w:noProof/>
        </w:rPr>
      </w:pPr>
      <w:r>
        <w:t>(3)</w:t>
      </w:r>
      <w:r>
        <w:tab/>
      </w:r>
      <w:r>
        <w:rPr>
          <w:noProof/>
        </w:rPr>
        <w:t>Măsura specială bazată pe un mecanism de reacție rapidă (MRR) prevăzută la articolul 199b din Directiva 2006/112/CE oferă statelor membre o procedură accelerată care permite introducerea mecanismului de taxare inversă pentru anumite livrări de bunuri și servicii în vederea combaterii unor forme de fraudă neprevăzută și masivă care ar putea duce la pierderi financiare considerabile și ireparabile. În conformitate cu articolul 3 din Directiva 2013/42/UE a Consiliului</w:t>
      </w:r>
      <w:r>
        <w:rPr>
          <w:rStyle w:val="FootnoteReference"/>
          <w:noProof/>
        </w:rPr>
        <w:footnoteReference w:id="16"/>
      </w:r>
      <w:r>
        <w:rPr>
          <w:noProof/>
        </w:rPr>
        <w:t xml:space="preserve">, statele membre pot aplica măsura specială MRR până la 31 decembrie 2018. </w:t>
      </w:r>
    </w:p>
    <w:p>
      <w:pPr>
        <w:pStyle w:val="ManualConsidrant"/>
        <w:rPr>
          <w:noProof/>
        </w:rPr>
      </w:pPr>
      <w:r>
        <w:t>(4)</w:t>
      </w:r>
      <w:r>
        <w:tab/>
      </w:r>
      <w:r>
        <w:rPr>
          <w:noProof/>
        </w:rPr>
        <w:t>La 8 martie 2018, Comisia a prezentat Parlamentului European și Consiliului un raport privind efectele mecanismelor de combatere a fraudei menționate la articolele 199a și 199b din Directiva 2006/112/CE</w:t>
      </w:r>
      <w:r>
        <w:rPr>
          <w:rStyle w:val="FootnoteReference"/>
          <w:noProof/>
        </w:rPr>
        <w:footnoteReference w:id="17"/>
      </w:r>
      <w:r>
        <w:rPr>
          <w:noProof/>
        </w:rPr>
        <w:t xml:space="preserve">. </w:t>
      </w:r>
    </w:p>
    <w:p>
      <w:pPr>
        <w:pStyle w:val="ManualConsidrant"/>
        <w:rPr>
          <w:rFonts w:eastAsia="Arial Unicode MS"/>
          <w:noProof/>
          <w:szCs w:val="24"/>
        </w:rPr>
      </w:pPr>
      <w:r>
        <w:t>(5)</w:t>
      </w:r>
      <w:r>
        <w:tab/>
      </w:r>
      <w:r>
        <w:rPr>
          <w:noProof/>
        </w:rPr>
        <w:t xml:space="preserve">Potrivit acestui raport, statele membre și părțile interesate consideră, în general, că mecanismul de taxare inversă prevăzut la articolul 199a din Directiva 2006/112/CE este un instrument temporar eficient și eficace pentru combaterea fraudei în domeniul TVA în anumite sectoare sau pentru prevenirea producerii fraudei. </w:t>
      </w:r>
      <w:r>
        <w:rPr>
          <w:noProof/>
          <w:color w:val="000000"/>
        </w:rPr>
        <w:t xml:space="preserve">Cerința referitoare la o perioadă minimă de doi ani pentru aplicarea măsurii, prevăzută la articolul 199a alineatul (1), s-a dovedit a fi un impediment pentru câteva state membre care au dorit să introducă mecanismul de taxare inversă, dar nu îndeplineau această cerință. În consecință, cerința privind perioada minimă de doi ani se elimină din dispoziția respectivă. </w:t>
      </w:r>
    </w:p>
    <w:p>
      <w:pPr>
        <w:pStyle w:val="ManualConsidrant"/>
        <w:rPr>
          <w:noProof/>
        </w:rPr>
      </w:pPr>
      <w:r>
        <w:t>(6)</w:t>
      </w:r>
      <w:r>
        <w:tab/>
      </w:r>
      <w:r>
        <w:rPr>
          <w:noProof/>
        </w:rPr>
        <w:t>În ceea ce privește măsura specială MRR prevăzută la articolul 199b din Directiva 2006/112/CE, deși nu a fost utilizată niciodată efectiv, statele membre consideră că ar trebui menținută, fiind un instrument util și o măsură preventivă în cazuri excepționale de fraudă în domeniul TVA.</w:t>
      </w:r>
    </w:p>
    <w:p>
      <w:pPr>
        <w:pStyle w:val="ManualConsidrant"/>
        <w:rPr>
          <w:noProof/>
        </w:rPr>
      </w:pPr>
      <w:r>
        <w:t>(7)</w:t>
      </w:r>
      <w:r>
        <w:tab/>
      </w:r>
      <w:r>
        <w:rPr>
          <w:noProof/>
        </w:rPr>
        <w:t xml:space="preserve">Având în vedere constatările și concluziile raportului, măsurile prevăzute la articolele 199a și 199b din Directiva 2006/112/CE s-au dovedit a fi măsuri temporare utile și precise pentru combaterea fraudei în domeniul TVA. Aceste măsuri urmează să expire la 31 decembrie 2018, ceea ce ar priva statele membre de un instrument eficient de combatere a fraudei în domeniul TVA. Prin urmare, este oportun să se prelungească aplicarea acestor măsuri pentru o perioadă limitată de timp, până la intrarea în vigoare preconizată a regimului definitiv al TVA. </w:t>
      </w:r>
    </w:p>
    <w:p>
      <w:pPr>
        <w:pStyle w:val="ManualConsidrant"/>
        <w:rPr>
          <w:noProof/>
        </w:rPr>
      </w:pPr>
      <w:r>
        <w:t>(8)</w:t>
      </w:r>
      <w:r>
        <w:tab/>
      </w:r>
      <w:r>
        <w:rPr>
          <w:noProof/>
        </w:rPr>
        <w:t>Prin urmare, Directiva 2006/112/CE ar trebui modificată în consecință,</w:t>
      </w:r>
    </w:p>
    <w:p>
      <w:pPr>
        <w:pStyle w:val="Formuledadoption"/>
        <w:rPr>
          <w:noProof/>
        </w:rPr>
      </w:pPr>
      <w:r>
        <w:rPr>
          <w:noProof/>
        </w:rPr>
        <w:t>ADOPTĂ PREZENTA DIRECTIVĂ:</w:t>
      </w:r>
    </w:p>
    <w:p>
      <w:pPr>
        <w:pStyle w:val="Titrearticle"/>
        <w:rPr>
          <w:noProof/>
        </w:rPr>
      </w:pPr>
      <w:r>
        <w:rPr>
          <w:noProof/>
        </w:rPr>
        <w:t>Articolul 1</w:t>
      </w:r>
    </w:p>
    <w:p>
      <w:pPr>
        <w:rPr>
          <w:noProof/>
        </w:rPr>
      </w:pPr>
      <w:r>
        <w:rPr>
          <w:noProof/>
        </w:rPr>
        <w:t>Directiva 2006/112/CE se modifică după cum urmează:</w:t>
      </w:r>
    </w:p>
    <w:p>
      <w:pPr>
        <w:pStyle w:val="Point0number"/>
        <w:numPr>
          <w:ilvl w:val="0"/>
          <w:numId w:val="10"/>
        </w:numPr>
        <w:rPr>
          <w:noProof/>
        </w:rPr>
      </w:pPr>
      <w:r>
        <w:rPr>
          <w:noProof/>
        </w:rPr>
        <w:t>La articolul 199a alineatul (1), teza introductivă se înlocuiește cu următorul text:</w:t>
      </w:r>
    </w:p>
    <w:p>
      <w:pPr>
        <w:pStyle w:val="Normal1"/>
        <w:ind w:left="851"/>
        <w:rPr>
          <w:noProof/>
        </w:rPr>
      </w:pPr>
      <w:r>
        <w:rPr>
          <w:noProof/>
        </w:rPr>
        <w:t>„Statele membre pot să prevadă, până la 30 iunie 2022, ca persoană obligată la plata TVA să fie persoana impozabilă beneficiară a următoarelor operațiuni:”</w:t>
      </w:r>
    </w:p>
    <w:p>
      <w:pPr>
        <w:pStyle w:val="Point0number"/>
        <w:rPr>
          <w:noProof/>
        </w:rPr>
      </w:pPr>
      <w:r>
        <w:rPr>
          <w:noProof/>
        </w:rPr>
        <w:t>Articolul 199b se înlocuiește cu următorul text:</w:t>
      </w:r>
    </w:p>
    <w:p>
      <w:pPr>
        <w:pStyle w:val="Normal1"/>
        <w:spacing w:before="120" w:beforeAutospacing="0" w:after="120" w:afterAutospacing="0"/>
        <w:jc w:val="center"/>
        <w:rPr>
          <w:noProof/>
        </w:rPr>
      </w:pPr>
      <w:r>
        <w:rPr>
          <w:noProof/>
        </w:rPr>
        <w:t>„Articolul 199b</w:t>
      </w:r>
    </w:p>
    <w:p>
      <w:pPr>
        <w:pStyle w:val="Normal1"/>
        <w:spacing w:before="120" w:beforeAutospacing="0" w:after="120" w:afterAutospacing="0"/>
        <w:ind w:left="720"/>
        <w:jc w:val="both"/>
        <w:rPr>
          <w:noProof/>
        </w:rPr>
      </w:pPr>
      <w:r>
        <w:rPr>
          <w:noProof/>
        </w:rPr>
        <w:t>(1) Un stat membru poate, în cazuri de urgență imperativă și în conformitate cu alineatele (2) și (3), să desemneze drept destinatar persoana obligată la plata TVA pentru anumite furnizări de bunuri și servicii, prin derogare de la articolul 193, ca măsură specială bazată pe mecanismul de reacție rapidă („MRR”) cu scopul de a combate frauda neprevăzută și masivă care ar putea duce la pierderi financiare considerabile și ireparabile.</w:t>
      </w:r>
    </w:p>
    <w:p>
      <w:pPr>
        <w:pStyle w:val="Normal1"/>
        <w:ind w:left="720"/>
        <w:jc w:val="both"/>
        <w:rPr>
          <w:noProof/>
        </w:rPr>
      </w:pPr>
      <w:r>
        <w:rPr>
          <w:noProof/>
        </w:rPr>
        <w:t>Măsura specială MRR face obiectul unor măsuri corespunzătoare de control de către statul membru cu privire la persoanele impozabile care furnizează bunurile sau serviciile cărora li se aplică măsura respectivă și este valabilă pe o durată maximă de nouă luni.</w:t>
      </w:r>
    </w:p>
    <w:p>
      <w:pPr>
        <w:pStyle w:val="Normal1"/>
        <w:ind w:left="720"/>
        <w:jc w:val="both"/>
        <w:rPr>
          <w:noProof/>
        </w:rPr>
      </w:pPr>
      <w:r>
        <w:rPr>
          <w:noProof/>
        </w:rPr>
        <w:t>(2) Un stat membru care dorește să introducă o măsură specială MRR astfel cum este prevăzută la alineatul (1) trimite o notificare Comisiei utilizând formularul standardizat instituit în conformitate cu alineatul (4) și, în același timp, notifică celelalte state membre. Statul membru furnizează Comisiei informații care să indice sectorul în cauză, tipul și caracteristicile fraudei, existența motivelor de urgență imperativă, caracterul neprevăzut și masiv și consecințele acesteia în ceea ce privește pierderile financiare considerabile și ireparabile. În cazul în care consideră că nu dispune de toate informațiile necesare, Comisia contactează statul membru în cauză în termen de două săptămâni de la primirea notificării și precizează informațiile suplimentare care sunt necesare. Eventualele informații suplimentare furnizate de statul membru în cauză Comisiei se transmit simultan celorlalte state membre. Dacă informațiile suplimentare furnizate nu sunt suficiente, Comisia informează în acest sens statul membru în cauză în termen de o săptămână.</w:t>
      </w:r>
    </w:p>
    <w:p>
      <w:pPr>
        <w:pStyle w:val="Normal1"/>
        <w:ind w:left="720"/>
        <w:jc w:val="both"/>
        <w:rPr>
          <w:noProof/>
        </w:rPr>
      </w:pPr>
      <w:r>
        <w:rPr>
          <w:noProof/>
        </w:rPr>
        <w:t>Statul membru care dorește să introducă o măsură specială MRR astfel cum este prevăzută la alineatul (1) al prezentului articol adresează în același timp și o cerere Comisiei în conformitate cu procedura prevăzută la articolul 395 alineatele (2) și (3).</w:t>
      </w:r>
    </w:p>
    <w:p>
      <w:pPr>
        <w:pStyle w:val="Normal1"/>
        <w:ind w:left="720"/>
        <w:jc w:val="both"/>
        <w:rPr>
          <w:noProof/>
        </w:rPr>
      </w:pPr>
      <w:r>
        <w:rPr>
          <w:noProof/>
        </w:rPr>
        <w:t>În cazuri de urgență imperativă, astfel cum se prevede la alineatul (1) al prezentului articol, procedura prevăzută la articolul 395 alineatele (2) și (3) se încheie în termen de șase luni de la primirea cererii de către Comisie.</w:t>
      </w:r>
    </w:p>
    <w:p>
      <w:pPr>
        <w:pStyle w:val="Normal1"/>
        <w:ind w:left="720"/>
        <w:jc w:val="both"/>
        <w:rPr>
          <w:noProof/>
        </w:rPr>
      </w:pPr>
      <w:r>
        <w:rPr>
          <w:noProof/>
        </w:rPr>
        <w:t>(3) După obținerea tuturor informațiilor pe care le consideră necesare pentru evaluarea notificării menționate la alineatul (2) primul paragraf, Comisia notifică acest lucru statelor membre. Dacă are obiecții față de măsura specială MRR, Comisia formulează un aviz negativ în termen de o lună de la notificare și informează statul membru în cauză și Comitetul pentru TVA în legătură cu acest lucru. Dacă nu are obiecții, Comisia transmite o confirmare scrisă statului membru în cauză și Comitetului pentru TVA în același interval de timp. Statul membru poate adopta măsura specială MRR de la data primirii confirmării respective. La evaluarea notificării, Comisia ține seama de opiniile oricărui alt stat membru care i-au fost transmise în scris.</w:t>
      </w:r>
    </w:p>
    <w:p>
      <w:pPr>
        <w:pStyle w:val="Normal1"/>
        <w:ind w:left="720"/>
        <w:jc w:val="both"/>
        <w:rPr>
          <w:noProof/>
        </w:rPr>
      </w:pPr>
      <w:r>
        <w:rPr>
          <w:noProof/>
        </w:rPr>
        <w:t>(4) Comisia adoptă un act de punere în aplicare prin care instituie un formular standardizat pentru transmiterea notificării privind măsura specială MRR menționată la alineatul (2) și a informațiilor menționate la alineatul (2) primul paragraf. Actul de punere în aplicare respectiv se adoptă în conformitate cu procedura de examinare menționată la alineatul (5).</w:t>
      </w:r>
    </w:p>
    <w:p>
      <w:pPr>
        <w:pStyle w:val="Normal1"/>
        <w:ind w:left="720"/>
        <w:jc w:val="both"/>
        <w:rPr>
          <w:noProof/>
        </w:rPr>
      </w:pPr>
      <w:r>
        <w:rPr>
          <w:noProof/>
        </w:rPr>
        <w:t>(5) Atunci când se face trimitere la prezentul alineat, se aplică articolul 5 din Regulamentul (UE) nr. 182/2011 al Parlamentului European și al Consiliului(*), iar în acest sens, comitetul este cel instituit în temeiul articolului 58 din Regulamentul (UE) nr. 904/2010 al Consiliului(**).</w:t>
      </w:r>
    </w:p>
    <w:p>
      <w:pPr>
        <w:pStyle w:val="Normal1"/>
        <w:ind w:left="720"/>
        <w:rPr>
          <w:noProof/>
        </w:rPr>
      </w:pPr>
      <w:r>
        <w:rPr>
          <w:noProof/>
        </w:rPr>
        <w:t>(6) Măsura specială MRR, astfel cum este prevăzută la alineatul (1), se aplică până la 30 iunie 2022.”;</w:t>
      </w:r>
    </w:p>
    <w:p>
      <w:pPr>
        <w:pStyle w:val="Normal1"/>
        <w:ind w:left="850"/>
        <w:rPr>
          <w:noProof/>
        </w:rPr>
      </w:pPr>
      <w:r>
        <w:rPr>
          <w:noProof/>
        </w:rPr>
        <w:t>__________</w:t>
      </w:r>
    </w:p>
    <w:p>
      <w:pPr>
        <w:pStyle w:val="Normal1"/>
        <w:ind w:left="850"/>
        <w:rPr>
          <w:noProof/>
        </w:rPr>
      </w:pPr>
      <w:r>
        <w:rPr>
          <w:noProof/>
        </w:rPr>
        <w:tab/>
        <w:t>(*) Regulamentul (UE) nr. 182/2011 al Parlamentului European și al Consiliului din 16 februarie 2011 de stabilire a normelor și principiilor generale privind mecanismele de control de către statele membre al exercitării competențelor de executare de către Comisie (</w:t>
      </w:r>
      <w:hyperlink r:id="rId18">
        <w:r>
          <w:rPr>
            <w:rStyle w:val="Hyperlink"/>
            <w:noProof/>
          </w:rPr>
          <w:t>JO L 55, 28.2.2011, p. 13</w:t>
        </w:r>
      </w:hyperlink>
      <w:r>
        <w:rPr>
          <w:noProof/>
        </w:rPr>
        <w:t>).</w:t>
      </w:r>
    </w:p>
    <w:p>
      <w:pPr>
        <w:pStyle w:val="Normal1"/>
        <w:ind w:left="850"/>
        <w:rPr>
          <w:noProof/>
        </w:rPr>
      </w:pPr>
      <w:r>
        <w:rPr>
          <w:noProof/>
        </w:rPr>
        <w:tab/>
        <w:t>(**) Regulamentul (UE) nr. 904/2010 al Consiliului din 7 octombrie 2010 privind cooperarea administrativă și combaterea fraudei în domeniul taxei pe valoarea adăugată (</w:t>
      </w:r>
      <w:hyperlink r:id="rId19">
        <w:r>
          <w:rPr>
            <w:rStyle w:val="Hyperlink"/>
            <w:noProof/>
          </w:rPr>
          <w:t>JO L 268, 12.10.2010, p. 1</w:t>
        </w:r>
      </w:hyperlink>
      <w:r>
        <w:rPr>
          <w:noProof/>
        </w:rPr>
        <w:t>).”</w:t>
      </w:r>
    </w:p>
    <w:p>
      <w:pPr>
        <w:pStyle w:val="Point0number"/>
        <w:rPr>
          <w:noProof/>
        </w:rPr>
      </w:pPr>
      <w:r>
        <w:rPr>
          <w:noProof/>
        </w:rPr>
        <w:t>La articolul 395, se elimină alineatul (5).</w:t>
      </w:r>
    </w:p>
    <w:p>
      <w:pPr>
        <w:pStyle w:val="Titrearticle"/>
        <w:rPr>
          <w:noProof/>
        </w:rPr>
      </w:pPr>
      <w:r>
        <w:rPr>
          <w:noProof/>
        </w:rPr>
        <w:t>Articolul 2</w:t>
      </w:r>
    </w:p>
    <w:p>
      <w:pPr>
        <w:rPr>
          <w:noProof/>
        </w:rPr>
      </w:pPr>
      <w:r>
        <w:rPr>
          <w:noProof/>
        </w:rPr>
        <w:t xml:space="preserve">Prezenta directivă intră în vigoare în a douăzecea zi de la data publicării în </w:t>
      </w:r>
      <w:r>
        <w:rPr>
          <w:i/>
          <w:noProof/>
        </w:rPr>
        <w:t>Jurnalul Oficial al Uniunii Europene</w:t>
      </w:r>
      <w:r>
        <w:rPr>
          <w:noProof/>
        </w:rPr>
        <w:t>.</w:t>
      </w:r>
    </w:p>
    <w:p>
      <w:pPr>
        <w:pStyle w:val="Titrearticle"/>
        <w:rPr>
          <w:noProof/>
          <w:color w:val="000000" w:themeColor="text1"/>
        </w:rPr>
      </w:pPr>
      <w:r>
        <w:rPr>
          <w:noProof/>
        </w:rPr>
        <w:t>Articolul 3</w:t>
      </w:r>
    </w:p>
    <w:p>
      <w:pPr>
        <w:rPr>
          <w:noProof/>
        </w:rPr>
      </w:pPr>
      <w:r>
        <w:rPr>
          <w:noProof/>
        </w:rPr>
        <w:t>Prezenta directivă se adresează statelor membre.</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Directiva 2006/112/CE a Consiliului din 28 noiembrie 2006 privind sistemul comun al taxei pe valoarea adăugată (JO L 347, 11.12.2006, p.1).</w:t>
      </w:r>
    </w:p>
  </w:footnote>
  <w:footnote w:id="2">
    <w:p>
      <w:pPr>
        <w:pStyle w:val="FootnoteText"/>
      </w:pPr>
      <w:r>
        <w:rPr>
          <w:rStyle w:val="FootnoteReference"/>
        </w:rPr>
        <w:footnoteRef/>
      </w:r>
      <w:r>
        <w:tab/>
        <w:t xml:space="preserve">Ca regulă generală, articolul 193 din Directiva TVA prevede că TVA-ul se plătește de orice persoană impozabilă ce efectuează o livrare de bunuri sau o prestare de servicii. Ca derogare de la acest sistem de plată fracționată, mecanismul de taxare inversă permite desemnarea unui destinatar (persoană impozabilă) al livrării ca persoană care are obligația de a plăti TVA-ul. </w:t>
      </w:r>
    </w:p>
  </w:footnote>
  <w:footnote w:id="3">
    <w:p>
      <w:pPr>
        <w:pStyle w:val="FootnoteText"/>
      </w:pPr>
      <w:r>
        <w:rPr>
          <w:rStyle w:val="FootnoteReference"/>
        </w:rPr>
        <w:footnoteRef/>
      </w:r>
      <w:r>
        <w:tab/>
      </w:r>
      <w:r>
        <w:rPr>
          <w:rStyle w:val="FootnoteTextChar"/>
          <w:lang w:val="ro-RO"/>
        </w:rPr>
        <w:t xml:space="preserve">Introdus de Directiva 2013/43/UE a Consiliului din 22 iulie 2013 de modificare a Directivei 2006/112/CE privind sistemul comun al taxei pe valoarea adăugată în ceea ce privește aplicarea facultativă și temporară a mecanismului de taxare inversă în legătură cu furnizarea anumitor bunuri și servicii care prezintă risc de fraudă (JO L 201, 26.7.2013, p. 4). </w:t>
      </w:r>
    </w:p>
  </w:footnote>
  <w:footnote w:id="4">
    <w:p>
      <w:pPr>
        <w:pStyle w:val="FootnoteText"/>
      </w:pPr>
      <w:r>
        <w:rPr>
          <w:rStyle w:val="FootnoteReference"/>
        </w:rPr>
        <w:footnoteRef/>
      </w:r>
      <w:r>
        <w:tab/>
        <w:t xml:space="preserve">Introdus prin Directiva 2013/42/UE a Consiliului din 22 iulie 2013 de modificare a Directivei 2006/112/CE privind sistemul comun al taxei pe valoarea adăugată în ceea ce privește un mecanism de reacție rapidă împotriva fraudelor în materie de TVA (JO L 201, 26.7.2013, p. 1). </w:t>
      </w:r>
    </w:p>
  </w:footnote>
  <w:footnote w:id="5">
    <w:p>
      <w:pPr>
        <w:pStyle w:val="FootnoteText"/>
      </w:pPr>
      <w:r>
        <w:rPr>
          <w:rStyle w:val="FootnoteReference"/>
        </w:rPr>
        <w:footnoteRef/>
      </w:r>
      <w:r>
        <w:tab/>
        <w:t xml:space="preserve">În ceea ce privește MRR, a se vedea articolul 2 din Directiva 2013/42/UE a Consiliului. </w:t>
      </w:r>
    </w:p>
  </w:footnote>
  <w:footnote w:id="6">
    <w:p>
      <w:pPr>
        <w:pStyle w:val="FootnoteText"/>
      </w:pPr>
      <w:r>
        <w:rPr>
          <w:rStyle w:val="FootnoteReference"/>
        </w:rPr>
        <w:footnoteRef/>
      </w:r>
      <w:r>
        <w:tab/>
        <w:t xml:space="preserve">Raport al Comisiei către Consiliu și Parlamentul European privind efectele articolelor 199a și 199b din Directiva 2006/112/CE a Consiliului asupra combaterii fraudei, COM(2018) 118/2. </w:t>
      </w:r>
    </w:p>
  </w:footnote>
  <w:footnote w:id="7">
    <w:p>
      <w:pPr>
        <w:pStyle w:val="FootnoteText"/>
      </w:pPr>
      <w:r>
        <w:rPr>
          <w:rStyle w:val="FootnoteReference"/>
        </w:rPr>
        <w:footnoteRef/>
      </w:r>
      <w:r>
        <w:tab/>
        <w:t xml:space="preserve">Grupul de experți în domeniul TVA asistă și consiliază Comisia Europeană în chestiuni din domeniul TVA. Grupul este alcătuit din persoane numite cu titlu personal, care dețin expertiza necesară în domeniul TVA și din organizații reprezentând în special întreprinderi și profesioniști din domeniul fiscal, care pot oferi asistență la elaborarea și punerea în aplicare a politicilor din domeniul TVA. </w:t>
      </w:r>
    </w:p>
  </w:footnote>
  <w:footnote w:id="8">
    <w:p>
      <w:pPr>
        <w:pStyle w:val="FootnoteText"/>
      </w:pPr>
      <w:r>
        <w:rPr>
          <w:rStyle w:val="FootnoteReference"/>
        </w:rPr>
        <w:footnoteRef/>
      </w:r>
      <w:r>
        <w:tab/>
        <w:t xml:space="preserve">Către un spațiu unic pentru TVA în UE – Momentul deciziei. Propunere modificată de regulament al Consiliului de modificare a Regulamentului (UE) nr. 904/2010 privind măsuri de consolidare a cooperării administrative în domeniul taxei pe valoarea adăugată, COM(2017) 706 final. </w:t>
      </w:r>
    </w:p>
  </w:footnote>
  <w:footnote w:id="9">
    <w:p>
      <w:pPr>
        <w:pStyle w:val="FootnoteText"/>
      </w:pPr>
      <w:r>
        <w:rPr>
          <w:rStyle w:val="FootnoteReference"/>
        </w:rPr>
        <w:footnoteRef/>
      </w:r>
      <w:r>
        <w:tab/>
      </w:r>
      <w:r>
        <w:rPr>
          <w:rStyle w:val="FootnoteTextChar"/>
          <w:lang w:val="ro-RO"/>
        </w:rPr>
        <w:t>Propunere de directivă a Consiliului de modificare a Directivei 2006/112/CE în ceea ce privește armonizarea și simplificarea anumitor norme din sistemul taxei pe valoarea adăugată și introducerea sistemului definitiv de impozitare a comerțului dintre statele membre COM(2017) 569 final.</w:t>
      </w:r>
      <w:r>
        <w:t xml:space="preserve"> </w:t>
      </w:r>
    </w:p>
  </w:footnote>
  <w:footnote w:id="10">
    <w:p>
      <w:pPr>
        <w:pStyle w:val="FootnoteText"/>
        <w:rPr>
          <w:rStyle w:val="FootnoteTextChar"/>
          <w:lang w:val="ro-RO"/>
        </w:rPr>
      </w:pPr>
      <w:r>
        <w:rPr>
          <w:rStyle w:val="FootnoteReference"/>
        </w:rPr>
        <w:footnoteRef/>
      </w:r>
      <w:r>
        <w:tab/>
      </w:r>
      <w:r>
        <w:rPr>
          <w:rStyle w:val="FootnoteTextChar"/>
          <w:lang w:val="ro-RO"/>
        </w:rPr>
        <w:t xml:space="preserve">Propunere de Directivă a Consiliului de modificare a Directivei 2006/112/CE privind sistemul comun al taxei pe valoarea adăugată în ceea ce privește aplicarea temporară a unui mecanism generalizat de taxare inversă în legătură cu furnizarea de bunuri și servicii care depășesc un anumit prag, COM(2016)811 final. </w:t>
      </w:r>
    </w:p>
  </w:footnote>
  <w:footnote w:id="11">
    <w:p>
      <w:pPr>
        <w:pStyle w:val="FootnoteText"/>
      </w:pPr>
      <w:r>
        <w:rPr>
          <w:rStyle w:val="FootnoteReference"/>
        </w:rPr>
        <w:footnoteRef/>
      </w:r>
      <w:r>
        <w:tab/>
        <w:t>EY, 2014.</w:t>
      </w:r>
    </w:p>
  </w:footnote>
  <w:footnote w:id="12">
    <w:p>
      <w:pPr>
        <w:pStyle w:val="FootnoteText"/>
        <w:rPr>
          <w:rStyle w:val="FootnoteTextChar"/>
          <w:lang w:val="ro-RO"/>
        </w:rPr>
      </w:pPr>
      <w:r>
        <w:rPr>
          <w:rStyle w:val="FootnoteReference"/>
        </w:rPr>
        <w:footnoteRef/>
      </w:r>
      <w:r>
        <w:tab/>
      </w:r>
      <w:r>
        <w:rPr>
          <w:rStyle w:val="FootnoteTextChar"/>
          <w:lang w:val="ro-RO"/>
        </w:rPr>
        <w:t>Evaluarea impactului propunerii în ceea ce privește aplicarea temporară a unui mecanism generalizat de taxare inversă în legătură cu furnizarea de bunuri și servicii care depășesc un anumit prag, SWD(2016) 457.</w:t>
      </w:r>
    </w:p>
  </w:footnote>
  <w:footnote w:id="13">
    <w:p>
      <w:pPr>
        <w:pStyle w:val="FootnoteText"/>
      </w:pPr>
      <w:r>
        <w:rPr>
          <w:rStyle w:val="FootnoteReference"/>
        </w:rPr>
        <w:footnoteRef/>
      </w:r>
      <w:r>
        <w:tab/>
        <w:t>JO C , , p. .</w:t>
      </w:r>
    </w:p>
  </w:footnote>
  <w:footnote w:id="14">
    <w:p>
      <w:pPr>
        <w:pStyle w:val="FootnoteText"/>
      </w:pPr>
      <w:r>
        <w:rPr>
          <w:rStyle w:val="FootnoteReference"/>
        </w:rPr>
        <w:footnoteRef/>
      </w:r>
      <w:r>
        <w:tab/>
        <w:t>JO C , , p. .</w:t>
      </w:r>
    </w:p>
  </w:footnote>
  <w:footnote w:id="15">
    <w:p>
      <w:pPr>
        <w:pStyle w:val="FootnoteText"/>
      </w:pPr>
      <w:r>
        <w:rPr>
          <w:rStyle w:val="FootnoteReference"/>
        </w:rPr>
        <w:footnoteRef/>
      </w:r>
      <w:r>
        <w:tab/>
        <w:t xml:space="preserve">Directiva 2006/112/CE a Consiliului din 28 noiembrie 2006 privind sistemul comun al taxei pe valoarea adăugată (JO L 347, 11.12.2006, p. 1). </w:t>
      </w:r>
    </w:p>
  </w:footnote>
  <w:footnote w:id="16">
    <w:p>
      <w:pPr>
        <w:pStyle w:val="FootnoteText"/>
      </w:pPr>
      <w:r>
        <w:rPr>
          <w:rStyle w:val="FootnoteReference"/>
        </w:rPr>
        <w:footnoteRef/>
      </w:r>
      <w:r>
        <w:tab/>
        <w:t xml:space="preserve">Directiva 2013/42/UE a Consiliului din 22 iulie 2013 de modificare a Directivei 2006/112/CE privind sistemul comun al taxei pe valoarea adăugată în ceea ce privește un mecanism de reacție rapidă împotriva fraudelor în materie de TVA (JO L 201, 26.7.2013, p. 1). </w:t>
      </w:r>
    </w:p>
    <w:p>
      <w:pPr>
        <w:pStyle w:val="FootnoteText"/>
      </w:pPr>
    </w:p>
  </w:footnote>
  <w:footnote w:id="17">
    <w:p>
      <w:pPr>
        <w:pStyle w:val="FootnoteText"/>
      </w:pPr>
      <w:r>
        <w:rPr>
          <w:rStyle w:val="FootnoteReference"/>
        </w:rPr>
        <w:footnoteRef/>
      </w:r>
      <w:r>
        <w:tab/>
        <w:t xml:space="preserve">Raport al Comisiei către Consiliu și Parlamentul European privind efectele articolelor 199a și 199b din Directiva 2006/112/CE a Consiliului asupra combaterii fraudei, COM(2018) 118 din 8 martie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0E4B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C2F3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F031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B0E15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DE05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CA05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7A6610"/>
    <w:lvl w:ilvl="0">
      <w:start w:val="1"/>
      <w:numFmt w:val="decimal"/>
      <w:pStyle w:val="ListNumber"/>
      <w:lvlText w:val="%1."/>
      <w:lvlJc w:val="left"/>
      <w:pPr>
        <w:tabs>
          <w:tab w:val="num" w:pos="360"/>
        </w:tabs>
        <w:ind w:left="360" w:hanging="360"/>
      </w:pPr>
    </w:lvl>
  </w:abstractNum>
  <w:abstractNum w:abstractNumId="7">
    <w:nsid w:val="FFFFFF89"/>
    <w:multiLevelType w:val="singleLevel"/>
    <w:tmpl w:val="78A284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8-05-25 17:22:0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5"/>
    <w:docVar w:name="DQCStatus" w:val="Green"/>
    <w:docVar w:name="DQCVersion" w:val="3"/>
    <w:docVar w:name="DQCWithWarnings" w:val="0"/>
    <w:docVar w:name="LW_CORRIGENDUM" w:val="&lt;UNUSED&gt;"/>
    <w:docVar w:name="LW_COVERPAGE_EXISTS" w:val="True"/>
    <w:docVar w:name="LW_COVERPAGE_GUID" w:val="CECDA0FB-7F0B-40C7-B690-15DA5032CBA2"/>
    <w:docVar w:name="LW_COVERPAGE_TYPE" w:val="1"/>
    <w:docVar w:name="LW_CROSSREFERENCE" w:val="&lt;UNUSED&gt;"/>
    <w:docVar w:name="LW_DocType" w:val="COM"/>
    <w:docVar w:name="LW_EMISSION" w:val="25.5.2018"/>
    <w:docVar w:name="LW_EMISSION_ISODATE" w:val="2018-05-25"/>
    <w:docVar w:name="LW_EMISSION_LOCATION" w:val="BRX"/>
    <w:docVar w:name="LW_EMISSION_PREFIX" w:val="Bruxelle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NS"/>
    <w:docVar w:name="LW_REF.II.NEW.CP_NUMBER" w:val="0150"/>
    <w:docVar w:name="LW_REF.II.NEW.CP_YEAR" w:val="2018"/>
    <w:docVar w:name="LW_REF.INST.NEW" w:val="COM"/>
    <w:docVar w:name="LW_REF.INST.NEW_ADOPTED" w:val="final"/>
    <w:docVar w:name="LW_REF.INST.NEW_TEXT" w:val="(2018) 2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Directivei 2006/112/CE privind sistemul comun al taxei pe valoarea ad\u259?ugat\u259? în ceea ce prive\u537?te perioada de aplicare a mecanismului op\u539?ional de taxare invers\u259? în leg\u259?tur\u259? cu livr\u259?rile de anumite bunuri \u537?i servicii care prezint\u259? risc de fraud\u259? \u537?i a mecanismului de reac\u539?ie rapid\u259? împotriva fraudei în domeniul TVA"/>
    <w:docVar w:name="LW_TYPE.DOC.CP" w:val="DIRECTIV\u258? A CONSILIULUI"/>
  </w:docVar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RO/TXT/?uri=OJ%3AL%3A2011%3A055%3AT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ur-lex.europa.eu/legal-content/RO/TXT/?uri=OJ%3AL%3A2010%3A268%3AT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3336-1CE8-47BF-B94A-0C61F088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3283</Words>
  <Characters>18850</Characters>
  <Application>Microsoft Office Word</Application>
  <DocSecurity>0</DocSecurity>
  <Lines>304</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2018-04-24T10:25:00Z</cp:lastPrinted>
  <dcterms:created xsi:type="dcterms:W3CDTF">2018-05-25T10:56:00Z</dcterms:created>
  <dcterms:modified xsi:type="dcterms:W3CDTF">2018-05-25T15:22:00Z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