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E8F44C1-387C-47E1-B4F8-CD5EBE078972" style="width:450.35pt;height:379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pStyle w:val="ManualHeading2"/>
        <w:rPr>
          <w:rFonts w:eastAsia="Arial Unicode MS"/>
          <w:noProof/>
        </w:rPr>
      </w:pPr>
      <w:r>
        <w:rPr>
          <w:noProof/>
          <w:color w:val="000000"/>
          <w:u w:color="000000"/>
          <w:bdr w:val="nil"/>
        </w:rPr>
        <w:t>•</w:t>
      </w:r>
      <w:r>
        <w:rPr>
          <w:noProof/>
        </w:rPr>
        <w:tab/>
        <w:t>Dôvody a ciele návrhu</w:t>
      </w:r>
    </w:p>
    <w:p>
      <w:pPr>
        <w:autoSpaceDE w:val="0"/>
        <w:autoSpaceDN w:val="0"/>
        <w:adjustRightInd w:val="0"/>
        <w:rPr>
          <w:noProof/>
        </w:rPr>
      </w:pPr>
      <w:r>
        <w:rPr>
          <w:noProof/>
        </w:rPr>
        <w:t>Účelom tohto návrhu smernice, ktorou sa mení smernica Rady 2006/112/ES z 28. novembra 2006 o spoločnom systéme dane z pridanej hodnoty</w:t>
      </w:r>
      <w:r>
        <w:rPr>
          <w:rStyle w:val="FootnoteReference"/>
          <w:noProof/>
        </w:rPr>
        <w:footnoteReference w:id="1"/>
      </w:r>
      <w:r>
        <w:rPr>
          <w:noProof/>
        </w:rPr>
        <w:t xml:space="preserve"> (ďalej len „smernica o DPH“), je predĺžiť: 1. možnosť, aby členské štáty uplatňovali mechanizmus prenesenia daňovej povinnosti</w:t>
      </w:r>
      <w:r>
        <w:rPr>
          <w:rStyle w:val="FootnoteReference"/>
          <w:noProof/>
        </w:rPr>
        <w:footnoteReference w:id="2"/>
      </w:r>
      <w:r>
        <w:rPr>
          <w:noProof/>
        </w:rPr>
        <w:t xml:space="preserve"> na boj proti existujúcim podvodom pri dodaniach tovaru a poskytnutí služieb zahrnutých v článku 199a ods. 1 smernice o DPH a 2. možnosť používať mechanizmus rýchlej reakcie (MRR) na boj proti podvodom.</w:t>
      </w:r>
    </w:p>
    <w:p>
      <w:pPr>
        <w:rPr>
          <w:noProof/>
        </w:rPr>
      </w:pPr>
      <w:r>
        <w:rPr>
          <w:noProof/>
        </w:rPr>
        <w:t>Článkom 199a</w:t>
      </w:r>
      <w:r>
        <w:rPr>
          <w:rStyle w:val="FootnoteReference"/>
          <w:noProof/>
        </w:rPr>
        <w:footnoteReference w:id="3"/>
      </w:r>
      <w:r>
        <w:rPr>
          <w:noProof/>
        </w:rPr>
        <w:t xml:space="preserve"> smernice o DPH sa členským štátom umožňuje voliteľne používať mechanizmus prenesenia daňovej povinnosti na platbu DPH z dodania vopred vymedzeného tovaru a poskytnutia vopred vymedzených služieb, ktoré sú náchylné na podvod, a najmä na podvod v rámci Spoločenstva založený na chýbajúcom obchodnom subjekte (ďalej len „podvod MTIC“).</w:t>
      </w:r>
    </w:p>
    <w:p>
      <w:pPr>
        <w:autoSpaceDE w:val="0"/>
        <w:autoSpaceDN w:val="0"/>
        <w:adjustRightInd w:val="0"/>
        <w:rPr>
          <w:noProof/>
        </w:rPr>
      </w:pPr>
      <w:r>
        <w:rPr>
          <w:noProof/>
        </w:rPr>
        <w:t>Ak by členský štát chcel uplatniť mechanizmus prenesenia daňovej povinnosti na iné dodania a poskytnutia, než sú uvedené v článku 199a smernice o DPH, môže byť udelená výnimka na základe článku 395 smernice o DPH na zjednodušenie výberu DPH alebo na zamedzenie určitým daňovým únikom a vyhýbaniu sa daňovým povinnostiam. Prijatie odchýlky na základe tohto článku si však vyžaduje návrh Komisie a jednomyseľné prijatie Radou, čo je postup, ktorý trvá až niekoľko mesiacov (maximálne 8 mesiacov podľa článku 395 smernice o DPH). V prípadoch, keď členský štát neočakávane čelí rozsiahlym podvodom, by dôsledkom trvania procesu na získanie výnimky podľa článku 395 mohli byť dôležité straty v príjmoch z DPH. MRR zahrnutý v článku 199b</w:t>
      </w:r>
      <w:r>
        <w:rPr>
          <w:rStyle w:val="FootnoteReference"/>
          <w:noProof/>
        </w:rPr>
        <w:footnoteReference w:id="4"/>
      </w:r>
      <w:r>
        <w:rPr>
          <w:noProof/>
        </w:rPr>
        <w:t xml:space="preserve"> smernice o DPH obsahuje rýchlejší postup, ktorý umožňuje členským štátom za určitých prísnych podmienok zaviesť mechanizmus prenesenia daňovej povinnosti, čím poskytuje členským štátom primeranejšiu a účinnejšiu reakciu na neočakávané a rozsiahle podvody.</w:t>
      </w:r>
    </w:p>
    <w:p>
      <w:pPr>
        <w:autoSpaceDE w:val="0"/>
        <w:autoSpaceDN w:val="0"/>
        <w:adjustRightInd w:val="0"/>
        <w:rPr>
          <w:noProof/>
        </w:rPr>
      </w:pPr>
      <w:r>
        <w:rPr>
          <w:noProof/>
        </w:rPr>
        <w:t>Účelom opatrení stanovených v článkoch 199a a 199b je umožniť členským štátom rýchlo riešiť problémy s podvodmi MTIC: v článku 199a prostredníctvom možnosti uplatňovať mechanizmus prenesenia daňovej povinnosti na dodania alebo poskytnutia v ňom uvedené a v článku 199b prostredníctvom možnosti rýchlejšieho postupu zavedenia mechanizmu prenesenia daňovej povinnosti v prípade neočakávaných a rozsiahlych podvodov. Platnosť oboch článkov uplynie 31. decembra 2018</w:t>
      </w:r>
      <w:r>
        <w:rPr>
          <w:rStyle w:val="FootnoteReference"/>
          <w:noProof/>
        </w:rPr>
        <w:footnoteReference w:id="5"/>
      </w:r>
      <w:r>
        <w:rPr>
          <w:noProof/>
        </w:rPr>
        <w:t>.</w:t>
      </w:r>
    </w:p>
    <w:p>
      <w:pPr>
        <w:autoSpaceDE w:val="0"/>
        <w:autoSpaceDN w:val="0"/>
        <w:adjustRightInd w:val="0"/>
        <w:rPr>
          <w:noProof/>
        </w:rPr>
      </w:pPr>
      <w:r>
        <w:rPr>
          <w:noProof/>
        </w:rPr>
        <w:t xml:space="preserve">K podvodu MTIC dochádza vtedy, keď obchodník nadobudne tovar prepravený alebo odoslaný z iného členského štátu prostredníctvom dodania oslobodeného od DPH a predá ho </w:t>
      </w:r>
      <w:r>
        <w:rPr>
          <w:noProof/>
        </w:rPr>
        <w:lastRenderedPageBreak/>
        <w:t>zákazníkovi, pričom na faktúre uvedie aj DPH. Po prijatí sumy DPH od zákazníka sa takýto obchodník stratí bez zaplatenia DPH splatnej príslušným daňovým orgánom. Zároveň si zákazník, či už koná v dobrej viere alebo nie, môže vo svojom daňovom priznaní k DPH odpočítať DPH, ktorú zaplatil dodávateľovi. Voliteľný mechanizmus prenesenia daňovej povinnosti podľa článku 199a smernice o DPH sa javí ako užitočný a preventívny nástroj, pomocou ktorého môžu členské štáty bojovať proti tomuto typu podvodu vo vopred vymedzených citlivých oblastiach, keď sa na ich území vyskytne. Keď je obchodník povinný používať mechanizmus prenesenia daňovej povinnosti na tieto vnútroštátne dodania, nemôže na svojej faktúre účtovať DPH. Následne nedostane od svojho zákazníka sumu DPH a v dôsledku toho sa nemôže stratiť s prijatou sumou DPH. MRR podľa článku 199b predstavuje výnimočné opatrenie, ktoré členským štátom umožňuje rýchlo zaviesť dočasný mechanizmus prenesenia daňovej povinnosti pri dodaniach tovaru a poskytnutí služieb v odvetviach, v ktorých sa vyskytli neočakávané a rozsiahle podvody a ktoré nie sú uvedené v článku 199a smernice o DPH. Použitím tohto mechanizmu môžu členské štáty preklenúť obdobie potrebné na získanie bežnej výnimky podľa článku 395 smernice o DPH.</w:t>
      </w:r>
    </w:p>
    <w:p>
      <w:pPr>
        <w:rPr>
          <w:noProof/>
        </w:rPr>
      </w:pPr>
      <w:r>
        <w:rPr>
          <w:noProof/>
        </w:rPr>
        <w:t>Podľa požiadaviek stanovených v smernici o DPH Komisia predložila správu o účinkoch mechanizmov uvedených v článkoch 199a a 199b smernice o DPH</w:t>
      </w:r>
      <w:r>
        <w:rPr>
          <w:rStyle w:val="FootnoteReference"/>
          <w:noProof/>
        </w:rPr>
        <w:footnoteReference w:id="6"/>
      </w:r>
      <w:r>
        <w:rPr>
          <w:noProof/>
        </w:rPr>
        <w:t>. Na účel vypracovania tejto správy boli členské štáty vyzvané, aby predložili svoje skúsenosti a posúdenie opatrení. Aby bolo zabezpečené zohľadnenie spätnej väzby od podnikov, prostredníctvom skupiny odborníkov v oblasti DPH</w:t>
      </w:r>
      <w:r>
        <w:rPr>
          <w:rStyle w:val="FootnoteReference"/>
          <w:noProof/>
        </w:rPr>
        <w:footnoteReference w:id="7"/>
      </w:r>
      <w:r>
        <w:rPr>
          <w:noProof/>
        </w:rPr>
        <w:t xml:space="preserve"> boli zainteresované strany z podnikateľského prostredia vyzvané, aby predložili svoje stanoviská. Členské štáty a zainteresované strany, s ktorými sa viedli konzultácie, sa vo všeobecnosti domnievajú, že mechanizmus prenesenia daňovej povinnosti uvedený v článku 199a smernice o DPH je účinným a efektívnym dočasným nástrojom na boj proti podvodom v oblasti DPH. Pokiaľ ide o MRR uvedený v článku 199b smernice o DPH, hoci nebol nikdy účinne použitý, väčšina členských štátov sa domnieva, že predstavuje užitočný nástroj a preventívne opatrenie pre výnimočné prípady podvodov v oblasti DPH.</w:t>
      </w:r>
    </w:p>
    <w:p>
      <w:pPr>
        <w:rPr>
          <w:noProof/>
        </w:rPr>
      </w:pPr>
      <w:r>
        <w:rPr>
          <w:noProof/>
        </w:rPr>
        <w:t>Komisia v poslednom čase predložila dva legislatívne návrhy, ktoré sú zásadnejším spôsobom zamerané na boj proti podvodom v oblasti DPH. Prvým je návrh na administratívnu spoluprácu a boj proti podvodom v oblasti DPH</w:t>
      </w:r>
      <w:r>
        <w:rPr>
          <w:rStyle w:val="FootnoteReference"/>
          <w:noProof/>
        </w:rPr>
        <w:footnoteReference w:id="8"/>
      </w:r>
      <w:r>
        <w:rPr>
          <w:noProof/>
        </w:rPr>
        <w:t>, ktorý by posilnil spoluprácu medzi členskými štátmi s cieľom účinne bojovať proti cezhraničným podvodom.</w:t>
      </w:r>
    </w:p>
    <w:p>
      <w:pPr>
        <w:rPr>
          <w:rFonts w:eastAsiaTheme="majorEastAsia"/>
          <w:noProof/>
        </w:rPr>
      </w:pPr>
      <w:r>
        <w:rPr>
          <w:noProof/>
        </w:rPr>
        <w:t>Druhým je návrh obsahujúci základné prvky pre jednoduchší a voči podvodom odolný konečný systém DPH pre obchodovanie v rámci Únie</w:t>
      </w:r>
      <w:r>
        <w:rPr>
          <w:rStyle w:val="FootnoteReference"/>
          <w:noProof/>
        </w:rPr>
        <w:footnoteReference w:id="9"/>
      </w:r>
      <w:r>
        <w:rPr>
          <w:noProof/>
        </w:rPr>
        <w:t>. Realizácia týchto základných prvkov sa bude riadiť prístupom spočívajúcim v dvoch krokoch. V prvom kroku Komisia predloží v prvom polroku 2018 návrh obsahujúci podrobné ustanovenia fungovania konečnej úpravy pre dodania tovaru medzi podnikmi (B2B) v rámci Únie.</w:t>
      </w:r>
    </w:p>
    <w:p>
      <w:pPr>
        <w:rPr>
          <w:noProof/>
        </w:rPr>
      </w:pPr>
      <w:r>
        <w:rPr>
          <w:noProof/>
        </w:rPr>
        <w:t xml:space="preserve">Tieto opatrenia, ktoré nadobudnú účinnosť 1. júla 2022, predstavujú zásadnú reakciu na podvod MTIC. Keďže DPH by sa účinne účtovala na dodania v rámci Únie, obchodník už nebude môcť nadobúdať tovar, prevezený alebo zaslaný z iného členského štátu, oslobodený </w:t>
      </w:r>
      <w:r>
        <w:rPr>
          <w:noProof/>
        </w:rPr>
        <w:lastRenderedPageBreak/>
        <w:t>od DPH, čo je podstatou podvodov MTIC. Len dôveryhodné zdaniteľné osoby, ktoré získali status certifikovanej zdaniteľnej osoby, budú môcť získať tovar prevezený alebo zaslaný z iného členského štátu bez toho, aby dodávateľ účtoval DPH.</w:t>
      </w:r>
    </w:p>
    <w:p>
      <w:pPr>
        <w:autoSpaceDE w:val="0"/>
        <w:autoSpaceDN w:val="0"/>
        <w:adjustRightInd w:val="0"/>
        <w:rPr>
          <w:noProof/>
        </w:rPr>
      </w:pPr>
      <w:r>
        <w:rPr>
          <w:noProof/>
        </w:rPr>
        <w:t>Z uvedeného vyplýva, že opatrenia uvedené v článkoch 199a a 199b smernice o DPH boli užitočné ako dočasné a cielené opatrenia. Uplynutie ich platnosti 31. decembra 2018 by členské štáty pripravilo o efektívny nástroj v boji proti podvodom.</w:t>
      </w:r>
    </w:p>
    <w:p>
      <w:pPr>
        <w:rPr>
          <w:noProof/>
        </w:rPr>
      </w:pPr>
      <w:r>
        <w:rPr>
          <w:noProof/>
        </w:rPr>
        <w:t>Je preto primerané predĺžiť platnosť opatrení uvedených v článkoch 199a a 199b do 30. júna 2022, do dátumu, kedy by mal nadobudnúť účinnosť konečný režim pre dodania tovaru medzi podnikmi v rámci Únie.</w:t>
      </w:r>
    </w:p>
    <w:p>
      <w:pPr>
        <w:rPr>
          <w:noProof/>
          <w:color w:val="000000"/>
        </w:rPr>
      </w:pPr>
      <w:r>
        <w:rPr>
          <w:noProof/>
        </w:rPr>
        <w:t xml:space="preserve">Podľa článku 199a ods. 1 smernice o DPH môžu členské štáty uplatňovať mechanizmus prenesenia daňovej povinnosti minimálne na obdobie dvoch rokov. </w:t>
      </w:r>
      <w:r>
        <w:rPr>
          <w:noProof/>
          <w:color w:val="000000"/>
        </w:rPr>
        <w:t>Ukázalo sa, že požiadavka, aby sa opatrenie uplatňovalo minimálne dva roky, predstavuje prekážku pre niektoré členské štáty, ktoré chceli zaviesť mechanizmus prenesenia daňovej povinnosti v priebehu roka 2017 s cieľom bojovať proti novoobjaveným prípadom podvodov v oblasti DPH pri dodávaní tovaru a/alebo poskytovaní služieb uvedených v článku 199a. Dotknuté členské štáty museli nakoniec predložiť žiadosť o výnimku podľa článku 395 smernice o DPH a v súlade s postupom uvedeným v tomto článku, čo spôsobilo oneskorenie reakcie týchto členských štátov na problém s podvodmi. V dôsledku toho sa navrhuje odstrániť požiadavku na obdobie minimálne dvoch rokov z ustanovenia.</w:t>
      </w:r>
    </w:p>
    <w:p>
      <w:pPr>
        <w:pStyle w:val="ManualHeading2"/>
        <w:rPr>
          <w:rFonts w:eastAsia="Arial Unicode MS"/>
          <w:noProof/>
          <w:color w:val="000000"/>
          <w:u w:color="000000"/>
          <w:bdr w:val="nil"/>
        </w:rPr>
      </w:pPr>
      <w:r>
        <w:rPr>
          <w:noProof/>
          <w:color w:val="000000"/>
          <w:u w:color="000000"/>
          <w:bdr w:val="nil"/>
        </w:rPr>
        <w:t>•</w:t>
      </w:r>
      <w:r>
        <w:rPr>
          <w:noProof/>
        </w:rPr>
        <w:tab/>
        <w:t>Súlad s existujúcimi ustanoveniami v tejto oblasti politiky</w:t>
      </w:r>
    </w:p>
    <w:p>
      <w:pPr>
        <w:pStyle w:val="Default"/>
        <w:jc w:val="both"/>
        <w:rPr>
          <w:noProof/>
        </w:rPr>
      </w:pPr>
      <w:r>
        <w:rPr>
          <w:noProof/>
        </w:rPr>
        <w:t>Súčasným návrhom nie je dotknutý návrh Komisie, pokiaľ ide o dočasné uplatňovanie všeobecného mechanizmu prenesenia daňovej povinnosti</w:t>
      </w:r>
      <w:r>
        <w:rPr>
          <w:rStyle w:val="FootnoteReference"/>
          <w:noProof/>
        </w:rPr>
        <w:footnoteReference w:id="10"/>
      </w:r>
      <w:r>
        <w:rPr>
          <w:noProof/>
        </w:rPr>
        <w:t>, ktorý by poskytol členským štátom osobitne postihnutým podvodmi možnosť zaviesť všeobecný mechanizmus (a nie zameraný na jednotlivé odvetvia) prenesenia daňovej povinnosti na domáce dodávanie tovaru a poskytovanie služieb za predpokladu splnenia prísnych podmienok. Rozsah pôsobnosti a navrhnuté podmienky uplatňovania všeobecného mechanizmu prenesenia daňovej povinnosti sa líšia od podmienok článkov 199a a 199b smernice o DPH.</w:t>
      </w:r>
    </w:p>
    <w:p>
      <w:pPr>
        <w:pStyle w:val="ManualHeading1"/>
        <w:rPr>
          <w:noProof/>
        </w:rPr>
      </w:pPr>
      <w:r>
        <w:rPr>
          <w:noProof/>
        </w:rPr>
        <w:t>2.</w:t>
      </w:r>
      <w:r>
        <w:rPr>
          <w:noProof/>
        </w:rPr>
        <w:tab/>
        <w:t>PRÁVNY ZÁKLAD, SUBSIDIARITA A PROPORCIONALITA</w:t>
      </w:r>
    </w:p>
    <w:p>
      <w:pPr>
        <w:pStyle w:val="ManualHeading2"/>
        <w:rPr>
          <w:rFonts w:eastAsia="Arial Unicode MS"/>
          <w:noProof/>
          <w:u w:color="000000"/>
          <w:bdr w:val="nil"/>
        </w:rPr>
      </w:pPr>
      <w:r>
        <w:rPr>
          <w:noProof/>
        </w:rPr>
        <w:t>•</w:t>
      </w:r>
      <w:r>
        <w:rPr>
          <w:noProof/>
        </w:rPr>
        <w:tab/>
        <w:t>Právny základ</w:t>
      </w:r>
    </w:p>
    <w:p>
      <w:pPr>
        <w:pBdr>
          <w:top w:val="nil"/>
          <w:left w:val="nil"/>
          <w:bottom w:val="nil"/>
          <w:right w:val="nil"/>
          <w:between w:val="nil"/>
          <w:bar w:val="nil"/>
        </w:pBdr>
        <w:spacing w:before="0" w:after="240"/>
        <w:rPr>
          <w:noProof/>
        </w:rPr>
      </w:pPr>
      <w:r>
        <w:rPr>
          <w:noProof/>
        </w:rPr>
        <w:t>Touto smernicou sa mení smernica o DPH na základe článku 113 Zmluvy o fungovaní Európskej únie.</w:t>
      </w:r>
    </w:p>
    <w:p>
      <w:pPr>
        <w:pBdr>
          <w:top w:val="nil"/>
          <w:left w:val="nil"/>
          <w:bottom w:val="nil"/>
          <w:right w:val="nil"/>
          <w:between w:val="nil"/>
          <w:bar w:val="nil"/>
        </w:pBdr>
        <w:spacing w:before="0" w:after="240"/>
        <w:rPr>
          <w:noProof/>
        </w:rPr>
      </w:pPr>
      <w:r>
        <w:rPr>
          <w:noProof/>
        </w:rPr>
        <w:t>Keďže návrhom sa predlžuje uplatňovanie určitých ustanovení smernice, je potrebná zmena smernice o DPH.</w:t>
      </w:r>
    </w:p>
    <w:p>
      <w:pPr>
        <w:pStyle w:val="ManualHeading2"/>
        <w:rPr>
          <w:noProof/>
        </w:rPr>
      </w:pPr>
      <w:r>
        <w:rPr>
          <w:noProof/>
        </w:rPr>
        <w:t>•</w:t>
      </w:r>
      <w:r>
        <w:rPr>
          <w:noProof/>
        </w:rPr>
        <w:tab/>
        <w:t>Subsidiarita (v prípade inej ako výlučnej právomoci)</w:t>
      </w:r>
    </w:p>
    <w:p>
      <w:pPr>
        <w:pStyle w:val="Text1"/>
        <w:ind w:left="0"/>
        <w:rPr>
          <w:noProof/>
        </w:rPr>
      </w:pPr>
      <w:r>
        <w:rPr>
          <w:noProof/>
        </w:rPr>
        <w:t>Podľa zásady subsidiarity podľa článku 5 ods. 3 Zmluvy o Európskej únii opatrenia na úrovni Únie možno prijať len vtedy, ak zamýšľané ciele nemôžu uspokojivo dosiahnuť samotné členské štáty, a preto ich môže z dôvodu rozsahu alebo účinkov navrhovaných opatrení lepšie dosiahnuť Únia.</w:t>
      </w:r>
    </w:p>
    <w:p>
      <w:pPr>
        <w:pBdr>
          <w:top w:val="nil"/>
          <w:left w:val="nil"/>
          <w:bottom w:val="nil"/>
          <w:right w:val="nil"/>
          <w:between w:val="nil"/>
          <w:bar w:val="nil"/>
        </w:pBdr>
        <w:spacing w:before="0" w:after="240"/>
        <w:rPr>
          <w:noProof/>
        </w:rPr>
      </w:pPr>
      <w:r>
        <w:rPr>
          <w:noProof/>
        </w:rPr>
        <w:lastRenderedPageBreak/>
        <w:t>Cieľ boja proti podvodom prostredníctvom uplatňovania mechanizmu prenesenia daňovej povinnosti a možnosť používania mechanizmu rýchlej reakcie na boj proti neočakávaným a rozsiahlym podvodom sa najlepšie dosiahne na úrovni Únie a má svoj osobitný právny základ v smernici o DPH. Predĺženie platnosti týchto opatrení si preto vyžaduje zmenu smernice o DPH.</w:t>
      </w:r>
    </w:p>
    <w:p>
      <w:pPr>
        <w:pStyle w:val="ManualHeading2"/>
        <w:rPr>
          <w:rFonts w:eastAsia="Arial Unicode MS"/>
          <w:noProof/>
          <w:u w:color="000000"/>
          <w:bdr w:val="nil"/>
        </w:rPr>
      </w:pPr>
      <w:r>
        <w:rPr>
          <w:noProof/>
        </w:rPr>
        <w:t>•</w:t>
      </w:r>
      <w:r>
        <w:rPr>
          <w:noProof/>
        </w:rPr>
        <w:tab/>
        <w:t>Proporcionalita</w:t>
      </w:r>
    </w:p>
    <w:p>
      <w:pPr>
        <w:pBdr>
          <w:top w:val="nil"/>
          <w:left w:val="nil"/>
          <w:bottom w:val="nil"/>
          <w:right w:val="nil"/>
          <w:between w:val="nil"/>
          <w:bar w:val="nil"/>
        </w:pBdr>
        <w:spacing w:before="0" w:after="240"/>
        <w:rPr>
          <w:noProof/>
          <w:color w:val="000000" w:themeColor="text1"/>
        </w:rPr>
      </w:pPr>
      <w:r>
        <w:rPr>
          <w:noProof/>
          <w:color w:val="000000" w:themeColor="text1"/>
        </w:rPr>
        <w:t>Z dôvodu voliteľného a dočasného charakteru predĺžených opatrení je tento návrh primeraný sledovanému cieľu, ktorým je boj proti podvodom pri určitých dodaniach tovaru a poskytovaní služieb a pomoc členským štátom v boji proti prípadom neočakávaných a rozsiahlych podvodov v oblasti DPH.</w:t>
      </w:r>
    </w:p>
    <w:p>
      <w:pPr>
        <w:pStyle w:val="ManualHeading2"/>
        <w:rPr>
          <w:rFonts w:eastAsia="Arial Unicode MS"/>
          <w:noProof/>
          <w:u w:color="000000"/>
          <w:bdr w:val="nil"/>
        </w:rPr>
      </w:pPr>
      <w:r>
        <w:rPr>
          <w:noProof/>
        </w:rPr>
        <w:t>•</w:t>
      </w:r>
      <w:r>
        <w:rPr>
          <w:noProof/>
        </w:rPr>
        <w:tab/>
        <w:t>Výber nástroja</w:t>
      </w:r>
    </w:p>
    <w:p>
      <w:pPr>
        <w:pBdr>
          <w:top w:val="nil"/>
          <w:left w:val="nil"/>
          <w:bottom w:val="nil"/>
          <w:right w:val="nil"/>
          <w:between w:val="nil"/>
          <w:bar w:val="nil"/>
        </w:pBdr>
        <w:spacing w:before="0" w:after="240"/>
        <w:rPr>
          <w:noProof/>
        </w:rPr>
      </w:pPr>
      <w:r>
        <w:rPr>
          <w:noProof/>
        </w:rPr>
        <w:t>S cieľom zmeniť smernicu o DPH sa navrhuje smernica.</w:t>
      </w:r>
    </w:p>
    <w:p>
      <w:pPr>
        <w:pStyle w:val="ManualHeading1"/>
        <w:rPr>
          <w:noProof/>
        </w:rPr>
      </w:pPr>
      <w:r>
        <w:rPr>
          <w:noProof/>
        </w:rPr>
        <w:t>3.</w:t>
      </w:r>
      <w:r>
        <w:rPr>
          <w:noProof/>
        </w:rPr>
        <w:tab/>
        <w:t xml:space="preserve">VÝSLEDKY HODNOTENÍ </w:t>
      </w:r>
      <w:r>
        <w:rPr>
          <w:i/>
          <w:noProof/>
        </w:rPr>
        <w:t>EX POST</w:t>
      </w:r>
      <w:r>
        <w:rPr>
          <w:noProof/>
        </w:rPr>
        <w:t>, KONZULTÁCIÍ SO ZAINTERESOVANÝMI STRANAMI A POSÚDENÍ VPLYVU</w:t>
      </w:r>
    </w:p>
    <w:p>
      <w:pPr>
        <w:pStyle w:val="ManualHeading2"/>
        <w:rPr>
          <w:rFonts w:eastAsia="Arial Unicode MS"/>
          <w:noProof/>
          <w:u w:color="000000"/>
          <w:bdr w:val="nil"/>
        </w:rPr>
      </w:pPr>
      <w:r>
        <w:rPr>
          <w:noProof/>
        </w:rPr>
        <w:t>•</w:t>
      </w:r>
      <w:r>
        <w:rPr>
          <w:noProof/>
        </w:rPr>
        <w:tab/>
        <w:t>Konzultácie so zainteresovanými stranami</w:t>
      </w:r>
    </w:p>
    <w:p>
      <w:pPr>
        <w:pBdr>
          <w:top w:val="nil"/>
          <w:left w:val="nil"/>
          <w:bottom w:val="nil"/>
          <w:right w:val="nil"/>
          <w:between w:val="nil"/>
          <w:bar w:val="nil"/>
        </w:pBdr>
        <w:spacing w:before="0" w:after="240"/>
        <w:rPr>
          <w:noProof/>
        </w:rPr>
      </w:pPr>
      <w:r>
        <w:rPr>
          <w:noProof/>
        </w:rPr>
        <w:t>Spätná väzba od členských štátov a zainteresovaných strán bola predstavená v správe Komisie o účinkoch článkov 199a a 199b smernice o DPH na boj proti podvodom.</w:t>
      </w:r>
    </w:p>
    <w:p>
      <w:pPr>
        <w:rPr>
          <w:noProof/>
        </w:rPr>
      </w:pPr>
      <w:r>
        <w:rPr>
          <w:noProof/>
        </w:rPr>
        <w:t>Ako sa uviedlo v správe, členské štáty sa vo všeobecnosti domnievajú, že mechanizmus prenesenia daňovej povinnosti uvedený v článku 199a smernice o DPH je účinným a efektívnym nástrojom na boj proti podvodom v oblasti DPH. Vďaka zavedeniu mechanizmu prenesenia daňovej povinnosti sa podvody vo vymedzených sektoroch výrazne obmedzili alebo úplne vymizli. Tento názor je potvrdený aj v odpovediach doručených od  zainteresovaných strán z podnikateľského prostredia, s ktorými sa viedli konzultácie, ktoré považujú mechanizmus prenesenia daňovej povinnosti za efektívne dočasné opatrenie na boj proti podvodom.</w:t>
      </w:r>
    </w:p>
    <w:p>
      <w:pPr>
        <w:rPr>
          <w:noProof/>
        </w:rPr>
      </w:pPr>
      <w:r>
        <w:rPr>
          <w:noProof/>
        </w:rPr>
        <w:t>Pokiaľ ide o mechanizmus rýchlej reakcie uvedený v článku 199b smernice o DPH, hoci nebol nikdy použitý, väčšina členských štátov sa domnieva, že predstavuje užitočný nástroj a preventívne opatrenie pre výnimočné prípady neočakávaných podvodov v oblasti DPH.</w:t>
      </w:r>
    </w:p>
    <w:p>
      <w:pPr>
        <w:pStyle w:val="ManualHeading2"/>
        <w:rPr>
          <w:rFonts w:eastAsia="Arial Unicode MS"/>
          <w:noProof/>
          <w:u w:color="000000"/>
          <w:bdr w:val="nil"/>
        </w:rPr>
      </w:pPr>
      <w:r>
        <w:rPr>
          <w:noProof/>
        </w:rPr>
        <w:t>•</w:t>
      </w:r>
      <w:r>
        <w:rPr>
          <w:noProof/>
        </w:rPr>
        <w:tab/>
        <w:t>Získavanie a využívanie expertízy</w:t>
      </w:r>
    </w:p>
    <w:p>
      <w:pPr>
        <w:pBdr>
          <w:top w:val="nil"/>
          <w:left w:val="nil"/>
          <w:bottom w:val="nil"/>
          <w:right w:val="nil"/>
          <w:between w:val="nil"/>
          <w:bar w:val="nil"/>
        </w:pBdr>
        <w:spacing w:before="0" w:after="240"/>
        <w:rPr>
          <w:noProof/>
        </w:rPr>
      </w:pPr>
      <w:r>
        <w:rPr>
          <w:noProof/>
        </w:rPr>
        <w:t>Pokiaľ ide o účinky opatrenia uvedeného v článku 199a smernice o DPH, viedli sa konzultácie so skupinou odborníkov v oblasti DPH. Zo spätnej väzby vyplýva, že mechanizmus prenesenia daňovej povinnosti sa v prípade daných dodaní a poskytnutí považuje za účinný dočasný nástroj na boj proti podvodom.</w:t>
      </w:r>
    </w:p>
    <w:p>
      <w:pPr>
        <w:pBdr>
          <w:top w:val="nil"/>
          <w:left w:val="nil"/>
          <w:bottom w:val="nil"/>
          <w:right w:val="nil"/>
          <w:between w:val="nil"/>
          <w:bar w:val="nil"/>
        </w:pBdr>
        <w:spacing w:before="0" w:after="240"/>
        <w:rPr>
          <w:noProof/>
          <w:color w:val="000000"/>
        </w:rPr>
      </w:pPr>
      <w:r>
        <w:rPr>
          <w:noProof/>
        </w:rPr>
        <w:t>Všeobecne bol voliteľný mechanizmus prenesenia daňovej povinnosti posudzovaný v predchádzajúcich štúdiách. Podľa nedávnej štúdie o posúdení voliteľného mechanizmu prenesenia daňovej povinnosti</w:t>
      </w:r>
      <w:r>
        <w:rPr>
          <w:rStyle w:val="FootnoteReference"/>
          <w:noProof/>
        </w:rPr>
        <w:footnoteReference w:id="11"/>
      </w:r>
      <w:r>
        <w:rPr>
          <w:noProof/>
        </w:rPr>
        <w:t xml:space="preserve"> tento mechanizmus spôsobuje podnikom zvýšenie nákladov na dodržiavanie predpisov o 43 %. V rámci posúdenia vplyvu, ktoré tvorí prílohu k návrhu na dočasné uplatňovanie všeobecného mechanizmu prenesenia daňovej povinnosti</w:t>
      </w:r>
      <w:r>
        <w:rPr>
          <w:rStyle w:val="FootnoteReference"/>
          <w:noProof/>
        </w:rPr>
        <w:footnoteReference w:id="12"/>
      </w:r>
      <w:r>
        <w:rPr>
          <w:noProof/>
        </w:rPr>
        <w:t xml:space="preserve">, bolo </w:t>
      </w:r>
      <w:r>
        <w:rPr>
          <w:noProof/>
        </w:rPr>
        <w:lastRenderedPageBreak/>
        <w:t>vykonané posúdenie všeobecného mechanizmu prenesenia daňovej povinnosti (aj v porovnaní so sektorovým prenesením daňovej povinnosti) na vnútornom trhu.</w:t>
      </w:r>
      <w:r>
        <w:rPr>
          <w:noProof/>
          <w:color w:val="000000"/>
        </w:rPr>
        <w:t xml:space="preserve"> Vzhľadom na jeho časové a rozsahové obmedzenie sa usúdilo, že cielený mechanizmus prenesenia daňovej povinnosti nemá zásadné škodlivé dôsledky.</w:t>
      </w:r>
    </w:p>
    <w:p>
      <w:pPr>
        <w:pStyle w:val="ManualHeading2"/>
        <w:rPr>
          <w:rFonts w:eastAsia="Arial Unicode MS"/>
          <w:noProof/>
          <w:u w:color="000000"/>
          <w:bdr w:val="nil"/>
        </w:rPr>
      </w:pPr>
      <w:r>
        <w:rPr>
          <w:noProof/>
        </w:rPr>
        <w:t>•</w:t>
      </w:r>
      <w:r>
        <w:rPr>
          <w:noProof/>
        </w:rPr>
        <w:tab/>
        <w:t>Posúdenie vplyvu</w:t>
      </w:r>
    </w:p>
    <w:p>
      <w:pPr>
        <w:rPr>
          <w:noProof/>
          <w:color w:val="000000" w:themeColor="text1"/>
        </w:rPr>
      </w:pPr>
      <w:r>
        <w:rPr>
          <w:noProof/>
          <w:color w:val="000000" w:themeColor="text1"/>
        </w:rPr>
        <w:t>Touto iniciatívou sa predlžuje platnosť opatrení uvedených v článkoch 199a and 199b s cieľom podporiť členské štáty v boji proti podvodom v oblasti DPH do zavedenia hlbšej reformy systému DPH.</w:t>
      </w:r>
    </w:p>
    <w:p>
      <w:pPr>
        <w:rPr>
          <w:noProof/>
          <w:color w:val="000000" w:themeColor="text1"/>
        </w:rPr>
      </w:pPr>
      <w:r>
        <w:rPr>
          <w:noProof/>
          <w:color w:val="000000" w:themeColor="text1"/>
        </w:rPr>
        <w:t>Vzhľadom na prebiehajúcu prácu Komisie na konečnom režime DPH a jeho očakávaný vplyv v boji proti podvodom by nebolo v súčasnosti užitočné hodnotiť nad rámec nedávnej správy, ani revidovať opatrenia, pretože všetky závery by boli prechodné a bolo by potrebné ich znovu posúdiť po nadobudnutí účinnosti konečného režimu.</w:t>
      </w:r>
    </w:p>
    <w:p>
      <w:pPr>
        <w:pStyle w:val="ManualHeading1"/>
        <w:rPr>
          <w:noProof/>
        </w:rPr>
      </w:pPr>
      <w:r>
        <w:rPr>
          <w:noProof/>
        </w:rPr>
        <w:t>4.</w:t>
      </w:r>
      <w:r>
        <w:rPr>
          <w:noProof/>
        </w:rPr>
        <w:tab/>
        <w:t>VPLYV NA ROZPOČET</w:t>
      </w:r>
    </w:p>
    <w:p>
      <w:pPr>
        <w:pBdr>
          <w:top w:val="nil"/>
          <w:left w:val="nil"/>
          <w:bottom w:val="nil"/>
          <w:right w:val="nil"/>
          <w:between w:val="nil"/>
          <w:bar w:val="nil"/>
        </w:pBdr>
        <w:spacing w:before="0" w:after="240"/>
        <w:rPr>
          <w:noProof/>
        </w:rPr>
      </w:pPr>
      <w:r>
        <w:rPr>
          <w:noProof/>
        </w:rPr>
        <w:t>Návrh nebude mať negatívny vplyv na rozpočet Únie.</w:t>
      </w:r>
    </w:p>
    <w:p>
      <w:pPr>
        <w:pStyle w:val="ManualHeading1"/>
        <w:rPr>
          <w:noProof/>
        </w:rPr>
      </w:pPr>
      <w:r>
        <w:rPr>
          <w:noProof/>
        </w:rPr>
        <w:t>5.</w:t>
      </w:r>
      <w:r>
        <w:rPr>
          <w:noProof/>
        </w:rPr>
        <w:tab/>
        <w:t>ĎALŠIE PRVKY</w:t>
      </w:r>
    </w:p>
    <w:p>
      <w:pPr>
        <w:rPr>
          <w:noProof/>
        </w:rPr>
      </w:pPr>
      <w:r>
        <w:rPr>
          <w:noProof/>
        </w:rPr>
        <w:t>Návrh je časovo obmedzený.</w:t>
      </w:r>
    </w:p>
    <w:p>
      <w:pPr>
        <w:spacing w:before="0" w:after="0"/>
        <w:jc w:val="left"/>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2018/0150 (CNS)</w:t>
      </w:r>
    </w:p>
    <w:p>
      <w:pPr>
        <w:pStyle w:val="Statut"/>
        <w:rPr>
          <w:noProof/>
        </w:rPr>
      </w:pPr>
      <w:r>
        <w:rPr>
          <w:noProof/>
        </w:rPr>
        <w:t>Návrh</w:t>
      </w:r>
    </w:p>
    <w:p>
      <w:pPr>
        <w:pStyle w:val="Typedudocument"/>
        <w:rPr>
          <w:noProof/>
        </w:rPr>
      </w:pPr>
      <w:r>
        <w:rPr>
          <w:noProof/>
        </w:rPr>
        <w:t>SMERNICA RADY,</w:t>
      </w:r>
    </w:p>
    <w:p>
      <w:pPr>
        <w:pStyle w:val="Titreobjet"/>
        <w:rPr>
          <w:noProof/>
        </w:rPr>
      </w:pPr>
      <w:r>
        <w:rPr>
          <w:noProof/>
        </w:rPr>
        <w:t>ktorou sa mení smernica 2006/112/ES o spoločnom systéme dane z pridanej hodnoty, pokiaľ ide o obdobie uplatňovania voliteľného mechanizmu prenesenia daňovej povinnosti v súvislosti s dodaním určitého tovaru a poskytovaním určitých služieb, ktoré sú náchylné na podvod, a mechanizmu rýchlej reakcie proti podvodom v oblasti DPH</w:t>
      </w:r>
    </w:p>
    <w:p>
      <w:pPr>
        <w:pStyle w:val="Institutionquiagit"/>
        <w:rPr>
          <w:noProof/>
        </w:rPr>
      </w:pPr>
      <w:r>
        <w:rPr>
          <w:noProof/>
        </w:rPr>
        <w:t>RADA EURÓPSKEJ ÚNIE,</w:t>
      </w:r>
    </w:p>
    <w:p>
      <w:pPr>
        <w:rPr>
          <w:noProof/>
        </w:rPr>
      </w:pPr>
      <w:r>
        <w:rPr>
          <w:noProof/>
        </w:rPr>
        <w:t>so zreteľom na Zmluvu o fungovaní Európskej únie, a najmä na jej článok 113,</w:t>
      </w:r>
    </w:p>
    <w:p>
      <w:pPr>
        <w:rPr>
          <w:noProof/>
        </w:rPr>
      </w:pPr>
      <w:r>
        <w:rPr>
          <w:noProof/>
        </w:rPr>
        <w:t>so zreteľom na návrh Európskej komisie,</w:t>
      </w:r>
    </w:p>
    <w:p>
      <w:pPr>
        <w:rPr>
          <w:noProof/>
        </w:rPr>
      </w:pPr>
      <w:r>
        <w:rPr>
          <w:noProof/>
        </w:rPr>
        <w:t>po postúpení návrhu legislatívneho aktu národným parlamentom,</w:t>
      </w:r>
    </w:p>
    <w:p>
      <w:pPr>
        <w:rPr>
          <w:noProof/>
        </w:rPr>
      </w:pPr>
      <w:r>
        <w:rPr>
          <w:noProof/>
        </w:rPr>
        <w:t>so zreteľom na stanovisko Európskeho parlamentu</w:t>
      </w:r>
      <w:r>
        <w:rPr>
          <w:rStyle w:val="FootnoteReference"/>
          <w:noProof/>
        </w:rPr>
        <w:footnoteReference w:id="13"/>
      </w:r>
      <w:r>
        <w:rPr>
          <w:noProof/>
        </w:rPr>
        <w:t>,</w:t>
      </w:r>
    </w:p>
    <w:p>
      <w:pPr>
        <w:rPr>
          <w:noProof/>
        </w:rPr>
      </w:pPr>
      <w:r>
        <w:rPr>
          <w:noProof/>
        </w:rPr>
        <w:t>so zreteľom na stanovisko Európskeho hospodárskeho a sociálneho výboru</w:t>
      </w:r>
      <w:r>
        <w:rPr>
          <w:rStyle w:val="FootnoteReference"/>
          <w:noProof/>
        </w:rPr>
        <w:footnoteReference w:id="14"/>
      </w:r>
      <w:r>
        <w:rPr>
          <w:noProof/>
        </w:rPr>
        <w:t>,</w:t>
      </w:r>
    </w:p>
    <w:p>
      <w:pPr>
        <w:rPr>
          <w:noProof/>
        </w:rPr>
      </w:pPr>
      <w:r>
        <w:rPr>
          <w:noProof/>
        </w:rPr>
        <w:t>konajúc v súlade s mimoriadnym legislatívnym postupom,</w:t>
      </w:r>
    </w:p>
    <w:p>
      <w:pPr>
        <w:rPr>
          <w:noProof/>
        </w:rPr>
      </w:pPr>
      <w:r>
        <w:rPr>
          <w:noProof/>
        </w:rPr>
        <w:t>keďže:</w:t>
      </w:r>
    </w:p>
    <w:p>
      <w:pPr>
        <w:pStyle w:val="ManualConsidrant"/>
        <w:rPr>
          <w:noProof/>
        </w:rPr>
      </w:pPr>
      <w:r>
        <w:t>(1)</w:t>
      </w:r>
      <w:r>
        <w:tab/>
      </w:r>
      <w:r>
        <w:rPr>
          <w:noProof/>
        </w:rPr>
        <w:t>Daňové podvody v oblasti dane z pridanej hodnoty (DPH) vedú k významným rozpočtovým stratám a ovplyvňujú fungovanie vnútorného trhu.</w:t>
      </w:r>
    </w:p>
    <w:p>
      <w:pPr>
        <w:pStyle w:val="ManualConsidrant"/>
        <w:rPr>
          <w:noProof/>
        </w:rPr>
      </w:pPr>
      <w:r>
        <w:t>(2)</w:t>
      </w:r>
      <w:r>
        <w:tab/>
      </w:r>
      <w:r>
        <w:rPr>
          <w:noProof/>
        </w:rPr>
        <w:t>Článkom 199a smernice Rady 2006/112/ES</w:t>
      </w:r>
      <w:r>
        <w:rPr>
          <w:rStyle w:val="FootnoteReference"/>
          <w:noProof/>
        </w:rPr>
        <w:footnoteReference w:id="15"/>
      </w:r>
      <w:r>
        <w:rPr>
          <w:noProof/>
        </w:rPr>
        <w:t xml:space="preserve"> sa členským štátom umožňuje stanoviť, že osobou zodpovednou za úhradu DPH z dodaní a poskytnutí stanovených v zozname v uvedenom článku je zdaniteľná osoba, ktorá je príjemcom dodania alebo poskytnutia (mechanizmus prenesenia daňovej povinnosti), s cieľom rýchlo vyriešiť problém podvodu v rámci Spoločenstva založeného na chýbajúcom obchodnom subjekte (MTIC). Členské štáty môžu uplatňovať tento mechanizmus do 31. decembra 2018 a minimálne na obdobie dvoch rokov.</w:t>
      </w:r>
    </w:p>
    <w:p>
      <w:pPr>
        <w:pStyle w:val="ManualConsidrant"/>
        <w:rPr>
          <w:noProof/>
        </w:rPr>
      </w:pPr>
      <w:r>
        <w:t>(3)</w:t>
      </w:r>
      <w:r>
        <w:tab/>
      </w:r>
      <w:r>
        <w:rPr>
          <w:noProof/>
        </w:rPr>
        <w:t>Osobitné opatrenie mechanizmu rýchlej reakcie (MRR) stanovené v článku 199b smernice 2006/112/ES poskytuje členským štátom rýchlejší postup umožňujúci zavedenie mechanizmu prenesenia daňovej povinnosti, pokiaľ ide o osobitné dodania tovaru a poskytnutia služieb s cieľom bojovať proti neočakávaným a rozsiahlym podvodom, ktoré môžu viesť k značným a nenapraviteľným finančným stratám. V súlade s článkom 3 smernice Rady 2013/42/EÚ</w:t>
      </w:r>
      <w:r>
        <w:rPr>
          <w:rStyle w:val="FootnoteReference"/>
          <w:noProof/>
        </w:rPr>
        <w:footnoteReference w:id="16"/>
      </w:r>
      <w:r>
        <w:rPr>
          <w:noProof/>
        </w:rPr>
        <w:t xml:space="preserve"> členské štáty môžu uplatňovať osobitné opatrenie MRR do 31. decembra 2018.</w:t>
      </w:r>
    </w:p>
    <w:p>
      <w:pPr>
        <w:pStyle w:val="ManualConsidrant"/>
        <w:rPr>
          <w:noProof/>
        </w:rPr>
      </w:pPr>
      <w:r>
        <w:lastRenderedPageBreak/>
        <w:t>(4)</w:t>
      </w:r>
      <w:r>
        <w:tab/>
      </w:r>
      <w:r>
        <w:rPr>
          <w:noProof/>
        </w:rPr>
        <w:t>Komisia predložila 8. marca 2018 Európskemu parlamentu a Rade správu o vplyve mechanizmov na boj proti podvodom podľa článkov 199a a 199b smernice 2006/112/ES</w:t>
      </w:r>
      <w:r>
        <w:rPr>
          <w:rStyle w:val="FootnoteReference"/>
          <w:noProof/>
        </w:rPr>
        <w:footnoteReference w:id="17"/>
      </w:r>
      <w:r>
        <w:rPr>
          <w:noProof/>
        </w:rPr>
        <w:t>.</w:t>
      </w:r>
    </w:p>
    <w:p>
      <w:pPr>
        <w:pStyle w:val="ManualConsidrant"/>
        <w:rPr>
          <w:noProof/>
          <w:color w:val="000000"/>
        </w:rPr>
      </w:pPr>
      <w:r>
        <w:t>(5)</w:t>
      </w:r>
      <w:r>
        <w:tab/>
      </w:r>
      <w:r>
        <w:rPr>
          <w:noProof/>
        </w:rPr>
        <w:t xml:space="preserve">Podľa správy členské štáty a zainteresované strany všeobecne považujú mechanizmus prenesenia daňovej povinnosti stanovený v článku 199a smernice 2006/112/ES za účinný a efektívny dočasný nástroj v boji proti podvodom v oblasti DPH v daných sektoroch alebo v prevencii výskytu podvodov. </w:t>
      </w:r>
      <w:r>
        <w:rPr>
          <w:noProof/>
          <w:color w:val="000000"/>
        </w:rPr>
        <w:t>Ukázalo sa, že požiadavka, aby sa opatrenie uvedené v článku 199a ods. 1 uplatňovalo minimálne dva roky, predstavuje prekážku pre niektoré členské štáty, ktoré chceli zaviesť mechanizmus prenesenia daňovej povinnosti, a nespĺňali túto podmienku. V dôsledku toho je požiadavka na obdobie minimálne dvoch rokov odstránená z ustanovenia.</w:t>
      </w:r>
    </w:p>
    <w:p>
      <w:pPr>
        <w:pStyle w:val="ManualConsidrant"/>
        <w:rPr>
          <w:noProof/>
        </w:rPr>
      </w:pPr>
      <w:r>
        <w:t>(6)</w:t>
      </w:r>
      <w:r>
        <w:tab/>
      </w:r>
      <w:r>
        <w:rPr>
          <w:noProof/>
        </w:rPr>
        <w:t>Pokiaľ ide o osobitné opatrenie mechanizmu rýchlej reakcie uvedené v článku 199b smernice 2006/112/ES, členské štáty sa domnievajú, že by malo byť zachované ako užitočný nástroj a preventívne opatrenie pre výnimočné prípady podvodov v oblasti DPH, hoci nebolo nikdy účinne použité.</w:t>
      </w:r>
    </w:p>
    <w:p>
      <w:pPr>
        <w:pStyle w:val="ManualConsidrant"/>
        <w:rPr>
          <w:noProof/>
        </w:rPr>
      </w:pPr>
      <w:r>
        <w:t>(7)</w:t>
      </w:r>
      <w:r>
        <w:tab/>
      </w:r>
      <w:r>
        <w:rPr>
          <w:noProof/>
        </w:rPr>
        <w:t>Vzhľadom na zistenia a záver správy sa zdá, že opatrenia uvedené v článkoch 199a a 199b smernice 2006/112/ES sa preukázali ako užitočné dočasné a cielené opatrenia na boj proti podvodom v oblasti DPH. Platnosť uvedených opatrení má uplynúť 31. decembra 2018, čo by členské štáty pripravilo o efektívny nástroj v boji proti podvodom v oblasti DPH. Je preto vhodné predĺžiť uplatňovanie uvedených opatrení na obmedzené obdobie do nadobudnutia účinnosti konečného režimu DPH.</w:t>
      </w:r>
    </w:p>
    <w:p>
      <w:pPr>
        <w:pStyle w:val="ManualConsidrant"/>
        <w:rPr>
          <w:noProof/>
        </w:rPr>
      </w:pPr>
      <w:r>
        <w:t>(8)</w:t>
      </w:r>
      <w:r>
        <w:tab/>
      </w:r>
      <w:r>
        <w:rPr>
          <w:noProof/>
        </w:rPr>
        <w:t>Smernica 2006/112/ES by sa preto mala zodpovedajúcim spôsobom zmeniť,</w:t>
      </w:r>
    </w:p>
    <w:p>
      <w:pPr>
        <w:pStyle w:val="Formuledadoption"/>
        <w:rPr>
          <w:noProof/>
        </w:rPr>
      </w:pPr>
      <w:r>
        <w:rPr>
          <w:noProof/>
        </w:rPr>
        <w:t>PRIJALA TÚTO SMERNICU:</w:t>
      </w:r>
    </w:p>
    <w:p>
      <w:pPr>
        <w:pStyle w:val="Titrearticle"/>
        <w:rPr>
          <w:noProof/>
        </w:rPr>
      </w:pPr>
      <w:r>
        <w:rPr>
          <w:noProof/>
        </w:rPr>
        <w:t>Článok 1</w:t>
      </w:r>
    </w:p>
    <w:p>
      <w:pPr>
        <w:rPr>
          <w:noProof/>
        </w:rPr>
      </w:pPr>
      <w:r>
        <w:rPr>
          <w:noProof/>
        </w:rPr>
        <w:t>Smernica 2006/112/ES sa mení takto:</w:t>
      </w:r>
    </w:p>
    <w:p>
      <w:pPr>
        <w:pStyle w:val="Point0"/>
        <w:rPr>
          <w:noProof/>
        </w:rPr>
      </w:pPr>
      <w:r>
        <w:rPr>
          <w:noProof/>
        </w:rPr>
        <w:t>1.</w:t>
      </w:r>
      <w:r>
        <w:rPr>
          <w:noProof/>
        </w:rPr>
        <w:tab/>
        <w:t>V článku 199a ods. 1 sa úvodné slová nahrádzajú takto:</w:t>
      </w:r>
    </w:p>
    <w:p>
      <w:pPr>
        <w:pStyle w:val="Normal1"/>
        <w:ind w:left="851"/>
        <w:rPr>
          <w:noProof/>
        </w:rPr>
      </w:pPr>
      <w:r>
        <w:rPr>
          <w:noProof/>
        </w:rPr>
        <w:t>„Členské štáty môžu do 30. júna 2022 stanoviť, že osobou povinnou platiť DPH je zdaniteľná osoba, v prospech ktorej sa uskutočnilo niektoré z nasledujúcich dodaní alebo poskytnutí:“;</w:t>
      </w:r>
    </w:p>
    <w:p>
      <w:pPr>
        <w:pStyle w:val="Point0"/>
        <w:rPr>
          <w:noProof/>
        </w:rPr>
      </w:pPr>
      <w:r>
        <w:rPr>
          <w:noProof/>
        </w:rPr>
        <w:t>2.</w:t>
      </w:r>
      <w:r>
        <w:rPr>
          <w:noProof/>
        </w:rPr>
        <w:tab/>
        <w:t>Článok 199b sa nahrádza takto:</w:t>
      </w:r>
    </w:p>
    <w:p>
      <w:pPr>
        <w:pStyle w:val="Normal1"/>
        <w:spacing w:before="120" w:beforeAutospacing="0" w:after="120" w:afterAutospacing="0"/>
        <w:jc w:val="center"/>
        <w:rPr>
          <w:noProof/>
        </w:rPr>
      </w:pPr>
      <w:r>
        <w:rPr>
          <w:noProof/>
        </w:rPr>
        <w:t>„,Článok 199b</w:t>
      </w:r>
    </w:p>
    <w:p>
      <w:pPr>
        <w:pStyle w:val="Normal1"/>
        <w:spacing w:before="120" w:beforeAutospacing="0" w:after="120" w:afterAutospacing="0"/>
        <w:ind w:left="720"/>
        <w:jc w:val="both"/>
        <w:rPr>
          <w:noProof/>
        </w:rPr>
      </w:pPr>
      <w:r>
        <w:rPr>
          <w:noProof/>
        </w:rPr>
        <w:t>1. Členský štát môže v naliehavých prípadoch potreby a v súlade s odsekmi 2 a 3 určiť príjemcu ako osobu povinnú zaplatiť DPH pri osobitných dodaniach tovaru a osobitnom poskytnutí služieb odchylne od článku 193 ako osobitné opatrenie mechanizmu rýchlej reakcie s cieľom bojovať proti neočakávaným a rozsiahlym podvodom, ktoré môžu viesť k značným a nenapraviteľným finančným stratám.</w:t>
      </w:r>
    </w:p>
    <w:p>
      <w:pPr>
        <w:pStyle w:val="Normal1"/>
        <w:ind w:left="720"/>
        <w:jc w:val="both"/>
        <w:rPr>
          <w:noProof/>
        </w:rPr>
      </w:pPr>
      <w:r>
        <w:rPr>
          <w:noProof/>
        </w:rPr>
        <w:t>Toto osobitné opatrenie mechanizmu rýchlej reakcie podlieha primeraným kontrolným opatreniam členského štátu v súvislosti so zdaniteľnými osobami dodávajúcimi tovar alebo poskytujúcimi služby, na ktoré sa toto opatrenie vzťahuje, a obdobie jeho uplatňovania nepresahuje deväť mesiacov.</w:t>
      </w:r>
    </w:p>
    <w:p>
      <w:pPr>
        <w:pStyle w:val="Normal1"/>
        <w:ind w:left="720"/>
        <w:jc w:val="both"/>
        <w:rPr>
          <w:noProof/>
        </w:rPr>
      </w:pPr>
      <w:r>
        <w:rPr>
          <w:noProof/>
        </w:rPr>
        <w:lastRenderedPageBreak/>
        <w:t>2. Členský štát, ktorý chce zaviesť osobitné opatrenie mechanizmu rýchlej reakcie stanovené v odseku 1, zašle oznámenie Komisii, pričom použije štandardizovaný formulár stanovený v súlade s odsekom 4, a zároveň ho zašle aj ostatným členským štátom. Členský štát poskytne Komisii informácie o príslušnom sektore, druhu a charakteristických znakoch podvodu, o existujúcich závažných dôvodoch naliehavosti, neočakávanom a rozsiahlom charaktere podvodu a jeho dôsledkoch spočívajúcich v značných a nenapraviteľných finančných stratách. Ak Komisia usúdi, že nemá k dispozícii všetky potrebné údaje, do dvoch týždňov od prijatia oznámenia kontaktuje dotknutý členský štát a uvedie, ktoré dodatočné informácie požaduje. Každá dodatočná informácia, ktorú Komisii poskytne dotknutý členský štát, sa zároveň zašle aj ostatným členským štátom. Ak poskytnuté dodatočné informácie nie sú postačujúce, Komisia o tom daný členských štát informuje do jedného týždňa.</w:t>
      </w:r>
    </w:p>
    <w:p>
      <w:pPr>
        <w:pStyle w:val="Normal1"/>
        <w:ind w:left="720"/>
        <w:jc w:val="both"/>
        <w:rPr>
          <w:noProof/>
        </w:rPr>
      </w:pPr>
      <w:r>
        <w:rPr>
          <w:noProof/>
        </w:rPr>
        <w:t>Členský štát, ktorý si želá zaviesť osobitné opatrenie mechanizmu rýchlej reakcie, ako sa stanovuje v odseku 1 tohto článku, musí zároveň podať žiadosť Komisii v súlade s postupom stanoveným v článku 395 ods. 2 a 3.</w:t>
      </w:r>
    </w:p>
    <w:p>
      <w:pPr>
        <w:pStyle w:val="Normal1"/>
        <w:ind w:left="720"/>
        <w:jc w:val="both"/>
        <w:rPr>
          <w:noProof/>
        </w:rPr>
      </w:pPr>
      <w:r>
        <w:rPr>
          <w:noProof/>
        </w:rPr>
        <w:t>V naliehavých prípadoch potreby uvedených v odseku 1 tohto článku sa postup stanovený v článku 395 ods. 2 a 3 dokončí do šiestich mesiacov od dátumu doručenia žiadosti Komisii.</w:t>
      </w:r>
    </w:p>
    <w:p>
      <w:pPr>
        <w:pStyle w:val="Normal1"/>
        <w:ind w:left="720"/>
        <w:jc w:val="both"/>
        <w:rPr>
          <w:noProof/>
        </w:rPr>
      </w:pPr>
      <w:r>
        <w:rPr>
          <w:noProof/>
        </w:rPr>
        <w:t>3. Len čo má Komisia k dispozícii všetky informácie, ktoré považuje za potrebné na posúdenie oznámenia uvedeného v prvom pododseku odseku 2, informuje o tom členské štáty. V prípade, že vznesie námietku voči osobitnému opatreniu mechanizmu rýchlej reakcie, vypracuje do jedného mesiaca od doručenia oznámenia záporné stanovisko a informuje o tom dotknutý členský štát a výbor pre DPH. V prípade, že sa Komisia rozhodne nevzniesť námietky, potvrdí to písomne v rovnakej lehote dotknutému členskému štátu i výboru pre DPH. Členský štát môže prijať osobitné opatrenie mechanizmu rýchlej reakcie odo dňa obdržania tohto potvrdenia. Komisia pri hodnotení oznámenia vezme do úvahy názory akéhokoľvek iného členského štátu, ktoré sa jej zašlú písomne.</w:t>
      </w:r>
    </w:p>
    <w:p>
      <w:pPr>
        <w:pStyle w:val="Normal1"/>
        <w:ind w:left="720"/>
        <w:jc w:val="both"/>
        <w:rPr>
          <w:noProof/>
        </w:rPr>
      </w:pPr>
      <w:r>
        <w:rPr>
          <w:noProof/>
        </w:rPr>
        <w:t>4. Komisia prijme vykonávací akt, ktorým sa stanoví štandardizovaný formulár na zaslanie oznámenia o osobitnom opatrení mechanizmu rýchlej reakcie uvedený v odseku 2 a informácií uvedených v prvom pododseku odseku 2. Uvedený vykonávací akt sa prijme v súlade s postupom preskúmania uvedeným v odseku 5.</w:t>
      </w:r>
    </w:p>
    <w:p>
      <w:pPr>
        <w:pStyle w:val="Normal1"/>
        <w:ind w:left="720"/>
        <w:jc w:val="both"/>
        <w:rPr>
          <w:noProof/>
        </w:rPr>
      </w:pPr>
      <w:r>
        <w:rPr>
          <w:noProof/>
        </w:rPr>
        <w:t>5. Ak sa odkazuje na tento odsek, uplatňuje sa článok 5 nariadenia Európskeho parlamentu a Rady (EÚ) č. 182/2011(*) a na tento účel je výborom výbor zriadený podľa článku 58 nariadenia Rady (EÚ) č. 904/2010(**).</w:t>
      </w:r>
    </w:p>
    <w:p>
      <w:pPr>
        <w:pStyle w:val="Normal1"/>
        <w:ind w:left="720"/>
        <w:rPr>
          <w:noProof/>
        </w:rPr>
      </w:pPr>
      <w:r>
        <w:rPr>
          <w:noProof/>
        </w:rPr>
        <w:t>6. Osobitné opatrenie mechanizmu rýchlej reakcie stanovené v odseku 1 sa uplatňuje do 30. júna 2022.“;</w:t>
      </w:r>
    </w:p>
    <w:p>
      <w:pPr>
        <w:pStyle w:val="Normal1"/>
        <w:ind w:left="850"/>
        <w:rPr>
          <w:noProof/>
        </w:rPr>
      </w:pPr>
      <w:r>
        <w:rPr>
          <w:noProof/>
        </w:rPr>
        <w:t>__________</w:t>
      </w:r>
    </w:p>
    <w:p>
      <w:pPr>
        <w:pStyle w:val="Normal1"/>
        <w:ind w:left="850"/>
        <w:rPr>
          <w:noProof/>
        </w:rPr>
      </w:pPr>
      <w:r>
        <w:rPr>
          <w:noProof/>
        </w:rPr>
        <w:tab/>
        <w:t xml:space="preserve">(*) Nariadenie Európskeho parlamentu a Rady (EÚ) č. 182/2011 zo 16. februára 2011, ktorým sa ustanovujú pravidlá a všeobecné zásady mechanizmu, na základe ktorého členské štáty kontrolujú vykonávanie vykonávacích právomocí </w:t>
      </w:r>
      <w:r>
        <w:rPr>
          <w:noProof/>
        </w:rPr>
        <w:lastRenderedPageBreak/>
        <w:t>Komisie (</w:t>
      </w:r>
      <w:hyperlink r:id="rId18">
        <w:r>
          <w:rPr>
            <w:rStyle w:val="Hyperlink"/>
            <w:noProof/>
          </w:rPr>
          <w:t>Ú. v. EÚ L 55, 28.2.2011, s. 13</w:t>
        </w:r>
      </w:hyperlink>
      <w:r>
        <w:rPr>
          <w:noProof/>
        </w:rPr>
        <w:t>).</w:t>
      </w:r>
    </w:p>
    <w:p>
      <w:pPr>
        <w:pStyle w:val="Normal1"/>
        <w:ind w:left="850"/>
        <w:rPr>
          <w:noProof/>
        </w:rPr>
      </w:pPr>
      <w:r>
        <w:rPr>
          <w:noProof/>
        </w:rPr>
        <w:tab/>
        <w:t>(**) Nariadenie Rady (EÚ) č. 904/2010 zo 7. októbra 2010 o administratívnej spolupráci a boji proti podvodom v oblasti dane z pridanej hodnoty (</w:t>
      </w:r>
      <w:hyperlink r:id="rId19">
        <w:r>
          <w:rPr>
            <w:rStyle w:val="Hyperlink"/>
            <w:noProof/>
          </w:rPr>
          <w:t>Ú. v. EÚ L 268, 12.10.2010, s. 1</w:t>
        </w:r>
      </w:hyperlink>
      <w:r>
        <w:rPr>
          <w:noProof/>
        </w:rPr>
        <w:t>).‘;</w:t>
      </w:r>
    </w:p>
    <w:p>
      <w:pPr>
        <w:pStyle w:val="Point0"/>
        <w:rPr>
          <w:noProof/>
        </w:rPr>
      </w:pPr>
      <w:r>
        <w:rPr>
          <w:noProof/>
        </w:rPr>
        <w:t>3.</w:t>
      </w:r>
      <w:r>
        <w:rPr>
          <w:noProof/>
        </w:rPr>
        <w:tab/>
        <w:t>V článku 395 sa vypúšťa odsek 5.</w:t>
      </w:r>
    </w:p>
    <w:p>
      <w:pPr>
        <w:pStyle w:val="Titrearticle"/>
        <w:rPr>
          <w:noProof/>
        </w:rPr>
      </w:pPr>
      <w:r>
        <w:rPr>
          <w:noProof/>
        </w:rPr>
        <w:t>Článok 2</w:t>
      </w:r>
    </w:p>
    <w:p>
      <w:pPr>
        <w:rPr>
          <w:noProof/>
        </w:rPr>
      </w:pPr>
      <w:r>
        <w:rPr>
          <w:noProof/>
        </w:rPr>
        <w:t>Táto smernica nadobúda účinnosť dvadsiatym dňom po jej uverejnení v </w:t>
      </w:r>
      <w:r>
        <w:rPr>
          <w:i/>
          <w:noProof/>
        </w:rPr>
        <w:t>Úradnom vestníku Európskej únie</w:t>
      </w:r>
      <w:r>
        <w:rPr>
          <w:noProof/>
        </w:rPr>
        <w:t>.</w:t>
      </w:r>
    </w:p>
    <w:p>
      <w:pPr>
        <w:pStyle w:val="Titrearticle"/>
        <w:rPr>
          <w:noProof/>
          <w:color w:val="000000" w:themeColor="text1"/>
        </w:rPr>
      </w:pPr>
      <w:r>
        <w:rPr>
          <w:noProof/>
        </w:rPr>
        <w:t>Článok 3</w:t>
      </w:r>
    </w:p>
    <w:p>
      <w:pPr>
        <w:rPr>
          <w:noProof/>
        </w:rPr>
      </w:pPr>
      <w:r>
        <w:rPr>
          <w:noProof/>
        </w:rPr>
        <w:t>Táto smernica je určená členským štátom.</w:t>
      </w:r>
    </w:p>
    <w:p>
      <w:pPr>
        <w:pStyle w:val="Fait"/>
        <w:rPr>
          <w:noProof/>
        </w:rPr>
      </w:pPr>
      <w:r>
        <w:t>V Bruseli</w:t>
      </w:r>
    </w:p>
    <w:p>
      <w:pPr>
        <w:pStyle w:val="Institutionquisigne"/>
        <w:rPr>
          <w:noProof/>
        </w:rPr>
      </w:pPr>
      <w:r>
        <w:rPr>
          <w:noProof/>
        </w:rPr>
        <w:tab/>
        <w:t>Za Radu</w:t>
      </w:r>
    </w:p>
    <w:p>
      <w:pPr>
        <w:pStyle w:val="Personnequisigne"/>
        <w:rPr>
          <w:noProof/>
        </w:rPr>
      </w:pPr>
      <w:r>
        <w:rPr>
          <w:noProof/>
        </w:rPr>
        <w:tab/>
        <w:t>predseda</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Smernica Rady 2006/112/ES z 28. novembra 2006 o spoločnom systéme dane z pridanej hodnoty (Ú. v. EÚ L 347, 11.12.2006, s. 1).</w:t>
      </w:r>
    </w:p>
  </w:footnote>
  <w:footnote w:id="2">
    <w:p>
      <w:pPr>
        <w:pStyle w:val="FootnoteText"/>
      </w:pPr>
      <w:r>
        <w:rPr>
          <w:rStyle w:val="FootnoteReference"/>
        </w:rPr>
        <w:footnoteRef/>
      </w:r>
      <w:r>
        <w:tab/>
        <w:t xml:space="preserve">Všeobecne platí, že v článku 193 smernice o DPH sa stanovuje, že zdaniteľná osoba dodávajúca tovar alebo poskytujúca služby je povinná platiť DPH. Odchylne od tohto systému rozdelenej platby mechanizmus prenesenia daňovej povinnosti umožňuje určiť príjemcu (zdaniteľnú osobu) dodania ako osobu povinnú platiť DPH. </w:t>
      </w:r>
    </w:p>
  </w:footnote>
  <w:footnote w:id="3">
    <w:p>
      <w:pPr>
        <w:pStyle w:val="FootnoteText"/>
      </w:pPr>
      <w:r>
        <w:rPr>
          <w:rStyle w:val="FootnoteReference"/>
        </w:rPr>
        <w:footnoteRef/>
      </w:r>
      <w:r>
        <w:tab/>
      </w:r>
      <w:r>
        <w:rPr>
          <w:rStyle w:val="FootnoteTextChar"/>
          <w:lang w:val="sk-SK"/>
        </w:rPr>
        <w:t xml:space="preserve">Zavedený smernicou Rady 2013/43/EÚ z 22. júla 2013, ktorou sa mení smernica 2006/112/ES o spoločnom systéme dane z pridanej hodnoty, pokiaľ ide o voliteľné a dočasné uplatňovanie mechanizmu prenesenia daňovej povinnosti v súvislosti s dodaním určitého tovaru a poskytovaním určitých služieb, ktoré sú náchylné na podvod (Ú. v. EÚ L 201, 26.7.2013, s. 4). </w:t>
      </w:r>
    </w:p>
  </w:footnote>
  <w:footnote w:id="4">
    <w:p>
      <w:pPr>
        <w:pStyle w:val="FootnoteText"/>
      </w:pPr>
      <w:r>
        <w:rPr>
          <w:rStyle w:val="FootnoteReference"/>
        </w:rPr>
        <w:footnoteRef/>
      </w:r>
      <w:r>
        <w:tab/>
        <w:t xml:space="preserve">Zavedený smernicou Rady 2013/42/EÚ z 22. júla 2013, ktorou sa mení smernica 2006/112/ES o spoločnom systéme dane z pridanej hodnoty, pokiaľ ide o mechanizmus rýchlej reakcie proti podvodom v oblasti DPH (Ú. v. EÚ L 201, 26.7.2013, s. 1). </w:t>
      </w:r>
    </w:p>
  </w:footnote>
  <w:footnote w:id="5">
    <w:p>
      <w:pPr>
        <w:pStyle w:val="FootnoteText"/>
      </w:pPr>
      <w:r>
        <w:rPr>
          <w:rStyle w:val="FootnoteReference"/>
        </w:rPr>
        <w:footnoteRef/>
      </w:r>
      <w:r>
        <w:tab/>
        <w:t xml:space="preserve">Pokiaľ ide o MRR, pozri článok 2 smernice Rady 2013/42/EÚ. </w:t>
      </w:r>
    </w:p>
  </w:footnote>
  <w:footnote w:id="6">
    <w:p>
      <w:pPr>
        <w:pStyle w:val="FootnoteText"/>
      </w:pPr>
      <w:r>
        <w:rPr>
          <w:rStyle w:val="FootnoteReference"/>
        </w:rPr>
        <w:footnoteRef/>
      </w:r>
      <w:r>
        <w:tab/>
        <w:t xml:space="preserve">Správa Komisie Rade a Európskemu parlamentu o vplyve článkov 199a a 199b smernice Rady 2006/112/ES na boj proti podvodom, COM(2018) 118/2. </w:t>
      </w:r>
    </w:p>
  </w:footnote>
  <w:footnote w:id="7">
    <w:p>
      <w:pPr>
        <w:pStyle w:val="FootnoteText"/>
      </w:pPr>
      <w:r>
        <w:rPr>
          <w:rStyle w:val="FootnoteReference"/>
        </w:rPr>
        <w:footnoteRef/>
      </w:r>
      <w:r>
        <w:tab/>
        <w:t xml:space="preserve">Skupina odborníkov v oblasti DPH pomáha a radí Európskej komisii v záležitostiach týkajúcich sa DPH. Túto skupinu tvoria jednotlivci menovaní na základe osobnej spôsobilosti, ktorí musia byť odborníkmi v oblasti DPH, a organizácie zastupujúce najmä podniky a daňových špecialistov, ktorí môžu pomôcť pri tvorbe a vykonávaní politík v oblasti DPH. </w:t>
      </w:r>
    </w:p>
  </w:footnote>
  <w:footnote w:id="8">
    <w:p>
      <w:pPr>
        <w:pStyle w:val="FootnoteText"/>
      </w:pPr>
      <w:r>
        <w:rPr>
          <w:rStyle w:val="FootnoteReference"/>
        </w:rPr>
        <w:footnoteRef/>
      </w:r>
      <w:r>
        <w:tab/>
        <w:t xml:space="preserve">K jednotnému priestoru EÚ v oblasti DPH – čas konať. Zmenený návrh nariadenia Rady, </w:t>
      </w:r>
    </w:p>
    <w:p>
      <w:pPr>
        <w:pStyle w:val="FootnoteText"/>
        <w:ind w:firstLine="0"/>
      </w:pPr>
      <w:r>
        <w:t xml:space="preserve">ktorým sa mení nariadenie (EÚ) č. 904/2010, pokiaľ ide o opatrenia na posilnenie administratívnej spolupráce v oblasti dane z pridanej hodnoty, COM(2017) 706 final. </w:t>
      </w:r>
    </w:p>
  </w:footnote>
  <w:footnote w:id="9">
    <w:p>
      <w:pPr>
        <w:pStyle w:val="FootnoteText"/>
      </w:pPr>
      <w:r>
        <w:rPr>
          <w:rStyle w:val="FootnoteReference"/>
        </w:rPr>
        <w:footnoteRef/>
      </w:r>
      <w:r>
        <w:tab/>
      </w:r>
      <w:r>
        <w:rPr>
          <w:rStyle w:val="FootnoteTextChar"/>
          <w:lang w:val="sk-SK"/>
        </w:rPr>
        <w:t>Návrh smernice Rady, ktorou sa mení smernica 2006/112/ES, pokiaľ ide o harmonizáciu a zjednodušenie určitých pravidiel v systéme dane z pridanej hodnoty, a ktorou sa zavádza konečný systém zdaňovania obchodu medzi členskými štátmi, COM(2017) 569 final</w:t>
      </w:r>
      <w:r>
        <w:t xml:space="preserve">. </w:t>
      </w:r>
    </w:p>
  </w:footnote>
  <w:footnote w:id="10">
    <w:p>
      <w:pPr>
        <w:pStyle w:val="FootnoteText"/>
        <w:rPr>
          <w:rStyle w:val="FootnoteTextChar"/>
          <w:lang w:val="sk-SK"/>
        </w:rPr>
      </w:pPr>
      <w:r>
        <w:rPr>
          <w:rStyle w:val="FootnoteReference"/>
        </w:rPr>
        <w:footnoteRef/>
      </w:r>
      <w:r>
        <w:tab/>
      </w:r>
      <w:r>
        <w:rPr>
          <w:rStyle w:val="FootnoteTextChar"/>
          <w:lang w:val="sk-SK"/>
        </w:rPr>
        <w:t xml:space="preserve">Návrh smernice Rady, ktorou sa mení smernica 2006/112/ES o spoločnom systéme dane z pridanej hodnoty, pokiaľ ide o dočasné uplatňovanie všeobecného mechanizmu prenesenia daňovej povinnosti v súvislosti s dodávaním tovaru a poskytovaním služieb presahujúcich určitú hranicu, COM(2016) 811 final. </w:t>
      </w:r>
    </w:p>
  </w:footnote>
  <w:footnote w:id="11">
    <w:p>
      <w:pPr>
        <w:pStyle w:val="FootnoteText"/>
      </w:pPr>
      <w:r>
        <w:rPr>
          <w:rStyle w:val="FootnoteReference"/>
        </w:rPr>
        <w:footnoteRef/>
      </w:r>
      <w:r>
        <w:tab/>
        <w:t>EY, 2014.</w:t>
      </w:r>
    </w:p>
  </w:footnote>
  <w:footnote w:id="12">
    <w:p>
      <w:pPr>
        <w:pStyle w:val="FootnoteText"/>
        <w:rPr>
          <w:rStyle w:val="FootnoteTextChar"/>
          <w:lang w:val="sk-SK"/>
        </w:rPr>
      </w:pPr>
      <w:r>
        <w:rPr>
          <w:rStyle w:val="FootnoteReference"/>
        </w:rPr>
        <w:footnoteRef/>
      </w:r>
      <w:r>
        <w:tab/>
      </w:r>
      <w:r>
        <w:rPr>
          <w:rStyle w:val="FootnoteTextChar"/>
          <w:lang w:val="sk-SK"/>
        </w:rPr>
        <w:t>Posúdenie vplyvu k návrhu, pokiaľ ide o dočasné uplatňovanie všeobecného mechanizmu prenesenia daňovej povinnosti v súvislosti s dodávaním tovaru a poskytovaním služieb presahujúcich určitú hranicu, SWD(2016) 457.</w:t>
      </w:r>
    </w:p>
  </w:footnote>
  <w:footnote w:id="13">
    <w:p>
      <w:pPr>
        <w:pStyle w:val="FootnoteText"/>
      </w:pPr>
      <w:r>
        <w:rPr>
          <w:rStyle w:val="FootnoteReference"/>
        </w:rPr>
        <w:footnoteRef/>
      </w:r>
      <w:r>
        <w:tab/>
        <w:t>Ú. v. EÚ C , , s. .</w:t>
      </w:r>
    </w:p>
  </w:footnote>
  <w:footnote w:id="14">
    <w:p>
      <w:pPr>
        <w:pStyle w:val="FootnoteText"/>
      </w:pPr>
      <w:r>
        <w:rPr>
          <w:rStyle w:val="FootnoteReference"/>
        </w:rPr>
        <w:footnoteRef/>
      </w:r>
      <w:r>
        <w:tab/>
        <w:t>Ú. v. EÚ C , , s. .</w:t>
      </w:r>
    </w:p>
  </w:footnote>
  <w:footnote w:id="15">
    <w:p>
      <w:pPr>
        <w:pStyle w:val="FootnoteText"/>
      </w:pPr>
      <w:r>
        <w:rPr>
          <w:rStyle w:val="FootnoteReference"/>
        </w:rPr>
        <w:footnoteRef/>
      </w:r>
      <w:r>
        <w:tab/>
        <w:t xml:space="preserve">Smernica Rady 2006/112/ES z 28. novembra 2006 o spoločnom systéme dane z pridanej hodnoty (Ú. v. EÚ L 347, 11.12.2006, s. 1). </w:t>
      </w:r>
    </w:p>
  </w:footnote>
  <w:footnote w:id="16">
    <w:p>
      <w:pPr>
        <w:pStyle w:val="FootnoteText"/>
      </w:pPr>
      <w:r>
        <w:rPr>
          <w:rStyle w:val="FootnoteReference"/>
        </w:rPr>
        <w:footnoteRef/>
      </w:r>
      <w:r>
        <w:tab/>
        <w:t xml:space="preserve">Smernica Rady 2013/42/EÚ z 22. júla 2013, ktorou sa mení smernica 2006/112/ES o spoločnom systéme dane z pridanej hodnoty, pokiaľ ide o mechanizmus rýchlej reakcie proti podvodom v oblasti DPH (Ú. v. EÚ L 201, 26.7.2013, s. 1). </w:t>
      </w:r>
    </w:p>
    <w:p>
      <w:pPr>
        <w:pStyle w:val="FootnoteText"/>
      </w:pPr>
    </w:p>
  </w:footnote>
  <w:footnote w:id="17">
    <w:p>
      <w:pPr>
        <w:pStyle w:val="FootnoteText"/>
      </w:pPr>
      <w:r>
        <w:rPr>
          <w:rStyle w:val="FootnoteReference"/>
        </w:rPr>
        <w:footnoteRef/>
      </w:r>
      <w:r>
        <w:tab/>
        <w:t xml:space="preserve">Správa Komisie Rade a Európskemu parlamentu o vplyve článkov 199a a 199b smernice Rady 2006/112/ES na boj proti podvodom, COM(2018) 118 z 8. marca 2018.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60E4B9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5C2F3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D3F0319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B0E15D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FDE051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4CA05A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87A6610"/>
    <w:lvl w:ilvl="0">
      <w:start w:val="1"/>
      <w:numFmt w:val="decimal"/>
      <w:pStyle w:val="ListNumber"/>
      <w:lvlText w:val="%1."/>
      <w:lvlJc w:val="left"/>
      <w:pPr>
        <w:tabs>
          <w:tab w:val="num" w:pos="360"/>
        </w:tabs>
        <w:ind w:left="360" w:hanging="360"/>
      </w:pPr>
    </w:lvl>
  </w:abstractNum>
  <w:abstractNum w:abstractNumId="7">
    <w:nsid w:val="FFFFFF89"/>
    <w:multiLevelType w:val="singleLevel"/>
    <w:tmpl w:val="78A2846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docVars>
    <w:docVar w:name="DQCDateTime" w:val="2018-05-25 17:21:2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5"/>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15"/>
    <w:docVar w:name="DQCStatus" w:val="Green"/>
    <w:docVar w:name="DQCVersion" w:val="3"/>
    <w:docVar w:name="DQCWithWarnings" w:val="0"/>
    <w:docVar w:name="LW_CORRIGENDUM" w:val="&lt;UNUSED&gt;"/>
    <w:docVar w:name="LW_COVERPAGE_EXISTS" w:val="True"/>
    <w:docVar w:name="LW_COVERPAGE_GUID" w:val="5E8F44C1-387C-47E1-B4F8-CD5EBE078972"/>
    <w:docVar w:name="LW_COVERPAGE_TYPE" w:val="1"/>
    <w:docVar w:name="LW_CROSSREFERENCE" w:val="&lt;UNUSED&gt;"/>
    <w:docVar w:name="LW_DocType" w:val="COM"/>
    <w:docVar w:name="LW_EMISSION" w:val="25. 5. 2018"/>
    <w:docVar w:name="LW_EMISSION_ISODATE" w:val="2018-05-25"/>
    <w:docVar w:name="LW_EMISSION_LOCATION" w:val="BRX"/>
    <w:docVar w:name="LW_EMISSION_PREFIX" w:val="V Bruseli"/>
    <w:docVar w:name="LW_EMISSION_SUFFIX" w:val="&lt;EMPTY&gt;"/>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CNS"/>
    <w:docVar w:name="LW_REF.II.NEW.CP_NUMBER" w:val="0150"/>
    <w:docVar w:name="LW_REF.II.NEW.CP_YEAR" w:val="2018"/>
    <w:docVar w:name="LW_REF.INST.NEW" w:val="COM"/>
    <w:docVar w:name="LW_REF.INST.NEW_ADOPTED" w:val="final"/>
    <w:docVar w:name="LW_REF.INST.NEW_TEXT" w:val="(2018) 29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Návrh"/>
    <w:docVar w:name="LW_SUPERTITRE" w:val="&lt;UNUSED&gt;"/>
    <w:docVar w:name="LW_TITRE.OBJ.CP" w:val="ktorou sa mení smernica 2006/112/ES o spolo\u269?nom systéme dane z pridanej hodnoty, pokia\u318? ide o obdobie uplat\u328?ovania volite\u318?ného mechanizmu prenesenia da\u328?ovej povinnosti v súvislosti s dodaním ur\u269?itého tovaru a poskytovaním ur\u269?itých slu\u382?ieb, ktoré sú náchylné na podvod, a mechanizmu rýchlej reakcie proti podvodom v oblasti DPH"/>
    <w:docVar w:name="LW_TYPE.DOC.CP" w:val="SMERNICA RADY,"/>
  </w:docVar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iPriority w:val="99"/>
    <w:unhideWhenUsed/>
    <w:rPr>
      <w:color w:val="0000FF"/>
      <w:u w:val="single"/>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DocumentMap">
    <w:name w:val="Document Map"/>
    <w:basedOn w:val="Normal"/>
    <w:link w:val="DocumentMapChar"/>
    <w:uiPriority w:val="99"/>
    <w:semiHidden/>
    <w:unhideWhenUsed/>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lang w:val="sk-SK"/>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9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eur-lex.europa.eu/legal-content/SK/AUTO/?uri=OJ:L:2011:055:T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eur-lex.europa.eu/legal-content/SK/AUTO/?uri=OJ:L:2010:268:TOC"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05E2B-1F98-4D46-8766-5840376C7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10</Pages>
  <Words>2918</Words>
  <Characters>17247</Characters>
  <Application>Microsoft Office Word</Application>
  <DocSecurity>0</DocSecurity>
  <Lines>297</Lines>
  <Paragraphs>106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2018-04-24T10:25:00Z</cp:lastPrinted>
  <dcterms:created xsi:type="dcterms:W3CDTF">2018-05-24T07:29:00Z</dcterms:created>
  <dcterms:modified xsi:type="dcterms:W3CDTF">2018-05-25T15:21:00Z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DQCStatus">
    <vt:lpwstr>Green (DQC version 03)</vt:lpwstr>
  </property>
</Properties>
</file>