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4C88E59-9E19-4D89-894A-75DEC2F4D741" style="width:450.7pt;height:37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autoSpaceDE w:val="0"/>
        <w:autoSpaceDN w:val="0"/>
        <w:adjustRightInd w:val="0"/>
        <w:rPr>
          <w:noProof/>
        </w:rPr>
      </w:pPr>
      <w:r>
        <w:rPr>
          <w:noProof/>
        </w:rPr>
        <w:t>Formålet med det aktuelle forslag til direktiv om ændring af Rådets direktiv 2006/112/EF af 28. november 2006 om det fælles merværdiafgiftssystem</w:t>
      </w:r>
      <w:r>
        <w:rPr>
          <w:rStyle w:val="FootnoteReference"/>
          <w:noProof/>
        </w:rPr>
        <w:footnoteReference w:id="1"/>
      </w:r>
      <w:r>
        <w:rPr>
          <w:noProof/>
        </w:rPr>
        <w:t xml:space="preserve"> (herefter "momsdirektivet") er at forlænge: 1) medlemsstaternes mulighed for at anvende ordningen for omvendt betalingspligt</w:t>
      </w:r>
      <w:r>
        <w:rPr>
          <w:rStyle w:val="FootnoteReference"/>
          <w:noProof/>
        </w:rPr>
        <w:footnoteReference w:id="2"/>
      </w:r>
      <w:r>
        <w:rPr>
          <w:noProof/>
        </w:rPr>
        <w:t xml:space="preserve"> for at bekæmpe eksisterende svig i forbindelse med levering af varer og ydelser, som anført i momsdirektivets artikel 199a, stk. 1, og 2) muligheden for at anvende den hurtige reaktionsmekanisme ("HRM") til bekæmpelse af svig. </w:t>
      </w:r>
    </w:p>
    <w:p>
      <w:pPr>
        <w:rPr>
          <w:noProof/>
          <w:szCs w:val="20"/>
        </w:rPr>
      </w:pPr>
      <w:r>
        <w:rPr>
          <w:noProof/>
        </w:rPr>
        <w:t>Momsdirektivets artikel 199a</w:t>
      </w:r>
      <w:r>
        <w:rPr>
          <w:rStyle w:val="FootnoteReference"/>
          <w:noProof/>
        </w:rPr>
        <w:footnoteReference w:id="3"/>
      </w:r>
      <w:r>
        <w:rPr>
          <w:noProof/>
        </w:rPr>
        <w:t xml:space="preserve"> giver medlemsstaterne mulighed for at anvende ordningen for omvendt betalingspligt i forbindelse med betaling af moms på leveringer af foruddefinerede varer eller ydelser, der kan være udsat for svig og især svig i forbindelse med forsvundne forhandlere inden for Fællesskabet (MTIC-svig). </w:t>
      </w:r>
    </w:p>
    <w:p>
      <w:pPr>
        <w:autoSpaceDE w:val="0"/>
        <w:autoSpaceDN w:val="0"/>
        <w:adjustRightInd w:val="0"/>
        <w:rPr>
          <w:noProof/>
        </w:rPr>
      </w:pPr>
      <w:r>
        <w:rPr>
          <w:noProof/>
        </w:rPr>
        <w:t>Hvis en medlemsstat ønsker at anvende ordningen for omvendt betalingspligt på andre leveringer end dem, der er opført i momsdirektivets artikel 199a, kan der i henhold til momsdirektivets artikel 395 indrømmes en undtagelse for at forenkle afgiftsopkrævningen eller for at forhindre visse former for momsunddragelse eller momsundgåelse. Vedtagelsen af denne undtagelse på grundlag af denne artikel kræver dog et forslag fra Kommissionen og enstemmig vedtagelse af Rådet, hvilket er en proces, der kan tage flere måneder (højst otte måneder i henhold til momsdirektivets artikel 395). I tilfælde, hvor en medlemsstat pludselig står over for grov svig, kan varigheden af proceduren for at opnå en undtagelse på grundlag af artikel 395 medføre store tab af momsindtægter. Den hurtige reaktionsmekanisme i momsdirektivets artikel 199b</w:t>
      </w:r>
      <w:r>
        <w:rPr>
          <w:rStyle w:val="FootnoteReference"/>
          <w:noProof/>
        </w:rPr>
        <w:footnoteReference w:id="4"/>
      </w:r>
      <w:r>
        <w:rPr>
          <w:noProof/>
        </w:rPr>
        <w:t xml:space="preserve"> indeholder en hurtigere procedure for under visse strenge betingelser at give medlemsstaterne tilladelse til at indføre ordningen for omvendt betalingspligt og giver dermed medlemsstaterne mulighed for at reagere mere forholdsmæssigt og effektivt på pludselig opstået, grov svig. </w:t>
      </w:r>
    </w:p>
    <w:p>
      <w:pPr>
        <w:autoSpaceDE w:val="0"/>
        <w:autoSpaceDN w:val="0"/>
        <w:adjustRightInd w:val="0"/>
        <w:rPr>
          <w:noProof/>
        </w:rPr>
      </w:pPr>
      <w:r>
        <w:rPr>
          <w:noProof/>
        </w:rPr>
        <w:t>Formålet med de foranstaltninger, der indføres ved artikel 199a og 199b, er at give medlemsstaterne mulighed for hurtigt at løse problemer med MTIC-svig: i artikel 199a i form af en mulighed for at anvende ordningen for omvendt betalingspligt for de nævnte leveringer og i artikel 199b ved at indføre en hurtigere procedure for indførelse af omvendt betalingspligt i tilfælde af pludselig opstået, grov svig. Begge artikler udløber den 31. december 2018</w:t>
      </w:r>
      <w:r>
        <w:rPr>
          <w:rStyle w:val="FootnoteReference"/>
          <w:noProof/>
        </w:rPr>
        <w:footnoteReference w:id="5"/>
      </w:r>
      <w:r>
        <w:rPr>
          <w:noProof/>
        </w:rPr>
        <w:t xml:space="preserve">. </w:t>
      </w:r>
    </w:p>
    <w:p>
      <w:pPr>
        <w:autoSpaceDE w:val="0"/>
        <w:autoSpaceDN w:val="0"/>
        <w:adjustRightInd w:val="0"/>
        <w:rPr>
          <w:noProof/>
        </w:rPr>
      </w:pPr>
      <w:r>
        <w:rPr>
          <w:noProof/>
        </w:rPr>
        <w:t xml:space="preserve">MTIC-svig opstår, når en erhvervsdrivende erhverver varer, der transporteres eller forsendes fra en anden medlemsstat, hvor leveringen er momsfritaget, og videresælger dem til kunden </w:t>
      </w:r>
      <w:r>
        <w:rPr>
          <w:noProof/>
        </w:rPr>
        <w:lastRenderedPageBreak/>
        <w:t xml:space="preserve">med moms på fakturaen. Efter at have modtaget momsbeløbet fra kunden forsvinder disse erhvervsdrivende uden at betale den skyldige moms til skattevæsenet. Samtidig kan kunden, hvad enten han handler i god tro eller ej, via sin momsangivelse fratrække den moms, han har betalt til leverandøren. Ordningen for omvendt betalingspligt i henhold til momsdirektivets artikel 199a synes at være et nyttigt og forebyggende redskab for medlemsstaterne til at bekæmpe denne form for svig i de foruddefinerede følsomme områder, når den forekommer på deres område. Når den erhvervsdrivende er forpligtet til at anvende omvendt betalingspligt for indenlandske leveringer, kan han ikke opkræve moms på sin faktura. Han modtager dermed ikke momsbeløbet fra sin kunde, og derfor kan han ikke forsvinde med den moms, han har modtaget. Den hurtige reaktionsmekanisme i artikel 199b er en særlig foranstaltning, der giver medlemsstaterne mulighed for hurtigt at indføre en midlertidig ordning for omvendt betalingspligt på leveringer af varer og tjenesteydelser i sektorer, hvor der pludselig er opstået grov svig, og på leveringer, som ikke er anført i artikel momsdirektivets 199a. Ved hjælp af denne mekanisme kan medlemsstaterne slå bro over den periode, der kræves for at opnå den normale undtagelse i henhold til momsdirektivets artikel 395. </w:t>
      </w:r>
    </w:p>
    <w:p>
      <w:pPr>
        <w:rPr>
          <w:noProof/>
          <w:szCs w:val="24"/>
        </w:rPr>
      </w:pPr>
      <w:r>
        <w:rPr>
          <w:noProof/>
        </w:rPr>
        <w:t>Som krævet i momsdirektivet fremlagde Kommissionen en rapport om virkningerne af ordningerne i momsdirektivets</w:t>
      </w:r>
      <w:r>
        <w:rPr>
          <w:rStyle w:val="FootnoteReference"/>
          <w:noProof/>
        </w:rPr>
        <w:footnoteReference w:id="6"/>
      </w:r>
      <w:r>
        <w:rPr>
          <w:noProof/>
        </w:rPr>
        <w:t xml:space="preserve"> artikel 199a og 199b. Ved udarbejdelsen af denne rapport blev medlemsstaterne opfordret til at fremlægge deres erfaringer og vurdering af foranstaltningerne. For at sikre, at tilbagemeldinger fra erhvervslivet blev taget med i betragtning, blev de interesserede virksomheder anmodet om at fremkomme med deres synspunkter gennem ekspertgruppen vedrørende moms</w:t>
      </w:r>
      <w:r>
        <w:rPr>
          <w:rStyle w:val="FootnoteReference"/>
          <w:noProof/>
        </w:rPr>
        <w:footnoteReference w:id="7"/>
      </w:r>
      <w:r>
        <w:rPr>
          <w:noProof/>
        </w:rPr>
        <w:t xml:space="preserve">. Medlemsstaterne og de hørte interessenter anser generelt ordningen for omvendt betalingspligt i momsdirektivets artikel 199a for et effektivt midlertidigt redskab til bekæmpelse af momssvig. Med hensyn til den hurtige reaktionsmekanisme i momsdirektivets artikel 199b, mener de fleste medlemsstater, at den fortsat, selv om den aldrig er blevet anvendt i praksis, udgør et nyttigt redskab og en forbyggende foranstaltning mod ekstraordinære tilfælde af momssvig. </w:t>
      </w:r>
    </w:p>
    <w:p>
      <w:pPr>
        <w:rPr>
          <w:noProof/>
          <w:szCs w:val="24"/>
        </w:rPr>
      </w:pPr>
      <w:r>
        <w:rPr>
          <w:noProof/>
        </w:rPr>
        <w:t>For nylig fremlagde Kommissionen to lovgivningsforslag, der har til formål at bekæmpe momssvig på en mere grundlæggende måde. Det første er et forslag om administrativt samarbejde og bekæmpelse af svig på momsområdet</w:t>
      </w:r>
      <w:r>
        <w:rPr>
          <w:rStyle w:val="FootnoteReference"/>
          <w:noProof/>
        </w:rPr>
        <w:footnoteReference w:id="8"/>
      </w:r>
      <w:r>
        <w:rPr>
          <w:noProof/>
        </w:rPr>
        <w:t xml:space="preserve">, som vil styrke samarbejdet mellem medlemsstaterne, så de effektivt kan bekæmpe grænseoverskridende svig. </w:t>
      </w:r>
    </w:p>
    <w:p>
      <w:pPr>
        <w:rPr>
          <w:rFonts w:eastAsiaTheme="majorEastAsia"/>
          <w:noProof/>
        </w:rPr>
      </w:pPr>
      <w:r>
        <w:rPr>
          <w:noProof/>
        </w:rPr>
        <w:t>Det andet er et forslag om skitsering af hjørnestenene til et endeligt momssystem inden for Unionen</w:t>
      </w:r>
      <w:r>
        <w:rPr>
          <w:rStyle w:val="FootnoteReference"/>
          <w:noProof/>
        </w:rPr>
        <w:footnoteReference w:id="9"/>
      </w:r>
      <w:r>
        <w:rPr>
          <w:noProof/>
        </w:rPr>
        <w:t>, der er enklere og sikret mod svig. Disse to hjørnesten gennemføres med en totrinstilgang. På det første trin vil Kommissionen i første halvår af 2018 fremlægge et forslag med de nærmere bestemmelser vedrørende anvendelsen af de endelige ordninger for leveringer af varer i forbindelse med samhandelen mellem virksomheder i EU.</w:t>
      </w:r>
    </w:p>
    <w:p>
      <w:pPr>
        <w:rPr>
          <w:noProof/>
          <w:szCs w:val="24"/>
        </w:rPr>
      </w:pPr>
      <w:r>
        <w:rPr>
          <w:noProof/>
        </w:rPr>
        <w:t xml:space="preserve">Disse ordninger, som bør træde i kraft den 1. juli 2022, er en grundlæggende reaktion på MTIC-svig. Eftersom der i praksis ville blive opkrævet moms på leveringer inden for EU, kan en erhvervsdrivende ikke længere erhverve varer, der transporteres eller forsendes fra en </w:t>
      </w:r>
      <w:r>
        <w:rPr>
          <w:noProof/>
        </w:rPr>
        <w:lastRenderedPageBreak/>
        <w:t xml:space="preserve">anden medlemsstat under momsfritagelse, hvilket er roden til MTIC-svig. Kun pålidelige afgiftspligtige personer, som har opnået status som godkendt afgiftspligtig person, vil være i stand til at erhverve varer, der transporteres eller forsendes fra en anden medlemsstat, uden momsopkrævning fra leverandøren. </w:t>
      </w:r>
    </w:p>
    <w:p>
      <w:pPr>
        <w:autoSpaceDE w:val="0"/>
        <w:autoSpaceDN w:val="0"/>
        <w:adjustRightInd w:val="0"/>
        <w:rPr>
          <w:noProof/>
        </w:rPr>
      </w:pPr>
      <w:r>
        <w:rPr>
          <w:noProof/>
        </w:rPr>
        <w:t xml:space="preserve">Ud fra ovenstående lader det til, at foranstaltningerne i momsdirektivets artikel 199a og 199b har været nyttige som midlertidige og målrettede foranstaltninger. Deres udløb den 31. december 2018 ville fratage medlemsstaterne et effektivt redskab til bekæmpelse af svig. </w:t>
      </w:r>
    </w:p>
    <w:p>
      <w:pPr>
        <w:rPr>
          <w:noProof/>
        </w:rPr>
      </w:pPr>
      <w:r>
        <w:rPr>
          <w:noProof/>
        </w:rPr>
        <w:t xml:space="preserve">Det er derfor hensigtsmæssigt at forlænge foranstaltningerne i artikel 199a og 199b indtil den 30. juni 2022, hvilket er datoen, hvorpå den endelige ordning for leveringer af varer i forbindelse med samhandelen mellem virksomheder i EU bør træde i kraft. </w:t>
      </w:r>
    </w:p>
    <w:p>
      <w:pPr>
        <w:rPr>
          <w:rFonts w:eastAsia="Arial Unicode MS"/>
          <w:noProof/>
          <w:szCs w:val="24"/>
        </w:rPr>
      </w:pPr>
      <w:r>
        <w:rPr>
          <w:noProof/>
        </w:rPr>
        <w:t xml:space="preserve">I henhold til momsdirektivets artikel 199a, stk. 1, kan medlemsstaterne anvende omvendt betalingspligt for en periode på mindst to år. </w:t>
      </w:r>
      <w:r>
        <w:rPr>
          <w:noProof/>
          <w:color w:val="000000"/>
        </w:rPr>
        <w:t xml:space="preserve">Kravet om, at foranstaltningen skal anvendes i mindst to år har vist sig at være en hindring for nogle få medlemsstater, der ønskede at indføre ordningen for omvendt betalingspligt i løbet af 2017 for at bekæmpe nyopdagede tilfælde af momssvig i forbindelse med levering af varer og/eller tjenesteydelser, der indgår i tabellen i artikel 199a. De berørte medlemsstater endte med at måtte indgive en anmodning om en undtagelse i henhold til momsdirektivets artikel 395 og efter proceduren i denne artikel, hvilket forsinker medlemsstaternes reaktion på problemet med momssvig. Som følge heraf foreslås det at fjerne kravet om en periode på mindst to år fra bestemmelsen. </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Style w:val="Default"/>
        <w:jc w:val="both"/>
        <w:rPr>
          <w:noProof/>
        </w:rPr>
      </w:pPr>
      <w:r>
        <w:rPr>
          <w:noProof/>
        </w:rPr>
        <w:t>Det aktuelle forslag berører ikke Kommissionens forslag for så vidt angår midlertidig anvendelse af en generel ordning for omvendt betalingspligt</w:t>
      </w:r>
      <w:r>
        <w:rPr>
          <w:rStyle w:val="FootnoteReference"/>
          <w:noProof/>
        </w:rPr>
        <w:footnoteReference w:id="10"/>
      </w:r>
      <w:r>
        <w:rPr>
          <w:noProof/>
        </w:rPr>
        <w:t xml:space="preserve">, hvilket ville give de medlemsstater, der er særligt berørt af svig, mulighed for at indføre en generel (og ikke sektorspecifik) ordning for omvendt betalingspligt ved indenlandske leveringer af varer og tjenesteydelser, forudsat at visse strenge betingelser er opfyldt. Omfanget af og betingelserne for anvendelsen af den generelle ordning for omvendt betalingspligt er forskellige fra betingelserne i momsdirektivets artikel 199a og 199b.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rPr>
      </w:pPr>
      <w:r>
        <w:rPr>
          <w:noProof/>
        </w:rPr>
        <w:t xml:space="preserve">Direktivet ændrer momsdirektivet på grundlag af artikel 113 i traktaten om Den Europæiske Unions funktionsmåde.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Da forslaget forlænger anvendelsen af visse bestemmelser i direktivet, er en ændring af momsdirektivet nødvendig. </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Style w:val="Text1"/>
        <w:ind w:left="0"/>
        <w:rPr>
          <w:noProof/>
        </w:rPr>
      </w:pPr>
      <w:r>
        <w:rPr>
          <w:noProof/>
        </w:rPr>
        <w:t>I overensstemmelse med nærhedsprincippet (artikel 5, stk. 3, i traktaten om Den Europæiske Union) kan der kun handles på EU-niveau, hvis de påtænkte mål ikke i tilstrækkelig grad kan opfyldes af medlemsstaterne alene og bedre kan gennemføres på EU-plan på grund af omfanget eller virkningerne af den foreslåede handling.</w:t>
      </w:r>
    </w:p>
    <w:p>
      <w:pPr>
        <w:pBdr>
          <w:top w:val="nil"/>
          <w:left w:val="nil"/>
          <w:bottom w:val="nil"/>
          <w:right w:val="nil"/>
          <w:between w:val="nil"/>
          <w:bar w:val="nil"/>
        </w:pBdr>
        <w:spacing w:before="0" w:after="240"/>
        <w:rPr>
          <w:rFonts w:eastAsia="Arial Unicode MS"/>
          <w:noProof/>
        </w:rPr>
      </w:pPr>
      <w:r>
        <w:rPr>
          <w:noProof/>
        </w:rPr>
        <w:lastRenderedPageBreak/>
        <w:t xml:space="preserve">Målet om at bekæmpe svig ved hjælp af anvendelsen af ordningen for omvendt betalingspligt og muligheden for at anvende den hurtige reaktionsmekanisme til at bekæmpe pludselig opstået, grov svig kan bedres nås på EU-plan og har sit specifikke retsgrundlag i momsdirektivet. Derfor kræver en forlængelse af disse foranstaltninger en ændring af momsdirektivet. </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På grund de forlængede foranstaltningers fakultative og midlertidige karakter er forslaget forholdsmæssigt afpasset til det tilstræbte formål, som er at bekæmpe svig i forbindelse med visse leveringer af varer og tjenesteydelser og at hjælpe medlemsstaterne med at bekæmpe pludselig opstået, grov momssvig.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color w:val="000000" w:themeColor="text1"/>
        </w:rPr>
      </w:pPr>
      <w:r>
        <w:rPr>
          <w:noProof/>
        </w:rPr>
        <w:t xml:space="preserve">Forslaget er et direktiv om ændring af momsdirektivet.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 xml:space="preserve">Tilbagemeldingerne fra medlemsstaterne og interessenterne blev fremlagt i Kommissionens rapport om virkningerne af momsdirektivets artikel 199a og 199b på bekæmpelsen af svig. </w:t>
      </w:r>
    </w:p>
    <w:p>
      <w:pPr>
        <w:rPr>
          <w:noProof/>
          <w:szCs w:val="24"/>
        </w:rPr>
      </w:pPr>
      <w:r>
        <w:rPr>
          <w:noProof/>
        </w:rPr>
        <w:t xml:space="preserve">Som anført i rapporten anser medlemsstaterne generelt ordningen for omvendt betalingspligt i momsdirektivets artikel 199a for et effektivt redskab til bekæmpelse af momssvig. På grund af indførelsen af ordningen for omvendt betalingspligt er omfanget af svig faldet betydeligt eller helt forsvundet i bestemte sektorer. Denne holdning udtrykkes også i svarene fra de hørte interessenter i erhvervslivet, som anser ordningen for omvendt betalingspligt for at være en effektiv midlertidig foranstaltning til bekæmpelse af svig. </w:t>
      </w:r>
    </w:p>
    <w:p>
      <w:pPr>
        <w:rPr>
          <w:noProof/>
          <w:szCs w:val="24"/>
        </w:rPr>
      </w:pPr>
      <w:r>
        <w:rPr>
          <w:noProof/>
        </w:rPr>
        <w:t xml:space="preserve">Med hensyn til den hurtige reaktionsmekanisme i momsdirektivets artikel 199b, mener de fleste medlemsstater, at den fortsat, selv om den aldrig er blevet anvendt i praksis, udgør et nyttigt redskab og en forbyggende foranstaltning mod ekstraordinære tilfælde af pludseligt momssvig. </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noProof/>
        </w:rPr>
      </w:pPr>
      <w:r>
        <w:rPr>
          <w:noProof/>
        </w:rPr>
        <w:t xml:space="preserve">Ekspertgruppen vedrørende moms blev hørt om virkningerne af foranstaltningen i momsdirektivets artikel 199a. Tilbagemeldingen viser, at ordningen for omvendt betalingspligt for bestemte leveringer anses for et effektivt midlertidigt redskab til bekæmpelse af svig. </w:t>
      </w:r>
    </w:p>
    <w:p>
      <w:pPr>
        <w:pBdr>
          <w:top w:val="nil"/>
          <w:left w:val="nil"/>
          <w:bottom w:val="nil"/>
          <w:right w:val="nil"/>
          <w:between w:val="nil"/>
          <w:bar w:val="nil"/>
        </w:pBdr>
        <w:spacing w:before="0" w:after="240"/>
        <w:rPr>
          <w:noProof/>
          <w:color w:val="000000"/>
          <w:szCs w:val="24"/>
        </w:rPr>
      </w:pPr>
      <w:r>
        <w:rPr>
          <w:noProof/>
        </w:rPr>
        <w:t>Den fakultative ordning for omvendt betalingspligt er overordnet set blevet vurderet i tidligere undersøgelser. Ifølge en undersøgelse for nylig af vurderingen af den fakultative ordning for omvendt betalingspligt</w:t>
      </w:r>
      <w:r>
        <w:rPr>
          <w:rStyle w:val="FootnoteReference"/>
          <w:noProof/>
        </w:rPr>
        <w:footnoteReference w:id="11"/>
      </w:r>
      <w:r>
        <w:rPr>
          <w:noProof/>
        </w:rPr>
        <w:t xml:space="preserve"> medfører mekanismen for omvendt betalingspligt en stigning på 43 % i virksomhedernes overholdelsesomkostninger. Der er foretaget en vurdering af en generel ordning for omvendt betalingspligt (også i forhold til sektorspecifik omvendt betalingspligt) på det indre marked i den konsekvensanalyse, der ledsager forslaget om den </w:t>
      </w:r>
      <w:r>
        <w:rPr>
          <w:noProof/>
        </w:rPr>
        <w:lastRenderedPageBreak/>
        <w:t>midlertidige anvendelse af en generel ordning for omvendt betalingspligt</w:t>
      </w:r>
      <w:r>
        <w:rPr>
          <w:rStyle w:val="FootnoteReference"/>
          <w:noProof/>
        </w:rPr>
        <w:footnoteReference w:id="12"/>
      </w:r>
      <w:r>
        <w:rPr>
          <w:noProof/>
        </w:rPr>
        <w:t>.</w:t>
      </w:r>
      <w:r>
        <w:rPr>
          <w:noProof/>
          <w:color w:val="000000"/>
        </w:rPr>
        <w:t xml:space="preserve"> På grund af dens begrænsede omfang og tidsmæssige begrænsning lader den målrettede ordning for omvendt betalingspligt ikke til at medføre større negative konsekvenser. </w:t>
      </w:r>
    </w:p>
    <w:p>
      <w:pPr>
        <w:pStyle w:val="ManualHeading2"/>
        <w:rPr>
          <w:rFonts w:eastAsia="Arial Unicode MS"/>
          <w:noProof/>
          <w:u w:color="000000"/>
          <w:bdr w:val="nil"/>
        </w:rPr>
      </w:pPr>
      <w:r>
        <w:rPr>
          <w:noProof/>
        </w:rPr>
        <w:t>•</w:t>
      </w:r>
      <w:r>
        <w:rPr>
          <w:noProof/>
        </w:rPr>
        <w:tab/>
        <w:t>Konsekvensanalyse</w:t>
      </w:r>
    </w:p>
    <w:p>
      <w:pPr>
        <w:rPr>
          <w:noProof/>
          <w:color w:val="000000" w:themeColor="text1"/>
        </w:rPr>
      </w:pPr>
      <w:r>
        <w:rPr>
          <w:noProof/>
          <w:color w:val="000000" w:themeColor="text1"/>
        </w:rPr>
        <w:t xml:space="preserve">Initiativet forlænger foranstaltningerne i artikel 199a og 199b for at bistå medlemsstaterne i bekæmpelsen af momssvig, indtil en mere dybtgående reform af momssystemet finder sted. </w:t>
      </w:r>
    </w:p>
    <w:p>
      <w:pPr>
        <w:rPr>
          <w:noProof/>
          <w:color w:val="000000" w:themeColor="text1"/>
        </w:rPr>
      </w:pPr>
      <w:r>
        <w:rPr>
          <w:noProof/>
          <w:color w:val="000000" w:themeColor="text1"/>
        </w:rPr>
        <w:t xml:space="preserve">I betragtning af Kommissionens igangværende arbejde om det endelige momssystem og dets forventede virkning på bekæmpelsen af svig vil det ikke være hensigtsmæssigt på nuværende tidspunkt at foretage vurderinger ud over den nylige rapport eller revidere foranstaltningerne, da enhver konklusion ville være midlertidig og ville skulle genvurderes, når den endelige ordning træder i kraft. </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color w:val="000000" w:themeColor="text1"/>
        </w:rPr>
      </w:pPr>
      <w:r>
        <w:rPr>
          <w:noProof/>
        </w:rPr>
        <w:t xml:space="preserve">Forslaget har ingen negative virkninger for Unionens budget. </w:t>
      </w:r>
    </w:p>
    <w:p>
      <w:pPr>
        <w:pStyle w:val="ManualHeading1"/>
        <w:rPr>
          <w:noProof/>
        </w:rPr>
      </w:pPr>
      <w:r>
        <w:rPr>
          <w:noProof/>
        </w:rPr>
        <w:t>5.</w:t>
      </w:r>
      <w:r>
        <w:rPr>
          <w:noProof/>
        </w:rPr>
        <w:tab/>
        <w:t>ANDRE FORHOLD</w:t>
      </w:r>
    </w:p>
    <w:p>
      <w:pPr>
        <w:rPr>
          <w:noProof/>
        </w:rPr>
      </w:pPr>
      <w:r>
        <w:rPr>
          <w:noProof/>
        </w:rPr>
        <w:t xml:space="preserve">Forslaget er tidsbegrænset.  </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2018/0150 (CNS)</w:t>
      </w:r>
    </w:p>
    <w:p>
      <w:pPr>
        <w:pStyle w:val="Statut"/>
        <w:rPr>
          <w:noProof/>
        </w:rPr>
      </w:pPr>
      <w:r>
        <w:rPr>
          <w:noProof/>
        </w:rPr>
        <w:t>Forslag til</w:t>
      </w:r>
    </w:p>
    <w:p>
      <w:pPr>
        <w:pStyle w:val="Typedudocument"/>
        <w:rPr>
          <w:noProof/>
        </w:rPr>
      </w:pPr>
      <w:r>
        <w:rPr>
          <w:noProof/>
        </w:rPr>
        <w:t>RÅDETS DIREKTIV</w:t>
      </w:r>
    </w:p>
    <w:p>
      <w:pPr>
        <w:pStyle w:val="Titreobjet"/>
        <w:rPr>
          <w:noProof/>
        </w:rPr>
      </w:pPr>
      <w:r>
        <w:rPr>
          <w:noProof/>
        </w:rPr>
        <w:t>om ændring af direktiv 2006/112/EF om det fælles merværdiafgiftssystem for så vidt angår anvendelsesperioden for den fakultative ordning for omvendt betalingspligt ved levering af bestemte varer og tjenesteydelser, som kan være udsat for svig, og for den hurtige reaktionsmekanisme til bekæmpelse af momssvig</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113,</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Europa-Parlamentet</w:t>
      </w:r>
      <w:r>
        <w:rPr>
          <w:rStyle w:val="FootnoteReference"/>
          <w:noProof/>
        </w:rPr>
        <w:footnoteReference w:id="13"/>
      </w:r>
      <w:r>
        <w:rPr>
          <w:noProof/>
        </w:rPr>
        <w:t xml:space="preserve">, </w:t>
      </w:r>
    </w:p>
    <w:p>
      <w:pPr>
        <w:rPr>
          <w:noProof/>
        </w:rPr>
      </w:pPr>
      <w:r>
        <w:rPr>
          <w:noProof/>
        </w:rPr>
        <w:t>under henvisning til udtalelse fra Det Europæiske Økonomiske og Sociale Udvalg</w:t>
      </w:r>
      <w:r>
        <w:rPr>
          <w:rStyle w:val="FootnoteReference"/>
          <w:noProof/>
        </w:rPr>
        <w:footnoteReference w:id="14"/>
      </w:r>
      <w:r>
        <w:rPr>
          <w:noProof/>
        </w:rPr>
        <w:t xml:space="preserve">, </w:t>
      </w:r>
    </w:p>
    <w:p>
      <w:pPr>
        <w:rPr>
          <w:noProof/>
        </w:rPr>
      </w:pPr>
      <w:r>
        <w:rPr>
          <w:noProof/>
        </w:rPr>
        <w:t>efter en særlig lovgivningsprocedure, og</w:t>
      </w:r>
    </w:p>
    <w:p>
      <w:pPr>
        <w:rPr>
          <w:noProof/>
        </w:rPr>
      </w:pPr>
      <w:r>
        <w:rPr>
          <w:noProof/>
        </w:rPr>
        <w:t>ud fra følgende betragtninger:</w:t>
      </w:r>
    </w:p>
    <w:p>
      <w:pPr>
        <w:pStyle w:val="ManualConsidrant"/>
        <w:rPr>
          <w:noProof/>
        </w:rPr>
      </w:pPr>
      <w:r>
        <w:t>(1)</w:t>
      </w:r>
      <w:r>
        <w:tab/>
      </w:r>
      <w:r>
        <w:rPr>
          <w:noProof/>
        </w:rPr>
        <w:t xml:space="preserve">Svig med merværdiafgift (moms) fører til betydelige budgettab og påvirker det indre markeds funktion. </w:t>
      </w:r>
    </w:p>
    <w:p>
      <w:pPr>
        <w:pStyle w:val="ManualConsidrant"/>
        <w:rPr>
          <w:noProof/>
        </w:rPr>
      </w:pPr>
      <w:r>
        <w:t>(2)</w:t>
      </w:r>
      <w:r>
        <w:tab/>
      </w:r>
      <w:r>
        <w:rPr>
          <w:noProof/>
        </w:rPr>
        <w:t>I henhold til artikel 199a, stk. 1, i Rådets direktiv 2006/112/EF</w:t>
      </w:r>
      <w:r>
        <w:rPr>
          <w:rStyle w:val="FootnoteReference"/>
          <w:noProof/>
        </w:rPr>
        <w:footnoteReference w:id="15"/>
      </w:r>
      <w:r>
        <w:rPr>
          <w:noProof/>
        </w:rPr>
        <w:t xml:space="preserve"> kan medlemsstaterne fastsætte, at den betalingspligtige for momsen i forbindelse med transaktioner opført i denne artikel er modtageren (ordningen for omvendt betalingspligt), for hurtigt at bekæmpe problemer med svig i forbindelse med forsvundne forhandlere inden for Fællesskabet (MTIC). Medlemsstaterne kan anvende denne ordning indtil den 31. december 2018 og for en periode på mindst to år. </w:t>
      </w:r>
    </w:p>
    <w:p>
      <w:pPr>
        <w:pStyle w:val="ManualConsidrant"/>
        <w:rPr>
          <w:noProof/>
        </w:rPr>
      </w:pPr>
      <w:r>
        <w:t>(3)</w:t>
      </w:r>
      <w:r>
        <w:tab/>
      </w:r>
      <w:r>
        <w:rPr>
          <w:noProof/>
        </w:rPr>
        <w:t>Den hurtige reaktionsmekanisme ("HRM") er en særlig foranstaltning omhandlet i artikel 199b i direktiv 2006/112/EF, som giver medlemsstaterne mulighed for at anvende en hurtigere procedure til at indføre omvendt betalingspligt i forbindelse med specifikke leveringer af varer og tjenesteydelser for at bekæmpe pludselig opstået, grov svig, der kan føre til betydelige og uoprettelige finansielle tab. I henhold til artikel 3 i Rådets direktiv 2013/42/EU</w:t>
      </w:r>
      <w:r>
        <w:rPr>
          <w:rStyle w:val="FootnoteReference"/>
          <w:noProof/>
        </w:rPr>
        <w:footnoteReference w:id="16"/>
      </w:r>
      <w:r>
        <w:rPr>
          <w:noProof/>
        </w:rPr>
        <w:t xml:space="preserve"> kan medlemsstaterne anvende den særlige foranstaltning inden for rammerne af den hurtige reaktionsmekanisme indtil den 31. december 2018. </w:t>
      </w:r>
    </w:p>
    <w:p>
      <w:pPr>
        <w:pStyle w:val="ManualConsidrant"/>
        <w:rPr>
          <w:noProof/>
        </w:rPr>
      </w:pPr>
      <w:r>
        <w:lastRenderedPageBreak/>
        <w:t>(4)</w:t>
      </w:r>
      <w:r>
        <w:tab/>
      </w:r>
      <w:r>
        <w:rPr>
          <w:noProof/>
        </w:rPr>
        <w:t>Den 8. marts 2018 fremlagde Kommissionen en rapport om virkningerne af ordningerne til bekæmpelse af svig, jf. artikel 199a og 199b i direktiv 2006/112/EF, til Europa-Parlamentet og Rådet</w:t>
      </w:r>
      <w:r>
        <w:rPr>
          <w:rStyle w:val="FootnoteReference"/>
          <w:noProof/>
        </w:rPr>
        <w:footnoteReference w:id="17"/>
      </w:r>
      <w:r>
        <w:rPr>
          <w:noProof/>
        </w:rPr>
        <w:t xml:space="preserve">. </w:t>
      </w:r>
    </w:p>
    <w:p>
      <w:pPr>
        <w:pStyle w:val="ManualConsidrant"/>
        <w:rPr>
          <w:rFonts w:eastAsia="Arial Unicode MS"/>
          <w:noProof/>
          <w:szCs w:val="24"/>
        </w:rPr>
      </w:pPr>
      <w:r>
        <w:t>(5)</w:t>
      </w:r>
      <w:r>
        <w:tab/>
      </w:r>
      <w:r>
        <w:rPr>
          <w:noProof/>
        </w:rPr>
        <w:t xml:space="preserve">Ifølge rapporten anser medlemsstaterne og interessenterne generelt ordningen for omvendt betalingspligt i artikel 199a i direktiv 2006/112/EF for et effektivt midlertidigt redskab til bekæmpelse af momssvig i de pågældende sektorer og til at forhindre, at svig kan finde sted. </w:t>
      </w:r>
      <w:r>
        <w:rPr>
          <w:noProof/>
          <w:color w:val="000000"/>
        </w:rPr>
        <w:t xml:space="preserve">Kravet om, at foranstaltningen i artikel 199a, stk. 1, skal anvendes i mindst to år, har vist sig at være en hindring for nogle få medlemsstater, der ønskede at indføre ordningen for omvendt betalingspligt og ikke opfyldte denne betingelse. Som følge heraf skal kravet om en periode på mindst to år fjernes fra bestemmelsen. </w:t>
      </w:r>
    </w:p>
    <w:p>
      <w:pPr>
        <w:pStyle w:val="ManualConsidrant"/>
        <w:rPr>
          <w:noProof/>
        </w:rPr>
      </w:pPr>
      <w:r>
        <w:t>(6)</w:t>
      </w:r>
      <w:r>
        <w:tab/>
      </w:r>
      <w:r>
        <w:rPr>
          <w:noProof/>
        </w:rPr>
        <w:t>Med hensyn til den særlige foranstaltning inden for rammerne af den hurtige reaktionsmekanisme i artikel 199b i direktiv 2006/112/EF, mener de fleste medlemsstater, at den fortsat, selv om den aldrig er blevet anvendt i praksis, bør udgøre et nyttigt redskab og en forbyggende foranstaltning mod ekstraordinære tilfælde af momssvig.</w:t>
      </w:r>
    </w:p>
    <w:p>
      <w:pPr>
        <w:pStyle w:val="ManualConsidrant"/>
        <w:rPr>
          <w:noProof/>
        </w:rPr>
      </w:pPr>
      <w:r>
        <w:t>(7)</w:t>
      </w:r>
      <w:r>
        <w:tab/>
      </w:r>
      <w:r>
        <w:rPr>
          <w:noProof/>
        </w:rPr>
        <w:t xml:space="preserve">I betragtning af rapportens resultater og konklusion lader det til, foranstaltningerne i artikel 199a og 199b i direktiv 2006/112/EF har vist sig at være nyttige midlertidige og målrettede foranstaltninger til bekæmpelse af momssvig. Disse foranstaltninger udløber den 31. december 2018, hvilket vil fratage medlemsstaterne et effektivt redskab til bekæmpelse af momssvig. Det er derfor hensigtsmæssigt at forlænge anvendelsen af disse foranstaltninger i en begrænset tidsperiode, indtil den endelige momsordning forventes at træde i kraft. </w:t>
      </w:r>
    </w:p>
    <w:p>
      <w:pPr>
        <w:pStyle w:val="ManualConsidrant"/>
        <w:rPr>
          <w:noProof/>
        </w:rPr>
      </w:pPr>
      <w:r>
        <w:t>(8)</w:t>
      </w:r>
      <w:r>
        <w:tab/>
      </w:r>
      <w:r>
        <w:rPr>
          <w:noProof/>
        </w:rPr>
        <w:t>Direktiv 2006/112/EF bør derfor ændres —</w:t>
      </w:r>
    </w:p>
    <w:p>
      <w:pPr>
        <w:pStyle w:val="Formuledadoption"/>
        <w:rPr>
          <w:noProof/>
        </w:rPr>
      </w:pPr>
      <w:r>
        <w:rPr>
          <w:noProof/>
        </w:rPr>
        <w:t>VEDTAGET DETTE DIREKTIV:</w:t>
      </w:r>
    </w:p>
    <w:p>
      <w:pPr>
        <w:pStyle w:val="Titrearticle"/>
        <w:rPr>
          <w:noProof/>
        </w:rPr>
      </w:pPr>
      <w:r>
        <w:rPr>
          <w:noProof/>
        </w:rPr>
        <w:t>Artikel 1</w:t>
      </w:r>
    </w:p>
    <w:p>
      <w:pPr>
        <w:rPr>
          <w:noProof/>
        </w:rPr>
      </w:pPr>
      <w:r>
        <w:rPr>
          <w:noProof/>
        </w:rPr>
        <w:t>I direktiv 2006/112/EF foretages følgende ændringer:</w:t>
      </w:r>
    </w:p>
    <w:p>
      <w:pPr>
        <w:pStyle w:val="Point0number"/>
        <w:numPr>
          <w:ilvl w:val="0"/>
          <w:numId w:val="10"/>
        </w:numPr>
        <w:rPr>
          <w:noProof/>
        </w:rPr>
      </w:pPr>
      <w:r>
        <w:rPr>
          <w:noProof/>
        </w:rPr>
        <w:t>I artikel 199a, stk. 1, affattes indledningen således:</w:t>
      </w:r>
    </w:p>
    <w:p>
      <w:pPr>
        <w:pStyle w:val="Normal1"/>
        <w:ind w:left="851"/>
        <w:rPr>
          <w:noProof/>
        </w:rPr>
      </w:pPr>
      <w:r>
        <w:rPr>
          <w:noProof/>
        </w:rPr>
        <w:t>"Medlemsstaterne kan indtil den 30. juni 2022 fastsætte, at den afgiftspligtige person er modtageren i følgende transaktioner:"</w:t>
      </w:r>
    </w:p>
    <w:p>
      <w:pPr>
        <w:pStyle w:val="Point0number"/>
        <w:rPr>
          <w:noProof/>
        </w:rPr>
      </w:pPr>
      <w:r>
        <w:rPr>
          <w:noProof/>
        </w:rPr>
        <w:t>Artikel 199b affattes således:</w:t>
      </w:r>
    </w:p>
    <w:p>
      <w:pPr>
        <w:pStyle w:val="Normal1"/>
        <w:spacing w:before="120" w:beforeAutospacing="0" w:after="120" w:afterAutospacing="0"/>
        <w:jc w:val="center"/>
        <w:rPr>
          <w:noProof/>
        </w:rPr>
      </w:pPr>
      <w:r>
        <w:rPr>
          <w:noProof/>
        </w:rPr>
        <w:t>"Artikel 199b</w:t>
      </w:r>
    </w:p>
    <w:p>
      <w:pPr>
        <w:pStyle w:val="Normal1"/>
        <w:spacing w:before="120" w:beforeAutospacing="0" w:after="120" w:afterAutospacing="0"/>
        <w:ind w:left="720"/>
        <w:jc w:val="both"/>
        <w:rPr>
          <w:noProof/>
        </w:rPr>
      </w:pPr>
      <w:r>
        <w:rPr>
          <w:noProof/>
        </w:rPr>
        <w:t>1. En medlemsstat kan i særligt hastende tilfælde og i overensstemmelse med stk. 2 og 3 udpege modtageren som den person, der er betalingspligtig for momsen på specifikke leveringer af varer og tjenesteydelser, uanset artikel 193, som en særlig foranstaltning inden for rammerne af den hurtige reaktionsmekanisme for at bekæmpe pludselig opstået, grov svig, som kan føre til betydelige og uoprettelige finansielle tab.</w:t>
      </w:r>
    </w:p>
    <w:p>
      <w:pPr>
        <w:pStyle w:val="Normal1"/>
        <w:ind w:left="720"/>
        <w:jc w:val="both"/>
        <w:rPr>
          <w:noProof/>
        </w:rPr>
      </w:pPr>
      <w:r>
        <w:rPr>
          <w:noProof/>
        </w:rPr>
        <w:t xml:space="preserve">Den særlige foranstaltning inden for rammerne af den hurtige reaktionsmekanisme underlægges passende kontrolforanstaltninger i medlemsstaten for så vidt angår de </w:t>
      </w:r>
      <w:r>
        <w:rPr>
          <w:noProof/>
        </w:rPr>
        <w:lastRenderedPageBreak/>
        <w:t>afgiftspligtige personer, der leverer varer eller tjenesteydelser, som er omfattet af denne foranstaltning, og gælder i en periode på højst ni måneder.</w:t>
      </w:r>
    </w:p>
    <w:p>
      <w:pPr>
        <w:pStyle w:val="Normal1"/>
        <w:ind w:left="720"/>
        <w:jc w:val="both"/>
        <w:rPr>
          <w:noProof/>
        </w:rPr>
      </w:pPr>
      <w:r>
        <w:rPr>
          <w:noProof/>
        </w:rPr>
        <w:t>2. En medlemsstat, der ønsker at indføre en i stk. 1 omhandlet særlig foranstaltning inden for rammerne af den hurtige reaktionsmekanisme, sender en meddelelse herom til Kommissionen ved hjælp af den standardformular, der er omhandlet i stk. 4, og sender den samtidig til de øvrige medlemsstater. Medlemsstaten giver Kommissionen oplysninger om den pågældende sektor, typen af svig og kendetegnene herved, forekomsten af de særligt hastende årsager, den pludselig opståede, grove karakter af svigen samt konsekvenserne heraf med hensyn til betydelige og uoprettelige finansielle tab. Finder Kommissionen, at oplysningerne ikke er tilstrækkelige, kontakter den inden to uger efter modtagelse af meddelelsen den pågældende medlemsstat og præciserer, hvilke yderligere oplysninger der er behov for. Hvis den pågældende medlemsstat fremsender yderligere oplysninger til Kommissionen, sendes disse samtidig til de øvrige medlemsstater. Hvis de yderligere oplysninger ikke er tilstrækkelige, oplyser Kommissionen den pågældende medlemsstat herom inden for en uge.</w:t>
      </w:r>
    </w:p>
    <w:p>
      <w:pPr>
        <w:pStyle w:val="Normal1"/>
        <w:ind w:left="720"/>
        <w:jc w:val="both"/>
        <w:rPr>
          <w:noProof/>
        </w:rPr>
      </w:pPr>
      <w:r>
        <w:rPr>
          <w:noProof/>
        </w:rPr>
        <w:t>Den medlemsstat, der ønsker at indføre en særlig foranstaltning inden for rammerne af den hurtige reaktionsmekanisme som omhandlet i denne artikels stk. 1, sender samtidig også en anmodning herom til Kommissionen efter proceduren i artikel 395, stk. 2 og 3.</w:t>
      </w:r>
    </w:p>
    <w:p>
      <w:pPr>
        <w:pStyle w:val="Normal1"/>
        <w:ind w:left="720"/>
        <w:jc w:val="both"/>
        <w:rPr>
          <w:noProof/>
        </w:rPr>
      </w:pPr>
      <w:r>
        <w:rPr>
          <w:noProof/>
        </w:rPr>
        <w:t>I særligt hastende tilfælde som fastsat i denne artikels stk. 1 afsluttes proceduren i artikel 395, stk. 2 og 3, inden for seks måneder efter, at Kommissionen har modtaget anmodningen.</w:t>
      </w:r>
    </w:p>
    <w:p>
      <w:pPr>
        <w:pStyle w:val="Normal1"/>
        <w:ind w:left="720"/>
        <w:jc w:val="both"/>
        <w:rPr>
          <w:noProof/>
        </w:rPr>
      </w:pPr>
      <w:r>
        <w:rPr>
          <w:noProof/>
        </w:rPr>
        <w:t>3. Så snart Kommissionen råder over alle de oplysninger, den finder nødvendige for at kunne vurdere den i stk. 2, første afsnit, omhandlede meddelelse, underretter den medlemsstaterne herom. Hvis Kommissionen har indvendinger mod den særlige foranstaltning inden for rammerne af den hurtige reaktionsmekanisme, afgiver den en negativ udtalelse inden for en måned efter den pågældende meddelelse og underretter den berørte medlemsstat og Momsudvalget herom. Hvis Kommissionen ikke har nogen indvendinger, bekræfter den dette skriftligt over for den berørte medlemsstat og Momsudvalget inden for samme periode. Medlemsstaten kan vedtage den særlige foranstaltning inden for rammerne af den hurtige reaktionsmekanisme fra datoen for modtagelsen af den pågældende bekræftelse. Ved vurderingen af meddelelsen tager Kommissionen hensyn til andre medlemsstaters synspunkter, som den har fået modtaget skriftligt.</w:t>
      </w:r>
    </w:p>
    <w:p>
      <w:pPr>
        <w:pStyle w:val="Normal1"/>
        <w:ind w:left="720"/>
        <w:jc w:val="both"/>
        <w:rPr>
          <w:noProof/>
        </w:rPr>
      </w:pPr>
      <w:r>
        <w:rPr>
          <w:noProof/>
        </w:rPr>
        <w:t>4. Kommissionen vedtager en gennemførelsesretsakt om en standardformular til indgivelse af meddelelsen om den særlige foranstaltning inden for rammerne af den hurtige reaktionsmekanisme som omhandlet i stk. 2 og af de i stk. 2, første afsnit, omhandlede oplysninger. Denne gennemførelsesretsakt vedtages efter undersøgelsesproceduren i stk. 5.</w:t>
      </w:r>
    </w:p>
    <w:p>
      <w:pPr>
        <w:pStyle w:val="Normal1"/>
        <w:ind w:left="720"/>
        <w:jc w:val="both"/>
        <w:rPr>
          <w:noProof/>
        </w:rPr>
      </w:pPr>
      <w:r>
        <w:rPr>
          <w:noProof/>
        </w:rPr>
        <w:t>5. Når der henvises til dette stykke, anvendes artikel 5 i Europa-Parlamentets og Rådets forordning (EU) nr. 182/2011(*), og med henblik herpå er udvalget det udvalg, der er nedsat ved artikel 58 i Rådets forordning (EU) nr. 904/2010(**).</w:t>
      </w:r>
    </w:p>
    <w:p>
      <w:pPr>
        <w:pStyle w:val="Normal1"/>
        <w:ind w:left="720"/>
        <w:rPr>
          <w:noProof/>
        </w:rPr>
      </w:pPr>
      <w:r>
        <w:rPr>
          <w:noProof/>
        </w:rPr>
        <w:lastRenderedPageBreak/>
        <w:t>6. Den særlige foranstaltning inden for rammerne af den hurtige reaktionsmekanisme, jf. stk. 1, finder anvendelse indtil den 30. juni 2022."</w:t>
      </w:r>
    </w:p>
    <w:p>
      <w:pPr>
        <w:pStyle w:val="Normal1"/>
        <w:ind w:left="850"/>
        <w:rPr>
          <w:noProof/>
        </w:rPr>
      </w:pPr>
      <w:r>
        <w:rPr>
          <w:noProof/>
        </w:rPr>
        <w:t>__________</w:t>
      </w:r>
    </w:p>
    <w:p>
      <w:pPr>
        <w:pStyle w:val="Normal1"/>
        <w:ind w:left="850"/>
        <w:rPr>
          <w:noProof/>
        </w:rPr>
      </w:pPr>
      <w:r>
        <w:rPr>
          <w:noProof/>
        </w:rPr>
        <w:tab/>
        <w:t>(*) Europa-Parlamentets og Rådets forordning (EU) nr. 182/2011 af 16. februar 2011 om de generelle regler og principper for, hvordan medlemsstaterne skal kontrollere Kommissionens udøvelse af gennemførelsesbeføjelser (</w:t>
      </w:r>
      <w:hyperlink r:id="rId18">
        <w:r>
          <w:rPr>
            <w:rStyle w:val="Hyperlink"/>
            <w:noProof/>
          </w:rPr>
          <w:t>EUT L 55 af 28.2.2011, s. 13</w:t>
        </w:r>
      </w:hyperlink>
      <w:r>
        <w:rPr>
          <w:noProof/>
        </w:rPr>
        <w:t>).</w:t>
      </w:r>
    </w:p>
    <w:p>
      <w:pPr>
        <w:pStyle w:val="Normal1"/>
        <w:ind w:left="850"/>
        <w:rPr>
          <w:noProof/>
        </w:rPr>
      </w:pPr>
      <w:r>
        <w:rPr>
          <w:noProof/>
        </w:rPr>
        <w:tab/>
        <w:t>(**) Rådets forordning (EU) nr. 904/2010 af 7. oktober 2010 om administrativt samarbejde og bekæmpelse af svig vedrørende merværdiafgift (</w:t>
      </w:r>
      <w:hyperlink r:id="rId19">
        <w:r>
          <w:rPr>
            <w:rStyle w:val="Hyperlink"/>
            <w:noProof/>
          </w:rPr>
          <w:t>EUT L 268 af 12.10.2010, s. 1</w:t>
        </w:r>
      </w:hyperlink>
      <w:r>
        <w:rPr>
          <w:noProof/>
        </w:rPr>
        <w:t>).</w:t>
      </w:r>
    </w:p>
    <w:p>
      <w:pPr>
        <w:pStyle w:val="Point0number"/>
        <w:rPr>
          <w:noProof/>
        </w:rPr>
      </w:pPr>
      <w:r>
        <w:rPr>
          <w:noProof/>
        </w:rPr>
        <w:t>Artikel 395, stk. 5, udgår.</w:t>
      </w:r>
    </w:p>
    <w:p>
      <w:pPr>
        <w:pStyle w:val="Titrearticle"/>
        <w:rPr>
          <w:noProof/>
        </w:rPr>
      </w:pPr>
      <w:r>
        <w:rPr>
          <w:noProof/>
        </w:rPr>
        <w:t>Artikel 2</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color w:val="000000" w:themeColor="text1"/>
        </w:rPr>
      </w:pPr>
      <w:r>
        <w:rPr>
          <w:noProof/>
        </w:rPr>
        <w:t>Artikel 3</w:t>
      </w:r>
    </w:p>
    <w:p>
      <w:pPr>
        <w:rPr>
          <w:noProof/>
        </w:rPr>
      </w:pPr>
      <w:r>
        <w:rPr>
          <w:noProof/>
        </w:rPr>
        <w:t>Dette direktiv er rettet til medlemsstaterne.</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direktiv 2006/112/EF af 28. november 2006 om det fælles merværdiafgiftssystem (EUT L 347 af 11.12.2006, s. 1).</w:t>
      </w:r>
    </w:p>
  </w:footnote>
  <w:footnote w:id="2">
    <w:p>
      <w:pPr>
        <w:pStyle w:val="FootnoteText"/>
      </w:pPr>
      <w:r>
        <w:rPr>
          <w:rStyle w:val="FootnoteReference"/>
        </w:rPr>
        <w:footnoteRef/>
      </w:r>
      <w:r>
        <w:tab/>
        <w:t xml:space="preserve">I henhold til artikel 193 i momsdirektivet er det som hovedregel den afgiftspligtige person, som foretager en levering af varer eller ydelser, der er momsbetalingspligtig. Som en undtagelse fra dette system med betaling i flere led giver ordningen for omvendt betalingspligt mulighed for at udpege modtageren (afgiftspligtig person) af leveringen som den person, der er betalingspligtig for momsen. </w:t>
      </w:r>
    </w:p>
  </w:footnote>
  <w:footnote w:id="3">
    <w:p>
      <w:pPr>
        <w:pStyle w:val="FootnoteText"/>
      </w:pPr>
      <w:r>
        <w:rPr>
          <w:rStyle w:val="FootnoteReference"/>
        </w:rPr>
        <w:footnoteRef/>
      </w:r>
      <w:r>
        <w:tab/>
      </w:r>
      <w:r>
        <w:rPr>
          <w:rStyle w:val="FootnoteTextChar"/>
          <w:lang w:val="da-DK"/>
        </w:rPr>
        <w:t xml:space="preserve">Indført ved Rådets direktiv 2013/43/EU af 22. juli 2013 om ændring af direktiv 2006/112/EF om det fælles merværdiafgiftssystem for så vidt angår en fakultativ og midlertidig anvendelse af ordningen for omvendt betalingspligt ved levering af bestemte varer og tjenesteydelser, som kan være udsat for svig (EUT L 201 af 26.7.2013, s. 4). </w:t>
      </w:r>
    </w:p>
  </w:footnote>
  <w:footnote w:id="4">
    <w:p>
      <w:pPr>
        <w:pStyle w:val="FootnoteText"/>
      </w:pPr>
      <w:r>
        <w:rPr>
          <w:rStyle w:val="FootnoteReference"/>
        </w:rPr>
        <w:footnoteRef/>
      </w:r>
      <w:r>
        <w:tab/>
        <w:t xml:space="preserve">Indført ved Rådets direktiv 2013/42/EU af 22. juli 2013 om ændring af direktiv 2006/112/EF om det fælles merværdiafgiftssystem for så vidt angår en hurtig reaktionsmekanisme til bekæmpelse af momssvig (EUT L 201 af 26.7.2013, s. 1). </w:t>
      </w:r>
    </w:p>
  </w:footnote>
  <w:footnote w:id="5">
    <w:p>
      <w:pPr>
        <w:pStyle w:val="FootnoteText"/>
      </w:pPr>
      <w:r>
        <w:rPr>
          <w:rStyle w:val="FootnoteReference"/>
        </w:rPr>
        <w:footnoteRef/>
      </w:r>
      <w:r>
        <w:tab/>
        <w:t xml:space="preserve">Jf. artikel 2 i Rådets direktiv 2013/42/EU for så vidt angår HRM. </w:t>
      </w:r>
    </w:p>
  </w:footnote>
  <w:footnote w:id="6">
    <w:p>
      <w:pPr>
        <w:pStyle w:val="FootnoteText"/>
      </w:pPr>
      <w:r>
        <w:rPr>
          <w:rStyle w:val="FootnoteReference"/>
        </w:rPr>
        <w:footnoteRef/>
      </w:r>
      <w:r>
        <w:tab/>
        <w:t xml:space="preserve">Rapport fra Kommissionen til Rådet og Europa-Parlamentet om virkningerne af artikel 199a og 199b i Rådets direktiv 2006/112/EF om bekæmpelse af svig (COM(2018) 118/2). </w:t>
      </w:r>
    </w:p>
  </w:footnote>
  <w:footnote w:id="7">
    <w:p>
      <w:pPr>
        <w:pStyle w:val="FootnoteText"/>
      </w:pPr>
      <w:r>
        <w:rPr>
          <w:rStyle w:val="FootnoteReference"/>
        </w:rPr>
        <w:footnoteRef/>
      </w:r>
      <w:r>
        <w:tab/>
        <w:t xml:space="preserve">Ekspertgruppen vedrørende moms bistår og rådgiver Europa-Kommissionen om momsspørgsmål. Gruppen består af personer, der udnævnes personligt, og som besidder den fornødne ekspertise på momsområdet, og organisationer, der repræsenterer især virksomheder og skattefolk, der kan hjælpe med udarbejdelse og gennemførelse af momspolitikker. </w:t>
      </w:r>
    </w:p>
  </w:footnote>
  <w:footnote w:id="8">
    <w:p>
      <w:pPr>
        <w:pStyle w:val="FootnoteText"/>
      </w:pPr>
      <w:r>
        <w:rPr>
          <w:rStyle w:val="FootnoteReference"/>
        </w:rPr>
        <w:footnoteRef/>
      </w:r>
      <w:r>
        <w:tab/>
        <w:t xml:space="preserve">Mod et fælles europæisk momsområde — Tid til handling. Ændret forslag til Rådets forordning </w:t>
      </w:r>
    </w:p>
    <w:p>
      <w:pPr>
        <w:pStyle w:val="FootnoteText"/>
        <w:ind w:firstLine="0"/>
      </w:pPr>
      <w:r>
        <w:t xml:space="preserve">om ændring af forordning (EU) nr. 904/2010 for så vidt angår foranstaltninger til styrkelse af det administrative samarbejde vedrørende merværdiafgift (COM(2017) 706 final). </w:t>
      </w:r>
    </w:p>
  </w:footnote>
  <w:footnote w:id="9">
    <w:p>
      <w:pPr>
        <w:pStyle w:val="FootnoteText"/>
      </w:pPr>
      <w:r>
        <w:rPr>
          <w:rStyle w:val="FootnoteReference"/>
        </w:rPr>
        <w:footnoteRef/>
      </w:r>
      <w:r>
        <w:tab/>
      </w:r>
      <w:r>
        <w:rPr>
          <w:rStyle w:val="FootnoteTextChar"/>
          <w:lang w:val="da-DK"/>
        </w:rPr>
        <w:t>Forslag til Rådets direktiv om ændring af direktiv 2006/112/EF for så vidt angår harmonisering og forenkling af visse regler i det fælles merværdiafgiftssystem og om indførelse af det endelige system for beskatning af samhandelen mellem medlemsstaterne (COM(2017) 569 final)</w:t>
      </w:r>
      <w:r>
        <w:t xml:space="preserve">. </w:t>
      </w:r>
    </w:p>
  </w:footnote>
  <w:footnote w:id="10">
    <w:p>
      <w:pPr>
        <w:pStyle w:val="FootnoteText"/>
        <w:rPr>
          <w:rStyle w:val="FootnoteTextChar"/>
          <w:lang w:val="da-DK"/>
        </w:rPr>
      </w:pPr>
      <w:r>
        <w:rPr>
          <w:rStyle w:val="FootnoteReference"/>
        </w:rPr>
        <w:footnoteRef/>
      </w:r>
      <w:r>
        <w:tab/>
      </w:r>
      <w:r>
        <w:rPr>
          <w:rStyle w:val="FootnoteTextChar"/>
          <w:lang w:val="da-DK"/>
        </w:rPr>
        <w:t xml:space="preserve">Forslag til Rådets direktiv om ændring af direktiv 2006/112/EF om det fælles merværdiafgiftssystem for så vidt angår en midlertidig anvendelse af en generel ordning for omvendt betalingspligt ved levering af varer og tjenesteydelser over en bestemt værdi (COM(2016) 811 final). </w:t>
      </w:r>
    </w:p>
  </w:footnote>
  <w:footnote w:id="11">
    <w:p>
      <w:pPr>
        <w:pStyle w:val="FootnoteText"/>
      </w:pPr>
      <w:r>
        <w:rPr>
          <w:rStyle w:val="FootnoteReference"/>
        </w:rPr>
        <w:footnoteRef/>
      </w:r>
      <w:r>
        <w:tab/>
        <w:t>EY, 2014.</w:t>
      </w:r>
    </w:p>
  </w:footnote>
  <w:footnote w:id="12">
    <w:p>
      <w:pPr>
        <w:pStyle w:val="FootnoteText"/>
        <w:rPr>
          <w:rStyle w:val="FootnoteTextChar"/>
          <w:lang w:val="da-DK"/>
        </w:rPr>
      </w:pPr>
      <w:r>
        <w:rPr>
          <w:rStyle w:val="FootnoteReference"/>
        </w:rPr>
        <w:footnoteRef/>
      </w:r>
      <w:r>
        <w:tab/>
      </w:r>
      <w:r>
        <w:rPr>
          <w:rStyle w:val="FootnoteTextChar"/>
          <w:lang w:val="da-DK"/>
        </w:rPr>
        <w:t>Konsekvensanalyse, der ledsager forslaget for så vidt angår en midlertidig anvendelse af en generel ordning for omvendt betalingspligt ved levering af varer og tjenesteydelser over en bestemt værdi (SWD(2016) 457).</w:t>
      </w:r>
    </w:p>
  </w:footnote>
  <w:footnote w:id="13">
    <w:p>
      <w:pPr>
        <w:pStyle w:val="FootnoteText"/>
      </w:pPr>
      <w:r>
        <w:rPr>
          <w:rStyle w:val="FootnoteReference"/>
        </w:rPr>
        <w:footnoteRef/>
      </w:r>
      <w:r>
        <w:tab/>
        <w:t>EUT C  af , s. .</w:t>
      </w:r>
    </w:p>
  </w:footnote>
  <w:footnote w:id="14">
    <w:p>
      <w:pPr>
        <w:pStyle w:val="FootnoteText"/>
      </w:pPr>
      <w:r>
        <w:rPr>
          <w:rStyle w:val="FootnoteReference"/>
        </w:rPr>
        <w:footnoteRef/>
      </w:r>
      <w:r>
        <w:tab/>
        <w:t>EUT C  af , s. .</w:t>
      </w:r>
    </w:p>
  </w:footnote>
  <w:footnote w:id="15">
    <w:p>
      <w:pPr>
        <w:pStyle w:val="FootnoteText"/>
      </w:pPr>
      <w:r>
        <w:rPr>
          <w:rStyle w:val="FootnoteReference"/>
        </w:rPr>
        <w:footnoteRef/>
      </w:r>
      <w:r>
        <w:tab/>
        <w:t xml:space="preserve">Rådets direktiv 2006/112/EF af 28. november 2006 om det fælles merværdiafgiftssystem (EUT L 347 af 11.12.2006, s. 1). </w:t>
      </w:r>
    </w:p>
  </w:footnote>
  <w:footnote w:id="16">
    <w:p>
      <w:pPr>
        <w:pStyle w:val="FootnoteText"/>
      </w:pPr>
      <w:r>
        <w:rPr>
          <w:rStyle w:val="FootnoteReference"/>
        </w:rPr>
        <w:footnoteRef/>
      </w:r>
      <w:r>
        <w:tab/>
        <w:t xml:space="preserve">Rådets direktiv 2013/42/EU af 22. juli 2013 om ændring af direktiv 2006/112/EF om det fælles merværdiafgiftssystem for så vidt angår en hurtig reaktionsmekanisme til bekæmpelse af momssvig (EUT L 201 af 26.7.2013, s. 1). </w:t>
      </w:r>
    </w:p>
    <w:p>
      <w:pPr>
        <w:pStyle w:val="FootnoteText"/>
      </w:pPr>
    </w:p>
  </w:footnote>
  <w:footnote w:id="17">
    <w:p>
      <w:pPr>
        <w:pStyle w:val="FootnoteText"/>
      </w:pPr>
      <w:r>
        <w:rPr>
          <w:rStyle w:val="FootnoteReference"/>
        </w:rPr>
        <w:footnoteRef/>
      </w:r>
      <w:r>
        <w:tab/>
        <w:t xml:space="preserve">Rapport fra Kommissionen til Rådet og Europa-Parlamentet om virkningerne af artikel 199a og 199b i Rådets direktiv 2006/112/EF om bekæmpelse af svig (COM(2018) 118 af 8. marts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0E4B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C2F3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F031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0E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DE05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CA05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7A6610"/>
    <w:lvl w:ilvl="0">
      <w:start w:val="1"/>
      <w:numFmt w:val="decimal"/>
      <w:pStyle w:val="ListNumber"/>
      <w:lvlText w:val="%1."/>
      <w:lvlJc w:val="left"/>
      <w:pPr>
        <w:tabs>
          <w:tab w:val="num" w:pos="360"/>
        </w:tabs>
        <w:ind w:left="360" w:hanging="360"/>
      </w:pPr>
    </w:lvl>
  </w:abstractNum>
  <w:abstractNum w:abstractNumId="7">
    <w:nsid w:val="FFFFFF89"/>
    <w:multiLevelType w:val="singleLevel"/>
    <w:tmpl w:val="78A284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8-05-25 17:22:1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5"/>
    <w:docVar w:name="DQCStatus" w:val="Green"/>
    <w:docVar w:name="DQCVersion" w:val="3"/>
    <w:docVar w:name="DQCWithWarnings" w:val="0"/>
    <w:docVar w:name="LW_CORRIGENDUM" w:val="&lt;UNUSED&gt;"/>
    <w:docVar w:name="LW_COVERPAGE_EXISTS" w:val="True"/>
    <w:docVar w:name="LW_COVERPAGE_GUID" w:val="84C88E59-9E19-4D89-894A-75DEC2F4D741"/>
    <w:docVar w:name="LW_COVERPAGE_TYPE" w:val="1"/>
    <w:docVar w:name="LW_CROSSREFERENCE" w:val="&lt;UNUSED&gt;"/>
    <w:docVar w:name="LW_DocType" w:val="COM"/>
    <w:docVar w:name="LW_EMISSION" w:val="25.5.2018"/>
    <w:docVar w:name="LW_EMISSION_ISODATE" w:val="2018-05-25"/>
    <w:docVar w:name="LW_EMISSION_LOCATION" w:val="BRX"/>
    <w:docVar w:name="LW_EMISSION_PREFIX" w:val="Bruxelles, den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NS"/>
    <w:docVar w:name="LW_REF.II.NEW.CP_NUMBER" w:val="0150"/>
    <w:docVar w:name="LW_REF.II.NEW.CP_YEAR" w:val="2018"/>
    <w:docVar w:name="LW_REF.INST.NEW" w:val="COM"/>
    <w:docVar w:name="LW_REF.INST.NEW_ADOPTED" w:val="final"/>
    <w:docVar w:name="LW_REF.INST.NEW_TEXT" w:val="(2018) 2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direktiv 2006/112/EF om det fælles merværdiafgiftssystem for så vidt angår anvendelsesperioden for den fakultative ordning for omvendt betalingspligt ved levering af bestemte varer og tjenesteydelser, som kan være udsat for svig, og for den hurtige reaktionsmekanisme til bekæmpelse af momssvig"/>
    <w:docVar w:name="LW_TYPE.DOC.CP" w:val="RÅDETS DIREKTIV"/>
  </w:docVar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DA/AUTO/?uri=OJ:L:2011:055:T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ur-lex.europa.eu/legal-content/DA/AUTO/?uri=OJ:L:2010:268:T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0209-EFEB-4598-96E3-BE868806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3044</Words>
  <Characters>18387</Characters>
  <Application>Microsoft Office Word</Application>
  <DocSecurity>0</DocSecurity>
  <Lines>306</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2018-04-24T10:25:00Z</cp:lastPrinted>
  <dcterms:created xsi:type="dcterms:W3CDTF">2018-05-24T10:17:00Z</dcterms:created>
  <dcterms:modified xsi:type="dcterms:W3CDTF">2018-05-25T15:22:00Z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