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237DCCD-5FF8-42C0-B749-8BF388D0623C" style="width:450.35pt;height:453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Ocena skutków finansowych regulacji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STRUKTURA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Tytuł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Dziedziny polityki, których dotyczy wniosek/inicjatywa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Charakter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Cel(e)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Uzasadnienie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Okres trwania działania i jego wpływ finansowy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Planowane tryby zarządzania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ŚRODKI ZARZĄDZANIA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Zasady nadzoru i sprawozdawczości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System zarządzania i kontroli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Środki zapobiegania nadużyciom finansowym i nieprawidłowościom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SZACUNKOWY WPŁYW FINANSOWY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Działy wieloletnich ram finansowych i linie budżetowe po stronie wydatków, na które wniosek/inicjatywa ma wpływ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Szacunkowy wpływ na wydatki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Synteza szacunkowego wpływu na wydatki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Szacunkowy wpływ na środki operacyjne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Szacunkowy wpływ na środki administracyjne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Zgodność z obowiązującymi wieloletnimi ramami finansowymi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Udział osób trzecich w finansowaniu </w:t>
      </w:r>
    </w:p>
    <w:p>
      <w:pPr>
        <w:pStyle w:val="ManualHeading2"/>
        <w:jc w:val="left"/>
        <w:rPr>
          <w:b w:val="0"/>
          <w:noProof/>
        </w:rPr>
        <w:sectPr>
          <w:footerReference w:type="default" r:id="rId15"/>
          <w:footerReference w:type="first" r:id="rId16"/>
          <w:pgSz w:w="11907" w:h="16840" w:code="9"/>
          <w:pgMar w:top="1134" w:right="1418" w:bottom="1134" w:left="1418" w:header="709" w:footer="709" w:gutter="0"/>
          <w:pgNumType w:start="1"/>
          <w:cols w:space="720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Szacunkowy wpływ na dochody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OCENA SKUTKÓW FINANSOWYCH REGULACJI</w:t>
      </w:r>
    </w:p>
    <w:p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STRUKTURA WNIOSKU/INICJATYWY </w:t>
      </w:r>
    </w:p>
    <w:p>
      <w:pPr>
        <w:pStyle w:val="Heading2"/>
        <w:rPr>
          <w:noProof/>
        </w:rPr>
      </w:pPr>
      <w:r>
        <w:rPr>
          <w:noProof/>
        </w:rPr>
        <w:t xml:space="preserve">Tytuł wniosku/inicjatywy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3"/>
          <w:szCs w:val="23"/>
        </w:rPr>
      </w:pPr>
      <w:r>
        <w:rPr>
          <w:noProof/>
          <w:sz w:val="23"/>
        </w:rPr>
        <w:t>Wniosek dotyczący rozporządzenia Parlamentu Europejskiego i Rady w sprawie wdrażania i funkcjonowania domeny najwyższego poziomu .eu oraz uchylenia rozporządzenia (WE) nr 733/2002 i rozporządzenia Komisji (WE) nr 874/2004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Dziedziny polityki, których dotyczy wniosek/inicjatywa</w:t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3"/>
          <w:szCs w:val="23"/>
        </w:rPr>
      </w:pPr>
      <w:r>
        <w:rPr>
          <w:noProof/>
          <w:sz w:val="23"/>
        </w:rPr>
        <w:t xml:space="preserve">Dziedzina polityki: 09 – Sieci komunikacyjne, treści i technologie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3"/>
        </w:rPr>
        <w:t>Działalność: 09.02 Jednolity rynek cyfrowy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Charakter wniosku/inicjatywy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nowego działania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nowego działania będącego następstwem projektu pilotażowego/działania przygotowawczego</w:t>
      </w:r>
      <w:r>
        <w:rPr>
          <w:rStyle w:val="FootnoteReference"/>
          <w:b/>
          <w:noProof/>
        </w:rPr>
        <w:footnoteReference w:id="1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noProof/>
          <w:sz w:val="22"/>
        </w:rPr>
        <w:t xml:space="preserve"> </w:t>
      </w:r>
      <w:r>
        <w:rPr>
          <w:noProof/>
        </w:rPr>
        <w:t>Wniosek/inicjatywa wiąże się z </w:t>
      </w:r>
      <w:r>
        <w:rPr>
          <w:b/>
          <w:noProof/>
        </w:rPr>
        <w:t>przedłużeniem bieżącego działania</w:t>
      </w:r>
      <w:r>
        <w:rPr>
          <w:noProof/>
        </w:rPr>
        <w:t>[</w:t>
      </w:r>
      <w:r>
        <w:rPr>
          <w:i/>
          <w:noProof/>
          <w:sz w:val="22"/>
        </w:rPr>
        <w:t>wniosek stanowi inicjatywę REFIT</w:t>
      </w:r>
      <w:r>
        <w:rPr>
          <w:noProof/>
        </w:rPr>
        <w:t>]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działania, które zostało przekształcone pod kątem nowego działania</w:t>
      </w:r>
      <w:r>
        <w:rPr>
          <w:noProof/>
        </w:rPr>
        <w:t xml:space="preserve"> 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>Cel(e)</w:t>
      </w:r>
    </w:p>
    <w:p>
      <w:pPr>
        <w:pStyle w:val="Heading3"/>
        <w:rPr>
          <w:noProof/>
        </w:rPr>
      </w:pPr>
      <w:r>
        <w:rPr>
          <w:noProof/>
        </w:rPr>
        <w:t xml:space="preserve">Wieloletnie cele strategiczne Komisji wskazane we wniosku/inicjatywie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Ogólnym celem niniejszej inicjatywy jest zapewnienie stabilności i trwałości TLD .eu, tak aby w większym stopniu mogła ona osiągnąć zamierzony cel, polegający na: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zachęcaniu do prowadzenia transgranicznej działalności w Europie i wspieraniu jednolitego rynku cyfrowego,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umożliwieniu/budowaniu europejskiej tożsamości w internecie.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Cel(e) szczegółowy (-e) i cel szczegółowy nr [...]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Cel(e) szczegółowy(-e)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Cel szczegółowy nr 1: usunięcie przestarzałych wymogów prawnych/administracyjnych.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Cel szczegółowy nr 2: zapewnienie, aby przepisy nie ulegały dezaktualizacji i umożliwiały dostosowywanie domeny .eu do szybkich zmian na rynku domen najwyższego poziomu i w dynamicznym środowisku cyfrowym, przy jednoczesnym uwzględnieniu priorytetów UE i ich propagowaniu w świecie internetu.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Cel szczegółowy nr 3: zapewnienie struktury zarządzania, która odzwierciedla najlepsze praktyki techniczne i w zakresie zarządzania oraz służy publicznym interesom UE.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Cel szczegółowy nr 4: promowanie atrakcyjności TLD .eu.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W dalszej części dokumentu skupiamy się na celu szczegółowym nr 3.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br w:type="page"/>
        <w:t>Oczekiwane wyniki i wpływ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Należy wskazać, jakie efekty przyniesie wniosek/inicjatywa beneficjentom/grupie docelowej.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W odniesieniu do celu szczegółowego nr 3 wniosek wprowadza odrębne ramy zarządzania: chociaż obecny model outsourcingu codziennej działalności operacyjnej i powierzenia jej operatorowi zewnętrznemu będzie kontynuowany, przewiduje się utworzenie odrębnego organu doradczego z udziałem wielu zainteresowanych stron. Wprowadzenie organu z udziałem wielu zainteresowanych stron (Rady Zainteresowanych Stron ds. domeny .eu) skutecznie wzmocniłoby i poszerzyło wkład w dobre zarządzanie Rejestru .eu i podniosło poziom przejrzystości ładu korporacyjnego.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Trzeba będzie zapewnić odpowiednie środki na funkcjonowanie Rady Zainteresowanych Stron ds. domeny .eu. Szacunkowy koszt wyniesie około 50 000 EUR rocznie (z przeznaczeniem na zwrot kosztów podróży i pobytu ekspertów, organizowanie posiedzeń oraz pokrycie kosztów związanych z działalnością taką jak opracowywanie zewnętrznych sprawozdań i analiz). Koszty te zostaną pokryte przez Komisję.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Wskaźniki wyników i wpływu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Należy określić wskaźniki, które umożliwią monitorowanie realizacji wniosku/inicjatywy.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 odniesieniu do celu szczegółowego nr 3: liczba i ważkość ustaleń z audytów zewnętrznych dotyczących Rejestru .eu; odporność i wytrzymałość infrastruktury technicznej; roczne wskaźniki testów podatności na zagrożenia i penetrację; wskaźniki stabilności finansowej w perspektywie długookresowej, w tym odsetek dłużników niewypłacalnych; liczba ocenionych ryzyk, liczba zrealizowanych w ciągu roku sprawdzianów ciągłości działania, niezgodności wykrytych w wyniku sprawdzianów ciągłości działania; ramy czasowe przywracania gotowości do pracy po katastrofie; liczba spraw wnoszonych rocznie do sądu i ewentualne koszty finansowe.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Uzasadnienie wniosku/inicjatywy </w:t>
      </w:r>
    </w:p>
    <w:p>
      <w:pPr>
        <w:pStyle w:val="Heading3"/>
        <w:rPr>
          <w:noProof/>
        </w:rPr>
      </w:pPr>
      <w:r>
        <w:rPr>
          <w:noProof/>
        </w:rPr>
        <w:t xml:space="preserve">Potrzeby, które należy zaspokoić w perspektywie krótko- lub długoterminowej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>
        <w:rPr>
          <w:noProof/>
        </w:rPr>
        <w:t>Wprowadzenie organu z udziałem wielu zainteresowanych stron skutecznie wzmocniłoby i poszerzyło wkład w dobre zarządzanie Rejestrem .eu i podniosło poziom przejrzystości ładu korporacyjnego; byłoby również odzwierciedleniem podejścia opartego na zaangażowaniu wielu stron. Dzięki temu model stałby się zgodny z deklarowaną przez Komisję polityką odnoszącą się do zarządzania internetem.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>
        <w:rPr>
          <w:noProof/>
        </w:rPr>
        <w:t>Przedstawiciele wszystkich właściwych zainteresowanych stron będą mogli uczestniczyć w dialogu i bliżej objaśniać konsekwencje decyzji oraz udzielać porad dotyczących wdrażania domeny .eu. Członkowie nowego organu zarządzającego zostaną mianowani przez Komisję na podstawie otwartej i przejrzystej procedury, mającej na celu ograniczenie ryzyka potencjalnego konfliktu interesów.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Wartość dodana z tytułu zaangażowania Unii Europejskiej (może wynikać z różnych czynników, na przykład korzyści koordynacyjnych, pewności prawa, większej efektywności lub komplementarności). Na potrzeby tego punktu „wartość dodaną z tytułu zaangażowania Unii” należy rozumieć jako wartość wynikającą z unijnej interwencji wykraczającą poza wartość, która zostałaby wytworzona przez same państwa członkowskie.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Oczekiwana wygenerowana wartość dodana UE (</w:t>
      </w:r>
      <w:r>
        <w:rPr>
          <w:i/>
          <w:noProof/>
        </w:rPr>
        <w:t>ex post</w:t>
      </w:r>
      <w:r>
        <w:rPr>
          <w:noProof/>
        </w:rPr>
        <w:t xml:space="preserve">): istnienie TLD .eu jest wysoce symboliczne i odzwierciedla obecność europejskiej wspólnoty internetowej (skupiającej obywateli, instytucje i przedsiębiorstwa), która chce być jasno rozpoznawana jako taka. Użytkownikom, którzy pragną prowadzić działalność na jednolitym rynku, domena .eu nadaje powszechnie uznawane, konkretne europejskie odniesienie.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Ramy regulacyjne na poziomie unijnym dla domeny .eu są przydatne do kontynuacji zapewniania i rozbudowy przestrzeni nazw domen w internecie w ramach TLD .eu, w której mają zastosowanie stosowne przepisy unijne oraz zasady ochrony danych i ochrony konsumentów.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Działanie regulacyjne podjęte na poziomie państw członkowskich nie doprowadziłoby do osiągnięcia zasadniczych celów, leżących u podstaw stworzenia godnej zaufania i innowacyjnej przestrzeni nazw dla UE oraz zrządzania nią; nie promowałoby wizerunku unii Europejskiej w internecie i nie przyniosłoby wartości dodanej w zakresie możliwości większego wyboru dla użytkowników, wykraczającego poza krajowe ccTLD.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Główne wnioski wyciągnięte z podobnych działań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Obecne ramy regulacyjne nie zapewniają optymalnej struktury zarządzania w zakresie nadzoru i rozliczalności zgodnie z zadeklarowanym przez Komisję podejściem do zarządzania internetem.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Spójność z innymi właściwymi instrumentami oraz możliwa synergia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br w:type="page"/>
        <w:t xml:space="preserve">Okres trwania działania i jego wpływ finansowy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Wniosek/inicjatywa o </w:t>
      </w:r>
      <w:r>
        <w:rPr>
          <w:b/>
          <w:noProof/>
        </w:rPr>
        <w:t xml:space="preserve">ograniczonym okresie trwania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Okres trwania wniosku/inicjatywy: od [DD/MM]RRRR r. do [DD/MM]RRRR r.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Okres trwania wpływu finansowego: od RRRR r. do RRRR r. </w:t>
      </w:r>
    </w:p>
    <w:p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Wniosek/inicjatywa o </w:t>
      </w:r>
      <w:r>
        <w:rPr>
          <w:b/>
          <w:noProof/>
        </w:rPr>
        <w:t>nieograniczonym okresie trwania</w:t>
      </w:r>
      <w:r>
        <w:rPr>
          <w:rStyle w:val="FootnoteReference"/>
          <w:b/>
          <w:noProof/>
        </w:rPr>
        <w:footnoteReference w:id="2"/>
      </w:r>
    </w:p>
    <w:p>
      <w:pPr>
        <w:pStyle w:val="ListDash1"/>
        <w:rPr>
          <w:noProof/>
        </w:rPr>
      </w:pPr>
      <w:r>
        <w:rPr>
          <w:noProof/>
        </w:rPr>
        <w:t>Wprowadzenie w życie z okresem rozruchu od 2020 r. do 2020 r.,</w:t>
      </w:r>
    </w:p>
    <w:p>
      <w:pPr>
        <w:pStyle w:val="ListDash1"/>
        <w:rPr>
          <w:noProof/>
        </w:rPr>
      </w:pPr>
      <w:r>
        <w:rPr>
          <w:noProof/>
        </w:rPr>
        <w:t>po którym następuje faza operacyjna.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>Planowane tryby zarządzania</w:t>
      </w:r>
      <w:r>
        <w:rPr>
          <w:rStyle w:val="FootnoteReference"/>
          <w:noProof/>
        </w:rPr>
        <w:footnoteReference w:id="3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</w:t>
      </w:r>
      <w:r>
        <w:rPr>
          <w:b/>
          <w:noProof/>
        </w:rPr>
        <w:t>Bezpośrednie zarządzanie</w:t>
      </w:r>
      <w:r>
        <w:rPr>
          <w:noProof/>
        </w:rPr>
        <w:t xml:space="preserve"> przez Komisję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w ramach jej służb, w tym za pośrednictwem jej pracowników w delegaturach Unii;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przez agencje wykonawcze;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Zarządzanie dzielone</w:t>
      </w:r>
      <w:r>
        <w:rPr>
          <w:noProof/>
        </w:rPr>
        <w:t xml:space="preserve"> z państwami członkowskimi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Zarządzanie pośrednie</w:t>
      </w:r>
      <w:r>
        <w:rPr>
          <w:noProof/>
        </w:rPr>
        <w:t xml:space="preserve"> poprzez przekazanie zadań związanych z wykonaniem budżetu: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państwom trzecim lub organom przez nie wyznaczonym;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organizacjom międzynarodowym i ich agencjom (należy wyszczególnić);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EBI oraz Europejskiemu Funduszowi Inwestycyjnemu;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organom, o których mowa w art. 208 i 209 rozporządzenia finansowego;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prawa publicznego;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prywatnemu, które świadczą usługi użyteczności publicznej, o ile zapewniają one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 państwa członkowskiego, którym powierzono realizację partnerstwa publiczno-prywatnego oraz które zapewniają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osobom odpowiedzialnym za wykonanie określonych działań w dziedzinie wspólnej polityki zagranicznej i bezpieczeństwa na mocy tytułu V Traktatu o Unii Europejskiej oraz określonym we właściwym podstawowym akcie prawnym.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W przypadku wskazania więcej niż jednego trybu należy podać dodatkowe informacje w części „Uwagi”.</w:t>
      </w:r>
    </w:p>
    <w:p>
      <w:pPr>
        <w:rPr>
          <w:noProof/>
        </w:rPr>
      </w:pPr>
      <w:r>
        <w:rPr>
          <w:noProof/>
        </w:rPr>
        <w:t xml:space="preserve">Uwagi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 xml:space="preserve"> </w:t>
      </w:r>
    </w:p>
    <w:p>
      <w:pPr>
        <w:pStyle w:val="Heading1"/>
        <w:rPr>
          <w:bCs w:val="0"/>
          <w:noProof/>
          <w:szCs w:val="24"/>
        </w:rPr>
      </w:pPr>
      <w:r>
        <w:rPr>
          <w:noProof/>
        </w:rPr>
        <w:t xml:space="preserve">ŚRODKI ZARZĄDZANIA </w:t>
      </w:r>
    </w:p>
    <w:p>
      <w:pPr>
        <w:pStyle w:val="Heading2"/>
        <w:rPr>
          <w:noProof/>
        </w:rPr>
      </w:pPr>
      <w:r>
        <w:rPr>
          <w:noProof/>
        </w:rPr>
        <w:t xml:space="preserve">Zasady nadzoru i sprawozdawczości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Określić częstotliwość i warunki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Komisja będzie monitorować stosowanie rozporządzenia i przedłoży sprawozdanie ze swojej oceny Parlamentowi Europejskiemu i Radzie oraz Europejskiemu Komitetowi Ekonomiczno-Społecznemu nie później niż pięć lat od daty rozpoczęcia stosowania niniejszego rozporządzenia.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Ponadto postęp w zakresie TLD .eu będzie regularnie monitorowany poprzez składanie sprawozdań dla Parlamentu Europejskiego i Rady na temat wdrożenia, skuteczności i funkcjonowania domeny, trzy lata po przedstawieniu wspomnianego sprawozdania z oceny, a następnie co trzy lata.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System zarządzania i kontroli </w:t>
      </w:r>
    </w:p>
    <w:p>
      <w:pPr>
        <w:pStyle w:val="Heading3"/>
        <w:rPr>
          <w:noProof/>
        </w:rPr>
      </w:pPr>
      <w:r>
        <w:rPr>
          <w:noProof/>
        </w:rPr>
        <w:t xml:space="preserve">Zidentyfikowane ryzyko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Zidentyfikowane ryzyko jest związane z koniecznością zagwarantowania niezależności od Rejestru .eu, a także możliwym konfliktem interesów ekspertów będących członkami Rady Zainteresowanych Stron ds. domeny .eu.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Informacje dotyczące struktury wewnętrznego systemu kontroli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Podstawowe praktyczne sposoby utworzenia oddzielnego podmiotu określono w części normatywnej rozporządzenia. Rada Zainteresowanych Stron ds. domeny .eu zostanie utworzona przez Komisję z wykorzystaniem ustalonych zasad dotyczących grup ekspertów. Wymogi prawne będą obejmować: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a)</w:t>
      </w:r>
      <w:r>
        <w:rPr>
          <w:noProof/>
        </w:rPr>
        <w:tab/>
        <w:t>środki w celu zagwarantowania nowo utworzonemu organowi zarządzającemu niezbędnej autonomii i niezależności od Rejestru;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b)</w:t>
      </w:r>
      <w:r>
        <w:rPr>
          <w:noProof/>
        </w:rPr>
        <w:tab/>
        <w:t>zagwarantowanie, aby nowo utworzony organ zarządzający działał zgodnie z celami i politykami Komisji;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c)</w:t>
      </w:r>
      <w:r>
        <w:rPr>
          <w:noProof/>
        </w:rPr>
        <w:tab/>
        <w:t>główne zadania (w zasadzie jedynie doradcze) powierzone nowo utworzonemu organowi zarządzającemu, a także jego relacje z Komisją i Rejestrem;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d)</w:t>
      </w:r>
      <w:r>
        <w:rPr>
          <w:noProof/>
        </w:rPr>
        <w:tab/>
        <w:t>rolę i uprawnienia Komisji w stosunku do Rejestru oraz nowo utworzonego organu zarządzającego (np. nadzór Komisji nad Rejestrem).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noProof/>
        </w:rPr>
      </w:pPr>
      <w:r>
        <w:rPr>
          <w:noProof/>
        </w:rPr>
        <w:t xml:space="preserve">Oszacowanie kosztów i korzyści wynikających z kontroli i ocena prawdopodobnego ryzyka błędu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Funkcjonowanie Rady Zainteresowanych Stron ds. domeny .eu oparte jest na przepisach dotyczących tworzenia i funkcjonowania grup ekspertów Komisji.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Środki zapobiegania nadużyciom finansowym i nieprawidłowościom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Określić istniejące lub przewidywane środki zapobiegania i ochrony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 art. 13 wniosku ustawodawczego w sprawie ccTLD .eu przyznano Komisji szczególne uprawnienia nadzorcze w stosunku do operatora Rejestru, które obejmowałyby środki zapobiegania nadużyciom finansowym i nieprawidłowościom.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Ponadto umowa z Rejestrem będzie zawierać szczegółowe przepisy służące zapobieganiu nadużyciom finansowym i nieprawidłowościom.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1"/>
        <w:rPr>
          <w:bCs w:val="0"/>
          <w:noProof/>
          <w:szCs w:val="24"/>
        </w:rPr>
      </w:pPr>
      <w:r>
        <w:rPr>
          <w:noProof/>
        </w:rPr>
        <w:t xml:space="preserve">SZACUNKOWY WPŁYW FINANSOWY WNIOSKU/INICJATYWY </w:t>
      </w:r>
    </w:p>
    <w:p>
      <w:pPr>
        <w:pStyle w:val="Heading2"/>
        <w:rPr>
          <w:noProof/>
        </w:rPr>
      </w:pPr>
      <w:r>
        <w:rPr>
          <w:noProof/>
        </w:rPr>
        <w:t xml:space="preserve">Działy wieloletnich ram finansowych i linie budżetowe po stronie wydatków, na które wniosek/inicjatywa ma wpływ </w:t>
      </w:r>
    </w:p>
    <w:p>
      <w:pPr>
        <w:pStyle w:val="ListBullet1"/>
        <w:rPr>
          <w:noProof/>
        </w:rPr>
      </w:pPr>
      <w:r>
        <w:rPr>
          <w:noProof/>
        </w:rPr>
        <w:t xml:space="preserve">Istniejące linie budżetowe </w:t>
      </w:r>
    </w:p>
    <w:p>
      <w:pPr>
        <w:pStyle w:val="Text1"/>
        <w:rPr>
          <w:noProof/>
        </w:rPr>
      </w:pPr>
      <w:r>
        <w:rPr>
          <w:noProof/>
          <w:u w:val="single"/>
        </w:rPr>
        <w:t>Według działów</w:t>
      </w:r>
      <w:r>
        <w:rPr>
          <w:noProof/>
        </w:rPr>
        <w:t xml:space="preserve"> wieloletnich ram finansowych i linii budżetowych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866"/>
        <w:gridCol w:w="1200"/>
        <w:gridCol w:w="956"/>
        <w:gridCol w:w="1080"/>
        <w:gridCol w:w="956"/>
        <w:gridCol w:w="1448"/>
      </w:tblGrid>
      <w:tr>
        <w:tc>
          <w:tcPr>
            <w:tcW w:w="3054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Dział wieloletnich ram finansowych</w:t>
            </w:r>
          </w:p>
        </w:tc>
        <w:tc>
          <w:tcPr>
            <w:tcW w:w="1866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Linia budżetowa</w:t>
            </w: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środków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Wkład </w:t>
            </w:r>
          </w:p>
        </w:tc>
      </w:tr>
      <w:tr>
        <w:tc>
          <w:tcPr>
            <w:tcW w:w="3054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866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Numer </w:t>
            </w:r>
            <w:r>
              <w:rPr>
                <w:noProof/>
                <w:sz w:val="20"/>
              </w:rPr>
              <w:br/>
              <w:t xml:space="preserve">Dział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Zróżn. / Niezróżn.</w:t>
            </w:r>
            <w:r>
              <w:rPr>
                <w:rStyle w:val="FootnoteReference"/>
                <w:noProof/>
                <w:sz w:val="22"/>
              </w:rPr>
              <w:footnoteReference w:id="4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państw EFTA</w:t>
            </w:r>
            <w:r>
              <w:rPr>
                <w:rStyle w:val="FootnoteReference"/>
                <w:noProof/>
                <w:sz w:val="18"/>
              </w:rPr>
              <w:footnoteReference w:id="5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krajów kandydujących</w:t>
            </w:r>
            <w:r>
              <w:rPr>
                <w:rStyle w:val="FootnoteReference"/>
                <w:noProof/>
                <w:sz w:val="18"/>
              </w:rPr>
              <w:footnoteReference w:id="6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państw trzecich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w rozumieniu art. 21 ust. 2 lit. b) rozporządzenia finansowego </w:t>
            </w:r>
          </w:p>
        </w:tc>
      </w:tr>
      <w:tr>
        <w:tc>
          <w:tcPr>
            <w:tcW w:w="305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Ustalanie i wdrażanie polityki unijnej w dziedzinie łączności elektronicznej</w:t>
            </w:r>
          </w:p>
        </w:tc>
        <w:tc>
          <w:tcPr>
            <w:tcW w:w="1866" w:type="dxa"/>
            <w:vAlign w:val="center"/>
          </w:tcPr>
          <w:p>
            <w:pPr>
              <w:spacing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09.0201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Zróżn.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NIE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Szacunkowy wpływ na wydatki </w:t>
      </w:r>
    </w:p>
    <w:p>
      <w:pPr>
        <w:pStyle w:val="Text1"/>
        <w:rPr>
          <w:noProof/>
        </w:rPr>
      </w:pPr>
      <w:r>
        <w:rPr>
          <w:noProof/>
          <w:highlight w:val="lightGray"/>
        </w:rPr>
        <w:t xml:space="preserve">[Niniejszą część należy uzupełnić przy użyciu </w:t>
      </w:r>
      <w:hyperlink r:id="rId17">
        <w:r>
          <w:rPr>
            <w:rStyle w:val="Hyperlink"/>
            <w:b/>
            <w:noProof/>
            <w:highlight w:val="lightGray"/>
          </w:rPr>
          <w:t>arkusza kalkulacyjnego dotyczącego danych budżetowych o charakterze administracyjnym</w:t>
        </w:r>
      </w:hyperlink>
      <w:r>
        <w:rPr>
          <w:noProof/>
          <w:highlight w:val="lightGray"/>
        </w:rPr>
        <w:t xml:space="preserve"> (drugi dokument w załączniku do niniejszej oceny skutków finansowych) i przesłać do CISNET w celu konsultacji między służbami.]</w:t>
      </w:r>
    </w:p>
    <w:p>
      <w:pPr>
        <w:pStyle w:val="Heading3"/>
        <w:rPr>
          <w:noProof/>
          <w:u w:val="single"/>
        </w:rPr>
      </w:pPr>
      <w:r>
        <w:rPr>
          <w:noProof/>
        </w:rPr>
        <w:t xml:space="preserve">Synteza szacunkowego wpływu na wydatki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 xml:space="preserve"> Konkurencyjność na rzecz wzrostu gospodarczego i zatrudnienia 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DG CONNECT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1.6).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09 02 01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 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Środki administracyjne finansowane ze środków przydzielonych na określone programy operacyjne</w:t>
            </w:r>
            <w:r>
              <w:rPr>
                <w:rStyle w:val="FootnoteReference"/>
                <w:noProof/>
                <w:sz w:val="21"/>
              </w:rPr>
              <w:footnoteReference w:id="7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Numer linii budżetowej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b/>
                <w:noProof/>
                <w:sz w:val="22"/>
              </w:rPr>
              <w:br/>
              <w:t>dla DG CONNECT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operacyjne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administracyjne finansowane ze środków przydzielonych na określone programy operacyjne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 &lt;1a.&gt;</w:t>
            </w:r>
            <w:r>
              <w:rPr>
                <w:noProof/>
                <w:sz w:val="22"/>
              </w:rPr>
              <w:br/>
              <w:t>wieloletnich ram finansowych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Jeżeli wpływ wniosku/inicjatywy nie ogranicza się do jednego działu: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operacyjne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OGÓŁEM środki administracyjne finansowane ze środków przydzielonych na określone programy operacyjne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DZIAŁY 1 do 4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(kwota referencyjna)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„Wydatki administracyjne”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Wprowadzić taką liczbę kolumn dla poszczególnych lat, jaka jest niezbędna, by odzwierciedlić cały okres wpływu (por. pkt 1.6).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DYREKCJA GENERALNA: 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Pozostałe wydatki administracyjne</w:t>
            </w:r>
          </w:p>
          <w:p>
            <w:pPr>
              <w:spacing w:before="20" w:after="20"/>
              <w:rPr>
                <w:noProof/>
                <w:sz w:val="22"/>
              </w:rPr>
            </w:pPr>
          </w:p>
          <w:p>
            <w:pPr>
              <w:spacing w:before="20" w:after="20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(Rada Zainteresowanych Stron ds. domeny .eu)</w:t>
            </w:r>
          </w:p>
          <w:p>
            <w:pPr>
              <w:spacing w:before="20" w:after="20"/>
              <w:rPr>
                <w:i/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OGÓŁEM DG </w:t>
            </w:r>
            <w:r>
              <w:rPr>
                <w:noProof/>
                <w:sz w:val="22"/>
              </w:rPr>
              <w:t>Connect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 5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(Środki na zobowiązania ogółem = środki na płatności ogółem)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1.6).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DZIAŁY 1 do 5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Szacunkowy wpływ na środki operacyjne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 koniecznością wykorzystania środków operacyjnych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Wniosek/inicjatywa wiąże się z koniecznością wykorzystania środków operacyjnych, jak określono poniżej: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na zobowiązania w mln EUR (do trzech miejsc po przecinku)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720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Określić cele i produkty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1.6).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8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PRODUKT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rStyle w:val="FootnoteReference"/>
                <w:noProof/>
                <w:sz w:val="18"/>
              </w:rPr>
              <w:footnoteReference w:id="8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Średni koszt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 ogółem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 całkowity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Rada Zainteresowanych Stron ds. domeny .eu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81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zwrot kosztów podróży i pobytu ekspertów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0,001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0,032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0,032</w:t>
            </w:r>
          </w:p>
        </w:tc>
      </w:tr>
      <w:tr>
        <w:trPr>
          <w:trHeight w:hRule="exact" w:val="55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organizacja posiedzeń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0,004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0,008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0,008</w:t>
            </w:r>
          </w:p>
        </w:tc>
      </w:tr>
      <w:tr>
        <w:trPr>
          <w:trHeight w:hRule="exact" w:val="141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pozostałe koszty (zewnętrzne sprawozdania, badania)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0,005</w:t>
            </w: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0,010</w:t>
            </w: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0,010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3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KOSZT OGÓŁEM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</w:t>
            </w: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Szacunkowy wpływ na środki administracyjne</w:t>
      </w:r>
    </w:p>
    <w:p>
      <w:pPr>
        <w:pStyle w:val="Heading4"/>
        <w:rPr>
          <w:noProof/>
        </w:rPr>
      </w:pPr>
      <w:r>
        <w:rPr>
          <w:noProof/>
        </w:rPr>
        <w:t xml:space="preserve">Streszczenie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Wniosek/inicjatywa nie wiąże się z koniecznością wykorzystania środków administracyjnych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środków operacyjnych, jak określono poniżej:</w:t>
      </w:r>
    </w:p>
    <w:p>
      <w:pPr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2022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DZIAŁ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 finansowych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Zasoby ludzkie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Pozostałe wydatki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administracyjne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Suma cząstkowa DZIAŁU 5wieloletnich ram 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Poza DZIAŁM 5</w:t>
            </w:r>
            <w:r>
              <w:rPr>
                <w:rStyle w:val="FootnoteReference"/>
                <w:b/>
                <w:noProof/>
                <w:sz w:val="16"/>
              </w:rPr>
              <w:footnoteReference w:id="9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Zasoby ludzkie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Pozostałe wydatki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administracyjne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Suma cząstkowa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poza DZIAŁEM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Potrzeby w zakresie środków na zasoby ludzkie i inne środki o charakterze administracyjnym zostaną pokryte z zasobów DG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pStyle w:val="Heading4"/>
        <w:rPr>
          <w:bCs w:val="0"/>
          <w:noProof/>
          <w:szCs w:val="24"/>
        </w:rPr>
      </w:pPr>
      <w:r>
        <w:rPr>
          <w:noProof/>
        </w:rPr>
        <w:t>Szacowane zapotrzebowanie na zasoby ludzkie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Wniosek/inicjatywa nie wiąże się z koniecznością wykorzystania zasobów ludzkich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zasobów ludzkich, jak określono poniżej: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Wartości szacunkowe należy wyrazić w ekwiwalentach pełnego czasu pracy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952"/>
        <w:gridCol w:w="1954"/>
        <w:gridCol w:w="655"/>
        <w:gridCol w:w="655"/>
        <w:gridCol w:w="3470"/>
        <w:gridCol w:w="422"/>
        <w:gridCol w:w="465"/>
        <w:gridCol w:w="237"/>
        <w:gridCol w:w="237"/>
        <w:gridCol w:w="237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</w:p>
          <w:p>
            <w:pPr>
              <w:spacing w:before="20" w:after="2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</w:p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2022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1.6).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218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Stanowiska przewidziane w planie zatrudnienia (stanowiska urzędników i pracowników zatrudnionych na czas określony)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(w centrali i w biurach przedstawicielstw Komisji)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(w delegaturach)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(bezpośrednie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1" w:type="pct"/>
          <w:trHeight w:val="248"/>
          <w:jc w:val="center"/>
        </w:trPr>
        <w:tc>
          <w:tcPr>
            <w:tcW w:w="4429" w:type="pct"/>
            <w:gridSpan w:val="7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Personel zewnętrzny (w ekwiwalentach pełnego czasu pracy: EPC)</w:t>
            </w:r>
            <w:r>
              <w:rPr>
                <w:rStyle w:val="FootnoteReference"/>
                <w:b/>
                <w:noProof/>
                <w:sz w:val="16"/>
              </w:rPr>
              <w:footnoteReference w:id="1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(CA, SNE, INT z globalnej koperty finansowej)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(CA, LA, SNE, INT i JED w delegaturach)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w centrali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w delegaturach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(CA, SNE, INT – 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(CA, SNE, INT – bezpośrednie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Inne linie budżetowe (określić)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</w:rPr>
        <w:t xml:space="preserve"> </w:t>
      </w:r>
      <w:r>
        <w:rPr>
          <w:noProof/>
          <w:sz w:val="18"/>
        </w:rPr>
        <w:t>oznacza odpowiednią dziedzinę polityki lub odpowiedni tytuł w budżecie.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Potrzeby w zakresie zasobów ludzkich zostaną pokryte z zasobów DG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rPr>
          <w:noProof/>
          <w:sz w:val="20"/>
        </w:rPr>
      </w:pPr>
      <w:r>
        <w:rPr>
          <w:noProof/>
          <w:sz w:val="20"/>
        </w:rPr>
        <w:t>Opis zadań do wykonania: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Urzędnicy i pracownicy zatrudnieni na czas określony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Personel zewnętrzny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Zgodność z obowiązującymi wieloletnimi ramami finansowymi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Wniosek/inicjatywa jest zgodny(-a) z obowiązującymi wieloletnimi ramami finansowymi.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wymaga przeprogramowania odpowiedniego działu w wieloletnich ramach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Nie będą potrzebne dodatkowe środki z budżetu UE ponad to, co już przewidziano w programowaniu finansowym.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wymaga zastosowania instrumentu elastyczności lub zmiany wieloletnich ram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Należy wyjaśnić, który wariant jest konieczny, określając linie budżetowe, których ma on dotyczyć, oraz podając odpowiednie kwoty.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Udział osób trzecich w finansowaniu </w:t>
      </w:r>
    </w:p>
    <w:p>
      <w:pPr>
        <w:pStyle w:val="ListDash1"/>
        <w:rPr>
          <w:noProof/>
        </w:rPr>
      </w:pPr>
      <w:r>
        <w:rPr>
          <w:noProof/>
        </w:rPr>
        <w:t xml:space="preserve">Wniosek/inicjatywa nie przewiduje współfinansowania ze strony osób trzecich </w:t>
      </w:r>
    </w:p>
    <w:p>
      <w:pPr>
        <w:pStyle w:val="ListDash1"/>
        <w:rPr>
          <w:noProof/>
        </w:rPr>
      </w:pPr>
      <w:r>
        <w:rPr>
          <w:noProof/>
        </w:rPr>
        <w:t>Wniosek/inicjatywa przewiduje współfinansowanie szacowane zgodnie z poniższym: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na zobowiązania w mln EUR (do trzech miejsc po przecinku)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Wprowadzić taką liczbę kolumn dla poszczególnych lat, jaka jest niezbędna, by odzwierciedlić cały okres wpływu (por. pkt 1.6).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Ogółem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Określić organ współfinansujący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OGÓŁEM środki objęte współfinansowaniem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br w:type="page"/>
        <w:t xml:space="preserve">Szacunkowy wpływ na dochody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Wniosek/inicjatywa nie ma wpływu finansowego na dochody.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ma wpływ finansowy określony poniżej: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zasoby własne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dochody różne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w mln EUR (do trzech miejsc po przecinku)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Linia budżetowa po stronie dochodów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zapisane w budżecie na bieżący rok budżetowy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Wpływ wniosku/inicjatywy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1.6).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Artykuł …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W przypadku wpływu na dochody różne „przeznaczone na określony cel” należy wskazać linie budżetowe po stronie wydatków, które ten wpływ obejmie.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Należy określić metodę obliczania wpływu na dochody.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O którym mowa w art. 54 ust. 2 lit. a) lub b) rozporządzenia finansowego.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Ewentualny wpływ kolejnych WRF na lata 2021–2027 będzie przedmiotem negocjacji w tej sprawie.</w:t>
      </w:r>
    </w:p>
  </w:footnote>
  <w:footnote w:id="3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Wyjaśnienia dotyczące trybów zarządzania oraz odniesienia do rozporządzenia finansowego znajdują się na następującej stronie: </w:t>
      </w:r>
      <w:hyperlink r:id="rId1">
        <w:r>
          <w:rPr>
            <w:rStyle w:val="Hyperlink"/>
          </w:rPr>
          <w:t>https://myintracomm.ec.europa.eu/budgweb/EN/man/budgmanag/Pages/budgmanag.aspx</w:t>
        </w:r>
      </w:hyperlink>
      <w:r>
        <w:t xml:space="preserve"> </w:t>
      </w:r>
    </w:p>
  </w:footnote>
  <w:footnote w:id="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Zróżn. = Środki zróżnicowane / Niezróżn. = Środki niezróżnicowane.</w:t>
      </w:r>
    </w:p>
  </w:footnote>
  <w:footnote w:id="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Europejskie Stowarzyszenie Wolnego Handlu. </w:t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Kraje kandydujące oraz w stosownych przypadkach potencjalne kraje kandydujące Bałkanów Zachodnich.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Produkty odnoszą się do produktów i usług, które zostaną zapewnione (np. liczba sfinansowanych wymian studentów, liczba kilometrów zbudowanych dróg itp.).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CA = personel kontraktowy; LA = personel miejscowy; SNE = oddelegowany ekspert krajowy; INT = personel tymczasowy; JED = młodszy oddelegowany ekspert. 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ramach podpułapu na personel zewnętrzny ze środków operacyjnych (dawne linie „BA”).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przypadku tradycyjnych zasobów własnych (opłaty celne, opłaty wyrównawcze od cukru) należy wskazać kwoty netto, tzn. kwoty brutto po odliczeniu 25 % na poczet kosztów poboru.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14AD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34F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94A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9E1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A5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AA4F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D14D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700"/>
        </w:tabs>
        <w:ind w:left="1700" w:hanging="283"/>
      </w:pPr>
      <w:rPr>
        <w:rFonts w:ascii="Times New Roman" w:hAnsi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3405529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24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1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  <w:num w:numId="26">
    <w:abstractNumId w:val="18"/>
  </w:num>
  <w:num w:numId="27">
    <w:abstractNumId w:val="25"/>
  </w:num>
  <w:num w:numId="28">
    <w:abstractNumId w:val="21"/>
  </w:num>
  <w:num w:numId="29">
    <w:abstractNumId w:val="13"/>
  </w:num>
  <w:num w:numId="30">
    <w:abstractNumId w:val="23"/>
  </w:num>
  <w:num w:numId="31">
    <w:abstractNumId w:val="11"/>
  </w:num>
  <w:num w:numId="32">
    <w:abstractNumId w:val="14"/>
  </w:num>
  <w:num w:numId="33">
    <w:abstractNumId w:val="9"/>
  </w:num>
  <w:num w:numId="34">
    <w:abstractNumId w:val="22"/>
  </w:num>
  <w:num w:numId="35">
    <w:abstractNumId w:val="8"/>
  </w:num>
  <w:num w:numId="36">
    <w:abstractNumId w:val="15"/>
  </w:num>
  <w:num w:numId="37">
    <w:abstractNumId w:val="19"/>
  </w:num>
  <w:num w:numId="38">
    <w:abstractNumId w:val="20"/>
  </w:num>
  <w:num w:numId="39">
    <w:abstractNumId w:val="10"/>
  </w:num>
  <w:num w:numId="40">
    <w:abstractNumId w:val="18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8 12:01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237DCCD-5FF8-42C0-B749-8BF388D0623C"/>
    <w:docVar w:name="LW_COVERPAGE_TYPE" w:val="1"/>
    <w:docVar w:name="LW_CROSSREFERENCE" w:val="{SEC(2018) 205 final}_x000b_{SWD(2018) 120 final}_x000b_{SWD(2018) 121 final}_x000b_{SWD(2018) 122 final}"/>
    <w:docVar w:name="LW_DocType" w:val="ANNEX"/>
    <w:docVar w:name="LW_EMISSION" w:val="27.4.2018"/>
    <w:docVar w:name="LW_EMISSION_ISODATE" w:val="2018-04-27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wdra\u380?ania i funkcjonowania domeny najwy\u380?szego poziomu .eu oraz&lt;LWCR:NBS&gt;uchylenia rozporz\u261?dzenia (WE) nr 733/2002 i rozporz\u261?dzenia Komisji (WE)&lt;LWCR:NBS&gt;nr&lt;LWCR:NBS&gt;874/2004_x000b_"/>
    <w:docVar w:name="LW_OBJETACTEPRINCIPAL.CP" w:val="w sprawie wdra\u380?ania i funkcjonowania domeny najwy\u380?szego poziomu .eu oraz uchylenia rozporz\u261?dzenia (WE) nr 733/2002 i rozporz\u261?dzenia Komisji (WE) nr 874/2004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_x000b_ROZPORZ\u260?DZENIA PARLAMENTU EUROPEJSKIEGO I RADY"/>
    <w:docVar w:name="LW_TYPEACTEPRINCIPAL.CP" w:val="wniosku dotycz\u261?cego_x000b_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">
    <w:name w:val="List Dash"/>
    <w:basedOn w:val="Normal"/>
    <w:pPr>
      <w:numPr>
        <w:numId w:val="2"/>
      </w:numPr>
    </w:pPr>
  </w:style>
  <w:style w:type="paragraph" w:customStyle="1" w:styleId="ListDash1">
    <w:name w:val="List Dash 1"/>
    <w:basedOn w:val="Normal"/>
    <w:pPr>
      <w:numPr>
        <w:numId w:val="3"/>
      </w:numPr>
    </w:pPr>
  </w:style>
  <w:style w:type="paragraph" w:customStyle="1" w:styleId="ListDash2">
    <w:name w:val="List Dash 2"/>
    <w:basedOn w:val="Normal"/>
    <w:pPr>
      <w:numPr>
        <w:numId w:val="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</w:style>
  <w:style w:type="character" w:styleId="CommentReference">
    <w:name w:val="annotation reference"/>
    <w:rPr>
      <w:rFonts w:cs="Times New Roman"/>
      <w:sz w:val="16"/>
      <w:szCs w:val="16"/>
      <w:lang w:val="pl-PL" w:eastAsia="pl-PL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lang w:val="pl-PL" w:eastAsia="pl-PL"/>
    </w:rPr>
  </w:style>
  <w:style w:type="character" w:styleId="Hyperlink">
    <w:name w:val="Hyperlink"/>
    <w:rPr>
      <w:rFonts w:cs="Times New Roman"/>
      <w:color w:val="0000FF"/>
      <w:u w:val="single"/>
      <w:lang w:val="pl-PL" w:eastAsia="pl-PL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l-PL" w:eastAsia="pl-PL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ListBullet2">
    <w:name w:val="List Bullet 2"/>
    <w:basedOn w:val="Normal"/>
    <w:pPr>
      <w:numPr>
        <w:numId w:val="7"/>
      </w:numPr>
      <w:contextualSpacing/>
    </w:p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lang w:val="pl-PL" w:eastAsia="pl-P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">
    <w:name w:val="List Dash"/>
    <w:basedOn w:val="Normal"/>
    <w:pPr>
      <w:numPr>
        <w:numId w:val="2"/>
      </w:numPr>
    </w:pPr>
  </w:style>
  <w:style w:type="paragraph" w:customStyle="1" w:styleId="ListDash1">
    <w:name w:val="List Dash 1"/>
    <w:basedOn w:val="Normal"/>
    <w:pPr>
      <w:numPr>
        <w:numId w:val="3"/>
      </w:numPr>
    </w:pPr>
  </w:style>
  <w:style w:type="paragraph" w:customStyle="1" w:styleId="ListDash2">
    <w:name w:val="List Dash 2"/>
    <w:basedOn w:val="Normal"/>
    <w:pPr>
      <w:numPr>
        <w:numId w:val="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</w:style>
  <w:style w:type="character" w:styleId="CommentReference">
    <w:name w:val="annotation reference"/>
    <w:rPr>
      <w:rFonts w:cs="Times New Roman"/>
      <w:sz w:val="16"/>
      <w:szCs w:val="16"/>
      <w:lang w:val="pl-PL" w:eastAsia="pl-PL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lang w:val="pl-PL" w:eastAsia="pl-PL"/>
    </w:rPr>
  </w:style>
  <w:style w:type="character" w:styleId="Hyperlink">
    <w:name w:val="Hyperlink"/>
    <w:rPr>
      <w:rFonts w:cs="Times New Roman"/>
      <w:color w:val="0000FF"/>
      <w:u w:val="single"/>
      <w:lang w:val="pl-PL" w:eastAsia="pl-PL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l-PL" w:eastAsia="pl-PL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ListBullet2">
    <w:name w:val="List Bullet 2"/>
    <w:basedOn w:val="Normal"/>
    <w:pPr>
      <w:numPr>
        <w:numId w:val="7"/>
      </w:numPr>
      <w:contextualSpacing/>
    </w:p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lang w:val="pl-PL" w:eastAsia="pl-P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c.cec/budg/leg/internal/leg-070_internal_en.html" TargetMode="Externa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intracomm.ec.europa.eu/budgweb/EN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16</Pages>
  <Words>2732</Words>
  <Characters>18389</Characters>
  <Application>Microsoft Office Word</Application>
  <DocSecurity>0</DocSecurity>
  <Lines>1225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MONFORT Veronique (CNECT)</dc:creator>
  <cp:lastModifiedBy>DIGIT/A3</cp:lastModifiedBy>
  <cp:revision>8</cp:revision>
  <dcterms:created xsi:type="dcterms:W3CDTF">2018-04-25T06:24:00Z</dcterms:created>
  <dcterms:modified xsi:type="dcterms:W3CDTF">2018-05-18T10:01:00Z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