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E2B7F62-6A21-4CF3-8358-81A542D635A0" style="width:450.8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Ficha financeira legislativa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CONTEXTO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Denominação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Domínio(s) de intervenção abrangido(s)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Natureza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Objetivo(s)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Justificação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Duração da ação e impacto financeiro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Modalidade(s) de gestão planeada(s)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MEDIDAS DE GESTÃO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Disposições em matéria de acompanhamento e prestação de informações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de gestão e de controlo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Medidas de prevenção de fraudes e irregularidades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IMPACTO FINANCEIRO ESTIMADO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Rubrica(s) do quadro financeiro plurianual e rubrica(s) orçamental(is) de despesas envolvida(s)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Impacto estimado nas despesas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Síntese do impacto estimado nas despesas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Impacto estimado nas dotações operacionais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Impacto estimado nas dotações de natureza administrativa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Compatibilidade com o atual quadro financeiro plurianual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Participação de terceiros no financiamento </w:t>
      </w:r>
    </w:p>
    <w:p>
      <w:pPr>
        <w:pStyle w:val="ManualHeading2"/>
        <w:jc w:val="left"/>
        <w:rPr>
          <w:b w:val="0"/>
          <w:noProof/>
        </w:rPr>
        <w:sectPr>
          <w:footerReference w:type="default" r:id="rId16"/>
          <w:footerReference w:type="first" r:id="rId17"/>
          <w:pgSz w:w="11907" w:h="16840" w:code="9"/>
          <w:pgMar w:top="1134" w:right="1418" w:bottom="1134" w:left="1418" w:header="709" w:footer="709" w:gutter="0"/>
          <w:pgNumType w:start="1"/>
          <w:cols w:space="720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Impacto estimado nas receitas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FICHA FINANCEIRA LEGISLATIVA</w:t>
      </w:r>
    </w:p>
    <w:p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CONTEXTO DA PROPOSTA/INICIATIVA </w:t>
      </w:r>
    </w:p>
    <w:p>
      <w:pPr>
        <w:pStyle w:val="Heading2"/>
        <w:rPr>
          <w:noProof/>
        </w:rPr>
      </w:pPr>
      <w:r>
        <w:rPr>
          <w:noProof/>
        </w:rPr>
        <w:t xml:space="preserve">Denominação da proposta/iniciativa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3"/>
          <w:szCs w:val="23"/>
        </w:rPr>
      </w:pPr>
      <w:r>
        <w:rPr>
          <w:noProof/>
          <w:sz w:val="23"/>
        </w:rPr>
        <w:t>Proposta de Regulamento do Parlamento Europeu e do Conselho sobre a implementação e o funcionamento do domínio de topo .eu e que revoga o Regulamento (CE) n.º 733/2002 e o Regulamento (CE) n.º 874/2004 da Comissão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Domínio(s) de intervenção abrangido(s)</w:t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3"/>
          <w:szCs w:val="23"/>
        </w:rPr>
      </w:pPr>
      <w:r>
        <w:rPr>
          <w:noProof/>
          <w:sz w:val="23"/>
        </w:rPr>
        <w:t xml:space="preserve">Domínio de intervenção: 09 - Redes de comunicações, conteúdos e tecnologia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sz w:val="23"/>
        </w:rPr>
        <w:t>Atividade: 09.02 Mercado único digital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Natureza da proposta/iniciativa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A proposta/iniciativa refere-se a </w:t>
      </w:r>
      <w:r>
        <w:rPr>
          <w:b/>
          <w:noProof/>
        </w:rPr>
        <w:t>uma nova ação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A proposta/iniciativa refere-se a </w:t>
      </w:r>
      <w:r>
        <w:rPr>
          <w:b/>
          <w:noProof/>
        </w:rPr>
        <w:t>uma nova ação na sequência de um projeto-piloto/ação preparatória</w:t>
      </w:r>
      <w:r>
        <w:rPr>
          <w:rStyle w:val="FootnoteReference"/>
          <w:b/>
          <w:noProof/>
        </w:rPr>
        <w:footnoteReference w:id="1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FD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proposta/iniciativa refere-se à </w:t>
      </w:r>
      <w:r>
        <w:rPr>
          <w:b/>
          <w:noProof/>
        </w:rPr>
        <w:t>prorrogação de uma ação existente</w:t>
      </w:r>
      <w:r>
        <w:rPr>
          <w:noProof/>
        </w:rPr>
        <w:t xml:space="preserve"> </w:t>
      </w:r>
      <w:r>
        <w:rPr>
          <w:noProof/>
          <w:sz w:val="22"/>
        </w:rPr>
        <w:t>[</w:t>
      </w:r>
      <w:r>
        <w:rPr>
          <w:i/>
          <w:noProof/>
          <w:sz w:val="22"/>
        </w:rPr>
        <w:t>é uma iniciativa REFIT</w:t>
      </w:r>
      <w:r>
        <w:rPr>
          <w:noProof/>
          <w:sz w:val="22"/>
        </w:rPr>
        <w:t>]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 A proposta/iniciativa refere-se a </w:t>
      </w:r>
      <w:r>
        <w:rPr>
          <w:b/>
          <w:noProof/>
        </w:rPr>
        <w:t>uma ação reorientada para uma nova ação</w:t>
      </w:r>
      <w:r>
        <w:rPr>
          <w:noProof/>
        </w:rPr>
        <w:t xml:space="preserve"> 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>Objetivo(s)</w:t>
      </w:r>
    </w:p>
    <w:p>
      <w:pPr>
        <w:pStyle w:val="Heading3"/>
        <w:rPr>
          <w:noProof/>
        </w:rPr>
      </w:pPr>
      <w:r>
        <w:rPr>
          <w:noProof/>
        </w:rPr>
        <w:t xml:space="preserve">Objetivo(s) estratégico(s) plurianual(is) da Comissão visado(s) pela proposta/iniciativa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 objetivo geral da iniciativa é assegurar a estabilidade e sustentabilidade do TLD .eu, a fim de lhe permitir cumprir a sua missão, a qual consiste em: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Incentivar as atividades transfronteiras em linha na Europa e apoiar o mercado único digital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Promover/construir uma identidade europeia em linha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Objetivo(s) específico(s) e objetivo específico n.º [ ]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«Objectivo(s) específico(s)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Objetivo específico n.º 1: suprimir os requisitos jurídicos/administrativos desatualizados.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Objetivo específico n.º 2: garantir que as regras são orientadas para o futuro e permitem a adaptação do domínio .eu à rápida evolução do mercado de TLD e ao dinamismo da paisagem digital, incorporando e promovendo simultaneamente as prioridades da UE no mundo em linha.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Objetivo específico n.º 3: assegurar uma estrutura de governação que reflita as melhores práticas em termos técnicos e de governação e que sirva o interesse público da UE.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Objetivo específico n.º 4: promover a atratividade do domínio .eu.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A parte restante da ficha centra-se no objetivo específico n.º 3.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br w:type="page"/>
        <w:t>Resultados e impacto esperados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os efeitos que a proposta/iniciativa poderá ter nos beneficiários/na população visada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Em relação ao objetivo específico n.º 3, a proposta introduz um quadro de governação distinto: embora se mantenha o atual modelo de externalização das atividades operacionais quotidianas para um operador externo, está prevista a criação de um organismo multilateral específico com funções consultivas. A criação de um organismo multilateral (o Conselho Multilateral .eu) reforçará e alargará eficazmente os contributos para a boa governação do Registo .eu, além de aumentar a transparência do seu governo societário.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 Conselho Multilateral .eu deverá ser dotado dos recursos adequados. Os custos, estimados em cerca de 50 000 EUR por ano (para o reembolso de viagens e ajudas de custo de peritos, organização de reuniões e despesas relativas a atividades como a produção de relatórios e estudos externos), serão cobertos pela Comissão.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Indicadores de resultados e de impacto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os indicadores que permitem acompanhar a execução da proposta/iniciativa.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Em relação ao objetivo específico n.º 3: número e importância das conclusões das auditorias externas sobre o Registo .eu;  solidez e resiliência da infraestrutura técnica;  taxas de testes de vulnerabilidade e de penetração anuais; indicadores de sustentabilidade financeira a longo prazo, incluindo a percentagem de maus pagadores; número de riscos avaliados, número de exercícios relativos à continuidade operacional durante um ano, não conformidades decorrentes dos exercícios de continuidade operacional; prazos de recuperação na sequência de catástrofes e  número de processos judiciais por ano e possíveis custos financeiros.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Justificação da proposta/iniciativa </w:t>
      </w:r>
    </w:p>
    <w:p>
      <w:pPr>
        <w:pStyle w:val="Heading3"/>
        <w:rPr>
          <w:noProof/>
        </w:rPr>
      </w:pPr>
      <w:r>
        <w:rPr>
          <w:noProof/>
        </w:rPr>
        <w:t xml:space="preserve">Necessidade(s) a satisfazer a curto ou a longo prazo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  <w:r>
        <w:rPr>
          <w:noProof/>
        </w:rPr>
        <w:t>A criação de um organismo multilateral reforçará e alargará eficazmente os contributos para a boa governação do Registo .eu, além de aumentar a transparência do seu governo societário, sendo concebido por forma a refletir a abordagem multilateral. Esta iniciativa permitirá a harmonização do modelo com a política proclamada pela Comissão sobre a governação da Internet.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  <w:r>
        <w:rPr>
          <w:noProof/>
        </w:rPr>
        <w:t>Os representantes de todas as partes interessadas poderão participar no diálogo e contribuir para uma melhor compreensão das consequências prováveis das decisões, bem como prestar aconselhamento sobre a implementação do ccTLD .eu. Os membros do novo organismo de governação serão nomeados pela Comissão, com base num procedimento aberto e transparente com vista a limitar o risco de potenciais conflitos de interesses.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Valor acrescentado da intervenção da União (que pode resultar de diferentes fatores, como, por exemplo, ganhos de coordenação, segurança jurídica, maior eficácia ou complementaridades). Para efeitos do presente ponto, entende-se por «valor acrescentado da intervenção da União» o valor resultante da intervenção da União que se acrescenta ao valor que teria sido criado pelos Estados-Membros de forma isolada.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Valor acrescentado para a UE gerado esperado (</w:t>
      </w:r>
      <w:r>
        <w:rPr>
          <w:i/>
          <w:noProof/>
        </w:rPr>
        <w:t>ex post</w:t>
      </w:r>
      <w:r>
        <w:rPr>
          <w:noProof/>
        </w:rPr>
        <w:t xml:space="preserve">): a existência do TLD .eu é muito simbólica e traduz a existência de uma comunidade europeia em linha (de cidadãos, instituições e empresas) que pretende ser claramente identificada como tal. O TLD .eu oferece aos utilizadores que pretendam operar no mercado único uma ligação europeia específica, reconhecida a nível mundial. 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Importa estabelecer um quadro regulamentar à escala da UE para o domínio .eu, de modo a continuar a oferecer e a alargar um espaço de nomes de domínio na Internet no TLD .eu, no âmbito do qual são aplicáveis a legislação da UE pertinente e as regras de proteção dos dados e dos consumidores.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As medidas regulamentares adotadas a nível dos Estados-Membros não oferecem condições para cumprir os objetivos fundamentais subjacentes à criação e gestão de um espaço de nomes fiável e inovador para a UE, promover a imagem da União Europeia na Internet e  produzir valor acrescentado que permita aos utilizadores dispor de um maior número de opções, para além dos ccTLD nacionais.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Lições tiradas de experiências anteriores semelhantes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 atual quadro regulamentar não assegura uma estrutura de governação otimizada em termos de supervisão e de responsabilização, em conformidade com a abordagem proclamada pela Comissão para a governação da Internet.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Compatibilidade e eventual sinergia com outros instrumentos adequados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br w:type="page"/>
        <w:t xml:space="preserve">Duração da ação e impacto financeiro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Proposta/iniciativa de </w:t>
      </w:r>
      <w:r>
        <w:rPr>
          <w:b/>
          <w:noProof/>
        </w:rPr>
        <w:t xml:space="preserve">duração limitada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Proposta/iniciativa válida entre [DD/MM]AAAA e [DD/MM]AAAA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Impacto financeiro no período compreendido entre AAAA e AAAA </w:t>
      </w:r>
    </w:p>
    <w:p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Proposta/iniciativa de </w:t>
      </w:r>
      <w:r>
        <w:rPr>
          <w:b/>
          <w:noProof/>
        </w:rPr>
        <w:t>duração ilimitada</w:t>
      </w:r>
      <w:r>
        <w:rPr>
          <w:rStyle w:val="FootnoteReference"/>
          <w:b/>
          <w:noProof/>
        </w:rPr>
        <w:footnoteReference w:id="2"/>
      </w:r>
    </w:p>
    <w:p>
      <w:pPr>
        <w:pStyle w:val="ListDash1"/>
        <w:rPr>
          <w:noProof/>
        </w:rPr>
      </w:pPr>
      <w:r>
        <w:rPr>
          <w:noProof/>
        </w:rPr>
        <w:t>Aplicação com um período de arranque progressivo entre 2020 e 2020,</w:t>
      </w:r>
    </w:p>
    <w:p>
      <w:pPr>
        <w:pStyle w:val="ListDash1"/>
        <w:rPr>
          <w:noProof/>
        </w:rPr>
      </w:pPr>
      <w:r>
        <w:rPr>
          <w:noProof/>
        </w:rPr>
        <w:t>seguido de um período de aplicação a um ritmo de cruzeiro.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>Modalidade(s) de gestão planeada(s)</w:t>
      </w:r>
      <w:r>
        <w:rPr>
          <w:rStyle w:val="FootnoteReference"/>
          <w:noProof/>
        </w:rPr>
        <w:footnoteReference w:id="3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i/>
          <w:noProof/>
        </w:rPr>
        <w:t xml:space="preserve"> </w:t>
      </w:r>
      <w:r>
        <w:rPr>
          <w:b/>
          <w:noProof/>
        </w:rPr>
        <w:t>Gestão direta</w:t>
      </w:r>
      <w:r>
        <w:rPr>
          <w:noProof/>
        </w:rPr>
        <w:t xml:space="preserve"> por parte da Comissão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por parte dos seus serviços, incluindo pelo seu pessoal nas delegações da União;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por parte das agências de execução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Gestão partilhada</w:t>
      </w:r>
      <w:r>
        <w:rPr>
          <w:noProof/>
        </w:rPr>
        <w:t xml:space="preserve"> com os Estados-Membros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i/>
          <w:noProof/>
        </w:rPr>
        <w:t xml:space="preserve"> </w:t>
      </w:r>
      <w:r>
        <w:rPr>
          <w:b/>
          <w:noProof/>
        </w:rPr>
        <w:t>Gestão indireta</w:t>
      </w:r>
      <w:r>
        <w:rPr>
          <w:noProof/>
        </w:rPr>
        <w:t xml:space="preserve"> confiando tarefas de execução orçamental: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países terceiros ou a organismos por estes designados;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organizações internacionais e respetivas agências (a especificar);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ao BEI e ao Fundo Europeu de Investimento;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aos organismos a que se referem os artigos 208.º e 209.º do Regulamento Financeiro;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de direito público;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regidos pelo direito privado com uma missão de serviço público na medida em que prestem garantias financeiras adequadas;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regidos pelo direito privado de um Estado-Membro com a responsabilidade pela execução de uma parceria público-privada e que prestem garantias financeiras adequadas;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às pessoas encarregadas da execução de ações específicas no quadro da PESC por força do título V do Tratado da União Europeia, identificadas no ato de base pertinente.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Se for indicada mais de uma modalidade de gestão, queira especificar na secção «Observações».</w:t>
      </w:r>
    </w:p>
    <w:p>
      <w:pPr>
        <w:rPr>
          <w:noProof/>
        </w:rPr>
      </w:pPr>
      <w:r>
        <w:rPr>
          <w:noProof/>
        </w:rPr>
        <w:t xml:space="preserve">Observações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 xml:space="preserve"> </w:t>
      </w:r>
    </w:p>
    <w:p>
      <w:pPr>
        <w:pStyle w:val="Heading1"/>
        <w:rPr>
          <w:bCs w:val="0"/>
          <w:noProof/>
          <w:szCs w:val="24"/>
        </w:rPr>
      </w:pPr>
      <w:r>
        <w:rPr>
          <w:noProof/>
        </w:rPr>
        <w:t xml:space="preserve">MEDIDAS DE GESTÃO </w:t>
      </w:r>
    </w:p>
    <w:p>
      <w:pPr>
        <w:pStyle w:val="Heading2"/>
        <w:rPr>
          <w:noProof/>
        </w:rPr>
      </w:pPr>
      <w:r>
        <w:rPr>
          <w:noProof/>
        </w:rPr>
        <w:t xml:space="preserve">Disposições em matéria de acompanhamento e prestação de informações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Especificar a periodicidade e as condições.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Comissão acompanhará a aplicação do regulamento e apresentará um relatório de avaliação ao Parlamento Europeu, ao Conselho e ao Comité Económico e Social Europeu, o mais tardar cinco anos após a sua data de aplicação.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Além disso, os progressos do TLD .eu serão regularmente acompanhados através da apresentação de um relatório ao Parlamento Europeu e ao Conselho sobre a implementação, a eficácia e o funcionamento do nome de domínio, três anos após a apresentação do relatório de avaliação acima referido e, posteriormente, de três em três anos.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Sistema de gestão e de controlo </w:t>
      </w:r>
    </w:p>
    <w:p>
      <w:pPr>
        <w:pStyle w:val="Heading3"/>
        <w:rPr>
          <w:noProof/>
        </w:rPr>
      </w:pPr>
      <w:r>
        <w:rPr>
          <w:noProof/>
        </w:rPr>
        <w:t xml:space="preserve">Risco(s) identificado(s)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Os riscos identificados dizem respeito à necessidade de garantir a independência do Registo .eu e a eventuais conflitos de interesses dos peritos que formam parte do Conselho Multilateral .eu.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Informações sobre o sistema de controlo interno criado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As modalidades práticas de base da criação do organismo distinto são especificadas no texto jurídico do regulamento. A criação do Conselho Multilateral .eu incumbe à Comissão, com base nos princípios estabelecidos para os grupos de peritos. Os requisitos jurídicos incluirão: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a)</w:t>
      </w:r>
      <w:r>
        <w:rPr>
          <w:noProof/>
        </w:rPr>
        <w:tab/>
        <w:t>Medidas para garantir que o novo organismo de governação tem a autonomia e a independência necessárias em relação ao Registo;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b)</w:t>
      </w:r>
      <w:r>
        <w:rPr>
          <w:noProof/>
        </w:rPr>
        <w:tab/>
        <w:t>A garantia de que o novo organismo de governação trabalhará em consonância com os objetivos e as políticas da Comissão;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c)</w:t>
      </w:r>
      <w:r>
        <w:rPr>
          <w:noProof/>
        </w:rPr>
        <w:tab/>
        <w:t>As principais tarefas (em princípio, apenas consultivas) confiadas ao novo organismo de governação e as suas relações com a Comissão e o Registo;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d)</w:t>
      </w:r>
      <w:r>
        <w:rPr>
          <w:noProof/>
        </w:rPr>
        <w:tab/>
        <w:t>O papel e as atribuições da Comissão em relação ao Registo e ao novo organismo de governação (por exemplo, o poder de supervisão da Comissão sobre o Registo).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noProof/>
        </w:rPr>
      </w:pPr>
      <w:r>
        <w:rPr>
          <w:noProof/>
        </w:rPr>
        <w:t xml:space="preserve">Estimativa dos custos e benefícios dos controlos e avaliação do nível previsto de risco de erro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 funcionamento do Conselho Multilateral .eu segue as regras relativas à criação e ao funcionamento dos grupos de peritos da Comissão.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Medidas de prevenção de fraudes e irregularidades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as medidas de prevenção e de proteção existentes ou previstas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 artigo 13.º da proposta legislativa relativa ao ccTLD .eu prevê poderes de supervisão específicos para a Comissão em relação ao operador do Registo que deverão incluir medidas de prevenção de fraudes e irregularidades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Além disso, o contrato celebrado com o Registo incluirá disposições pormenorizadas para prevenir fraudes e irregularidades.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1"/>
        <w:rPr>
          <w:bCs w:val="0"/>
          <w:noProof/>
          <w:szCs w:val="24"/>
        </w:rPr>
      </w:pPr>
      <w:r>
        <w:rPr>
          <w:noProof/>
        </w:rPr>
        <w:t xml:space="preserve">IMPACTO FINANCEIRO ESTIMADO DA PROPOSTA/INICIATIVA </w:t>
      </w:r>
    </w:p>
    <w:p>
      <w:pPr>
        <w:pStyle w:val="Heading2"/>
        <w:rPr>
          <w:noProof/>
        </w:rPr>
      </w:pPr>
      <w:r>
        <w:rPr>
          <w:noProof/>
        </w:rPr>
        <w:t xml:space="preserve">Rubrica(s) do quadro financeiro plurianual e rubrica(s) orçamental(is) de despesas envolvida(s) </w:t>
      </w:r>
    </w:p>
    <w:p>
      <w:pPr>
        <w:pStyle w:val="ListBullet1"/>
        <w:rPr>
          <w:noProof/>
        </w:rPr>
      </w:pPr>
      <w:r>
        <w:rPr>
          <w:noProof/>
        </w:rPr>
        <w:t xml:space="preserve">Atuais rubricas orçamentais </w:t>
      </w:r>
    </w:p>
    <w:p>
      <w:pPr>
        <w:pStyle w:val="Text1"/>
        <w:rPr>
          <w:noProof/>
        </w:rPr>
      </w:pPr>
      <w:r>
        <w:rPr>
          <w:noProof/>
          <w:u w:val="single"/>
        </w:rPr>
        <w:t>Segundo a ordem</w:t>
      </w:r>
      <w:r>
        <w:rPr>
          <w:noProof/>
        </w:rPr>
        <w:t xml:space="preserve"> das rubricas do quadro financeiro plurianual e das respetivas rubricas orçamentais.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986"/>
        <w:gridCol w:w="1080"/>
        <w:gridCol w:w="956"/>
        <w:gridCol w:w="1080"/>
        <w:gridCol w:w="956"/>
        <w:gridCol w:w="1448"/>
      </w:tblGrid>
      <w:tr>
        <w:tc>
          <w:tcPr>
            <w:tcW w:w="3054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Rubrica do quadro financeiro plurianual:</w:t>
            </w:r>
          </w:p>
        </w:tc>
        <w:tc>
          <w:tcPr>
            <w:tcW w:w="1986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Rubrica orçamental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Tipo de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despesa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Participação </w:t>
            </w:r>
          </w:p>
        </w:tc>
      </w:tr>
      <w:tr>
        <w:tc>
          <w:tcPr>
            <w:tcW w:w="3054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Número Rubrica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DD/DND</w:t>
            </w:r>
            <w:r>
              <w:rPr>
                <w:rStyle w:val="FootnoteReference"/>
                <w:noProof/>
                <w:sz w:val="18"/>
              </w:rPr>
              <w:footnoteReference w:id="4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dos países EFTA</w:t>
            </w:r>
            <w:r>
              <w:rPr>
                <w:rStyle w:val="FootnoteReference"/>
                <w:noProof/>
                <w:sz w:val="18"/>
              </w:rPr>
              <w:footnoteReference w:id="5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dos países candidatos</w:t>
            </w:r>
            <w:r>
              <w:rPr>
                <w:rStyle w:val="FootnoteReference"/>
                <w:noProof/>
                <w:sz w:val="18"/>
              </w:rPr>
              <w:footnoteReference w:id="6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de países terceiros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na aceção do artigo 21.º, n.º 2, alínea b), do Regulamento Financeiro </w:t>
            </w:r>
          </w:p>
        </w:tc>
      </w:tr>
      <w:tr>
        <w:tc>
          <w:tcPr>
            <w:tcW w:w="305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Definição e execução da política da União no domínio das comunicações eletrónicas</w:t>
            </w:r>
          </w:p>
        </w:tc>
        <w:tc>
          <w:tcPr>
            <w:tcW w:w="1986" w:type="dxa"/>
            <w:vAlign w:val="center"/>
          </w:tcPr>
          <w:p>
            <w:pPr>
              <w:spacing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09,0201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DD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NÃO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NÃO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NÃO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NÃO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Impacto estimado nas despesas </w:t>
      </w:r>
    </w:p>
    <w:p>
      <w:pPr>
        <w:pStyle w:val="Text1"/>
        <w:rPr>
          <w:noProof/>
        </w:rPr>
      </w:pPr>
      <w:r>
        <w:rPr>
          <w:noProof/>
          <w:highlight w:val="lightGray"/>
        </w:rPr>
        <w:t xml:space="preserve">[Esta parte deve ser preenchida na </w:t>
      </w:r>
      <w:hyperlink r:id="rId18">
        <w:r>
          <w:rPr>
            <w:rStyle w:val="Hyperlink"/>
            <w:b/>
            <w:noProof/>
            <w:highlight w:val="lightGray"/>
          </w:rPr>
          <w:t>folha de cálculo relativa aos dados orçamentais de natureza administrativa</w:t>
        </w:r>
      </w:hyperlink>
      <w:r>
        <w:rPr>
          <w:noProof/>
          <w:highlight w:val="lightGray"/>
        </w:rPr>
        <w:t xml:space="preserve"> (segundo documento no anexo da presente ficha financeira) e carregada no DECIDE para efeitos de consulta interserviços.]</w:t>
      </w:r>
    </w:p>
    <w:p>
      <w:pPr>
        <w:pStyle w:val="Heading3"/>
        <w:rPr>
          <w:noProof/>
          <w:u w:val="single"/>
        </w:rPr>
      </w:pPr>
      <w:r>
        <w:rPr>
          <w:noProof/>
        </w:rPr>
        <w:t xml:space="preserve">Síntese do impacto estimado nas despesas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Rubrica do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quadro financeiro 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1a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 xml:space="preserve"> Competitividade para o crescimento e o emprego 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DG CONNECT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09 02 01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Dotações de natureza administrativa financiadas a partir da dotação de programas específicos</w:t>
            </w:r>
            <w:r>
              <w:rPr>
                <w:rStyle w:val="FootnoteReference"/>
                <w:noProof/>
                <w:sz w:val="21"/>
              </w:rPr>
              <w:footnoteReference w:id="7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Número da rubrica orçamental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b/>
                <w:noProof/>
                <w:sz w:val="22"/>
              </w:rPr>
              <w:br/>
              <w:t>para a DG CONNECT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   TOTAL das dotações operacionais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1"/>
              </w:rPr>
              <w:t>TOTAL das dotações de natureza administrativa financiadas a partir da dotação de programas específicos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no âmbito da RUBRICA &lt;1a.&gt;</w:t>
            </w:r>
            <w:r>
              <w:rPr>
                <w:noProof/>
                <w:sz w:val="22"/>
              </w:rPr>
              <w:t xml:space="preserve"> do quadro financeiro plurianual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Se o impacto da proposta/iniciativa incidir sobre mais de uma rubrica: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   TOTAL das dotações operacionais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1"/>
              </w:rPr>
              <w:t>TOTAL das dotações de natureza administrativa financiadas a partir da dotação de programas específicos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das RUBRICAS 1 a 4</w:t>
            </w:r>
            <w:r>
              <w:rPr>
                <w:noProof/>
                <w:sz w:val="22"/>
              </w:rPr>
              <w:br/>
              <w:t>do quadro financeiro plurianual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(quantia de referência)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tcBorders>
              <w:bottom w:val="single" w:sz="4" w:space="0" w:color="FF0000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Rubrica do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quadro financeiro plurianual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«Despesas administrativas»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Inserir os anos necessários para mostrar a duração do impacto (ver ponto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DG: 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Outras despesas administrativas</w:t>
            </w:r>
          </w:p>
          <w:p>
            <w:pPr>
              <w:spacing w:before="20" w:after="20"/>
              <w:rPr>
                <w:noProof/>
                <w:sz w:val="22"/>
              </w:rPr>
            </w:pPr>
          </w:p>
          <w:p>
            <w:pPr>
              <w:spacing w:before="20" w:after="20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(Conselho Multilateral .eu)</w:t>
            </w:r>
          </w:p>
          <w:p>
            <w:pPr>
              <w:spacing w:before="20" w:after="20"/>
              <w:rPr>
                <w:i/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DG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Connect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da RUBRICA 5</w:t>
            </w:r>
            <w:r>
              <w:rPr>
                <w:noProof/>
                <w:sz w:val="22"/>
              </w:rPr>
              <w:br/>
              <w:t>do quadro financeiro plurianual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das autorizações = total dos pagamentos)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das RUBRICAS 1 a 5</w:t>
            </w:r>
            <w:r>
              <w:rPr>
                <w:noProof/>
                <w:sz w:val="22"/>
              </w:rPr>
              <w:br/>
              <w:t>do quadro financeiro plurianual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  <w:sectPr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Impacto estimado nas dotações operacionais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proposta/iniciativa não acarreta a utilização de dotações operacionais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proposta/iniciativa acarreta a utilização de dotações operacionais, tal como explicitado seguidamente: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Dotações de autorização em milhões de EUR (três casas decimais)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720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Indicar os objetivos e as realizações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8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REALIZAÇÕES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Tipo</w:t>
            </w:r>
            <w:r>
              <w:rPr>
                <w:rStyle w:val="FootnoteReference"/>
                <w:noProof/>
                <w:sz w:val="18"/>
              </w:rPr>
              <w:footnoteReference w:id="8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 médio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Não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Não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Não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Não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Não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Não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Não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 Total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 total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Conselho Multilateral .eu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817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Reembolso de despesas de viagem e ajudas de custo dos peritos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0,001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32</w:t>
            </w: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0,032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0,032</w:t>
            </w:r>
          </w:p>
        </w:tc>
      </w:tr>
      <w:tr>
        <w:trPr>
          <w:trHeight w:hRule="exact" w:val="55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Organização de reuniões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0,004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0,008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0,008</w:t>
            </w:r>
          </w:p>
        </w:tc>
      </w:tr>
      <w:tr>
        <w:trPr>
          <w:trHeight w:hRule="exact" w:val="1417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Outras despesas (relatórios, estudos externos)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0,005</w:t>
            </w: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0,010</w:t>
            </w: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0,010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objetivo específico n.º 3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CUSTO TOTAL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</w:t>
            </w: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Impacto estimado nas dotações de natureza administrativa</w:t>
      </w:r>
    </w:p>
    <w:p>
      <w:pPr>
        <w:pStyle w:val="Heading4"/>
        <w:rPr>
          <w:noProof/>
        </w:rPr>
      </w:pPr>
      <w:r>
        <w:rPr>
          <w:noProof/>
        </w:rPr>
        <w:t xml:space="preserve">Síntese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 A proposta/iniciativa não acarreta a utilização de dotações de natureza administrativa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acarreta a utilização de dotações de natureza administrativa, tal como explicitado seguidamente:</w:t>
      </w:r>
    </w:p>
    <w:p>
      <w:pPr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2022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Inserir os anos necessários para mostrar a duração do impacto (ver ponto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RUBRICA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do quadro financeiro plurianual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Recursos humanos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Outras despesasde natureza administrativa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RUBRICA 5 do quadro financeiro 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com exclusão da RUBRICA 5</w:t>
            </w:r>
            <w:r>
              <w:rPr>
                <w:rStyle w:val="FootnoteReference"/>
                <w:b/>
                <w:noProof/>
                <w:sz w:val="16"/>
              </w:rPr>
              <w:footnoteReference w:id="9"/>
            </w:r>
            <w:r>
              <w:rPr>
                <w:b/>
                <w:noProof/>
                <w:sz w:val="16"/>
              </w:rPr>
              <w:t xml:space="preserve"> do quadro financeiro plurianual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Recursos humanos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Outras despesasde natureza administrativa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com exclusão da RUBRICA 5 do quadro financeiro 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As dotações necessárias para recursos humanos e outras despesas de natureza administrativa serão cobertas pelas dotações da DG já afetadas à gestão da ação e/ou reafetadas na DG e, se necessário, por eventuais dotações adicionais que sejam atribuídas à DG gestora no âmbito do processo de afetação anual e no limite das restrições orçamentais.</w:t>
      </w:r>
    </w:p>
    <w:p>
      <w:pPr>
        <w:pStyle w:val="Heading4"/>
        <w:rPr>
          <w:bCs w:val="0"/>
          <w:noProof/>
          <w:szCs w:val="24"/>
        </w:rPr>
      </w:pPr>
      <w:r>
        <w:rPr>
          <w:noProof/>
        </w:rPr>
        <w:t>Necessidades estimadas de recursos humanos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A proposta/iniciativa não acarreta a utilização de recursos humanos.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acarreta a utilização de recursos humanos, tal como explicitado seguidamente: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As estimativas devser expressas em termos de equivalente a tempo completo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952"/>
        <w:gridCol w:w="1954"/>
        <w:gridCol w:w="655"/>
        <w:gridCol w:w="655"/>
        <w:gridCol w:w="3470"/>
        <w:gridCol w:w="422"/>
        <w:gridCol w:w="465"/>
        <w:gridCol w:w="237"/>
        <w:gridCol w:w="237"/>
        <w:gridCol w:w="237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</w:p>
          <w:p>
            <w:pPr>
              <w:spacing w:before="20" w:after="2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2021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</w:p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2022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Inserir os anos necessários para mostrar a duração do impacto (ver ponto 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218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Lugares do quadro do pessoal (funcionários e agentes temporários)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(na sede e nos gabinetes de representação da Comissão)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(nas delegações)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(investigação indireta)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(investigação 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1" w:type="pct"/>
          <w:trHeight w:val="248"/>
          <w:jc w:val="center"/>
        </w:trPr>
        <w:tc>
          <w:tcPr>
            <w:tcW w:w="4429" w:type="pct"/>
            <w:gridSpan w:val="7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Pessoal externo (em equivalente a tempo inteiro: ETI)</w:t>
            </w:r>
            <w:r>
              <w:rPr>
                <w:rStyle w:val="FootnoteReference"/>
                <w:b/>
                <w:noProof/>
                <w:sz w:val="16"/>
              </w:rPr>
              <w:footnoteReference w:id="1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PND e TT da «dotação global»)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PND, TT e JPD nas delegações)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na sede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nas delegações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XX </w:t>
            </w:r>
            <w:r>
              <w:rPr>
                <w:noProof/>
                <w:sz w:val="16"/>
              </w:rPr>
              <w:t>01 05 02 (AC, PND e TT - Investigação indireta)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PND e TT - Investigação 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Outra rubrica orçamental (especificar)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 xml:space="preserve">XX </w:t>
      </w:r>
      <w:r>
        <w:rPr>
          <w:noProof/>
          <w:sz w:val="18"/>
        </w:rPr>
        <w:t>constitui o domínio de intervenção ou título em causa.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As necessidades de recursos humanos serão cobertas pelos efetivos da DG já afetados à gestão da ação e/ou reafetados internamente a nível da DG, complementados, caso necessário, por eventuais dotações adicionais que sejam atribuídas à DG gestora no quadro do processo anual de atribuição e no limite das disponibilidades orçamentais.</w:t>
      </w:r>
    </w:p>
    <w:p>
      <w:pPr>
        <w:rPr>
          <w:noProof/>
          <w:sz w:val="20"/>
        </w:rPr>
      </w:pPr>
      <w:r>
        <w:rPr>
          <w:noProof/>
          <w:sz w:val="20"/>
        </w:rPr>
        <w:t>Descrição das tarefas a executar: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Funcionários e agentes temporários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Pessoal externo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Compatibilidade com o atual quadro financeiro plurianual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proposta/iniciativa é compatível com o atual quadro financeiro plurianual.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requer uma reprogramação da rubrica pertinente do quadro financeiro plurianual.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Não serão necessários recursos adicionais do orçamento da UE em relação aos já previstos pela programação financeira.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requer a mobilização do instrumento de flexibilidade ou a revisão do quadro financeiro plurianual.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Explicitar as necessidades, especificando as rubricas orçamentais em causa e as quantias correspondentes.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Participação de terceiros no financiamento </w:t>
      </w:r>
    </w:p>
    <w:p>
      <w:pPr>
        <w:pStyle w:val="ListDash1"/>
        <w:rPr>
          <w:noProof/>
        </w:rPr>
      </w:pPr>
      <w:r>
        <w:rPr>
          <w:noProof/>
        </w:rPr>
        <w:t xml:space="preserve">A proposta/iniciativa não prevê o cofinanciamento por terceiros </w:t>
      </w:r>
    </w:p>
    <w:p>
      <w:pPr>
        <w:pStyle w:val="ListDash1"/>
        <w:rPr>
          <w:noProof/>
        </w:rPr>
      </w:pPr>
      <w:r>
        <w:rPr>
          <w:noProof/>
        </w:rPr>
        <w:t>A proposta/iniciativa prevê o cofinanciamento estimado seguinte: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Dotações em milhões de EUR (três casas decimais)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Inserir os anos necessários para mostrar a duração do impacto (ver ponto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Especificar o organismo de cofinanciamento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das dotações cofinanciadas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br w:type="page"/>
        <w:t xml:space="preserve">Impacto estimado nas receitas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proposta/iniciativa não tem impacto financeiro nas receitas.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tem o impacto financeiro a seguir descrito: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nos recursos próprios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nas receitas diversas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Em milhões de EUR (três casas decimais)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Rubrica orçamental das receitas: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Dotações disponíveis para o atual exercício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Impacto da proposta/iniciativa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Artigo 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Relativamente às diversas receitas «afetadas», especificar a(s) rubrica(s) orçamental(is) de despesas envolvida(s).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Especificar o método de cálculo do impacto nas receitas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Conforme referido no artigo 54.º, n.º 2, alíneas a) ou b), do Regulamento Financeiro.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O possível impacto no próximo QFP 2021-27 será abordado no âmbito das negociações deste último.</w:t>
      </w:r>
    </w:p>
  </w:footnote>
  <w:footnote w:id="3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As explicações sobre as modalidades de gestão e as referências ao Regulamento Financeiro estão disponíveis no sítio BudgWeb: </w:t>
      </w:r>
      <w:hyperlink r:id="rId1">
        <w:r>
          <w:rPr>
            <w:rStyle w:val="Hyperlink"/>
          </w:rPr>
          <w:t>https://myintracomm.ec.europa.eu/budgweb/PT/man/budgmanag/Pages/budgmanag.aspx</w:t>
        </w:r>
      </w:hyperlink>
      <w:r>
        <w:t xml:space="preserve"> </w:t>
      </w:r>
    </w:p>
  </w:footnote>
  <w:footnote w:id="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DD = dotações diferenciadas/DND = dotações não diferenciadas.</w:t>
      </w:r>
    </w:p>
  </w:footnote>
  <w:footnote w:id="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Associação Europeia de Comércio Livre. </w:t>
      </w:r>
    </w:p>
  </w:footnote>
  <w:footnote w:id="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Países candidatos e, se aplicável, países candidatos potenciais dos Balcãs Ocidentais.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Assistência técnica e/ou administrativa e despesas de apoio à execução de programas e/ou ações da UE (antigas rubricas «BA»), bem como investigação direta e investigação indireta.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 realizações dizem respeito aos produtos fornecidos e aos serviços prestados (exemplo: número de intercâmbios de estudantes financiados, número de quilómetros de estradas construídas, etc.).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Assistência técnica e/ou administrativa e despesas de apoio à execução de programas e/ou ações da UE (antigas rubricas «BA»), bem como investigação direta e investigação indireta.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agente contratual; AL = agente local; PND = perito nacional destacado; TT = trabalhador temporário; JPD = jovem perito nas delegações. 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Sublimite para o pessoal externo coberto pelas dotações operacionais (antigas rubricas «BA»).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No que diz respeito aos recursos próprios tradicionais (direitos aduaneiros e quotizações sobre o açúcar), as quantias indicadas devem ser apresentadas em termos líquidos, isto é, quantias brutas após dedução de 25 % a título de despesas de cobrança.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14AD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34F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94A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9E1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A5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AA4F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1D14D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700"/>
        </w:tabs>
        <w:ind w:left="1700" w:hanging="283"/>
      </w:pPr>
      <w:rPr>
        <w:rFonts w:ascii="Times New Roman" w:hAnsi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,3405529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24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1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0"/>
  </w:num>
  <w:num w:numId="26">
    <w:abstractNumId w:val="18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8 11:58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E2B7F62-6A21-4CF3-8358-81A542D635A0"/>
    <w:docVar w:name="LW_COVERPAGE_TYPE" w:val="1"/>
    <w:docVar w:name="LW_CROSSREFERENCE" w:val="{SEC(2018) 205 final}_x000b_{SWD(2018) 120 final}_x000b_{SWD(2018) 121 final}_x000b_{SWD(2018) 122 final}"/>
    <w:docVar w:name="LW_DocType" w:val="ANNEX"/>
    <w:docVar w:name="LW_EMISSION" w:val="27.4.2018"/>
    <w:docVar w:name="LW_EMISSION_ISODATE" w:val="2018-04-27"/>
    <w:docVar w:name="LW_EMISSION_LOCATION" w:val="BRX"/>
    <w:docVar w:name="LW_EMISSION_PREFIX" w:val="Bruxelas,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o à implementação e ao funcionamento do nome de domínio de topo .eu e que revoga o Regulamento (CE) n.º&lt;LWCR:NBS&gt;733/2002 e o Regulamento (CE) n.º&lt;LWCR:NBS&gt;874/2004 da Comissão"/>
    <w:docVar w:name="LW_OBJETACTEPRINCIPAL.CP" w:val="relativo à implementação e ao funcionamento do nome de domínio de topo .eu e que revoga o Regulamento (CE) n.º 733/2002 e o Regulamento (CE) n.º 874/2004 da Comissão"/>
    <w:docVar w:name="LW_PART_NBR" w:val="1"/>
    <w:docVar w:name="LW_PART_NBR_TOTAL" w:val="1"/>
    <w:docVar w:name="LW_REF.INST.NEW" w:val="COM"/>
    <w:docVar w:name="LW_REF.INST.NEW_ADOPTED" w:val="final"/>
    <w:docVar w:name="LW_REF.INST.NEW_TEXT" w:val="(2018) 2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REGULAMENTO DO PARLAMENTO EUROPEU E DO CONSELHO"/>
    <w:docVar w:name="LW_TYPEACTEPRINCIPAL.CP" w:val="Proposta de 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5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">
    <w:name w:val="List Dash"/>
    <w:basedOn w:val="Normal"/>
    <w:pPr>
      <w:numPr>
        <w:numId w:val="2"/>
      </w:numPr>
    </w:pPr>
  </w:style>
  <w:style w:type="paragraph" w:customStyle="1" w:styleId="ListDash1">
    <w:name w:val="List Dash 1"/>
    <w:basedOn w:val="Normal"/>
    <w:pPr>
      <w:numPr>
        <w:numId w:val="3"/>
      </w:numPr>
    </w:pPr>
  </w:style>
  <w:style w:type="paragraph" w:customStyle="1" w:styleId="ListDash2">
    <w:name w:val="List Dash 2"/>
    <w:basedOn w:val="Normal"/>
    <w:pPr>
      <w:numPr>
        <w:numId w:val="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</w:style>
  <w:style w:type="character" w:styleId="CommentReference">
    <w:name w:val="annotation reference"/>
    <w:rPr>
      <w:rFonts w:cs="Times New Roman"/>
      <w:sz w:val="16"/>
      <w:szCs w:val="16"/>
      <w:lang w:val="pt-PT" w:eastAsia="pt-PT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lang w:val="pt-PT" w:eastAsia="pt-PT"/>
    </w:rPr>
  </w:style>
  <w:style w:type="character" w:styleId="Hyperlink">
    <w:name w:val="Hyperlink"/>
    <w:rPr>
      <w:rFonts w:cs="Times New Roman"/>
      <w:color w:val="0000FF"/>
      <w:u w:val="single"/>
      <w:lang w:val="pt-PT" w:eastAsia="pt-PT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PT" w:eastAsia="pt-PT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ListBullet2">
    <w:name w:val="List Bullet 2"/>
    <w:basedOn w:val="Normal"/>
    <w:pPr>
      <w:numPr>
        <w:numId w:val="7"/>
      </w:numPr>
      <w:contextualSpacing/>
    </w:p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lang w:val="pt-PT" w:eastAsia="pt-P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5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">
    <w:name w:val="List Dash"/>
    <w:basedOn w:val="Normal"/>
    <w:pPr>
      <w:numPr>
        <w:numId w:val="2"/>
      </w:numPr>
    </w:pPr>
  </w:style>
  <w:style w:type="paragraph" w:customStyle="1" w:styleId="ListDash1">
    <w:name w:val="List Dash 1"/>
    <w:basedOn w:val="Normal"/>
    <w:pPr>
      <w:numPr>
        <w:numId w:val="3"/>
      </w:numPr>
    </w:pPr>
  </w:style>
  <w:style w:type="paragraph" w:customStyle="1" w:styleId="ListDash2">
    <w:name w:val="List Dash 2"/>
    <w:basedOn w:val="Normal"/>
    <w:pPr>
      <w:numPr>
        <w:numId w:val="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</w:style>
  <w:style w:type="character" w:styleId="CommentReference">
    <w:name w:val="annotation reference"/>
    <w:rPr>
      <w:rFonts w:cs="Times New Roman"/>
      <w:sz w:val="16"/>
      <w:szCs w:val="16"/>
      <w:lang w:val="pt-PT" w:eastAsia="pt-PT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lang w:val="pt-PT" w:eastAsia="pt-PT"/>
    </w:rPr>
  </w:style>
  <w:style w:type="character" w:styleId="Hyperlink">
    <w:name w:val="Hyperlink"/>
    <w:rPr>
      <w:rFonts w:cs="Times New Roman"/>
      <w:color w:val="0000FF"/>
      <w:u w:val="single"/>
      <w:lang w:val="pt-PT" w:eastAsia="pt-PT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PT" w:eastAsia="pt-PT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ListBullet2">
    <w:name w:val="List Bullet 2"/>
    <w:basedOn w:val="Normal"/>
    <w:pPr>
      <w:numPr>
        <w:numId w:val="7"/>
      </w:numPr>
      <w:contextualSpacing/>
    </w:p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lang w:val="pt-PT" w:eastAsia="pt-P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c.cec/budg/leg/internal/leg-070_internal_en.html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intracomm.ec.europa.eu/budgweb/PT/man/budgmanag/Pages/budgmana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02A-15C6-499B-B3E0-B0B8C315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18</Pages>
  <Words>3016</Words>
  <Characters>17288</Characters>
  <Application>Microsoft Office Word</Application>
  <DocSecurity>0</DocSecurity>
  <Lines>1152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MONFORT Veronique (CNECT)</dc:creator>
  <cp:lastModifiedBy>DIGIT/A3</cp:lastModifiedBy>
  <cp:revision>8</cp:revision>
  <dcterms:created xsi:type="dcterms:W3CDTF">2018-04-27T14:04:00Z</dcterms:created>
  <dcterms:modified xsi:type="dcterms:W3CDTF">2018-05-18T09:58:00Z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