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77940D-C9D4-4711-A3E3-285E3AEDD89F" style="width:450.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noProof/>
        </w:rPr>
      </w:pPr>
      <w:r>
        <w:rPr>
          <w:noProof/>
        </w:rPr>
        <w:t xml:space="preserve">EU:n yhdenmukaistettujen valmisteverojen järjestelmä on määritelty useissa säädöksissä. Neuvoston direktiivissä 2008/118/EY vahvistetaan valmisteveroja koskeva yleinen järjestelmä, ja siinä käsitellään erityisesti valmisteveron alaisten tavaroiden tuotantoa, varastointia ja liikkumista jäsenvaltioiden välillä. Energiatuotteiden ja sähkön verotus kuuluu direktiivin 2003/96/EY soveltamisalaan ja valmistettu tupakka direktiivin 2011/64/EU soveltamisalaan. </w:t>
      </w:r>
    </w:p>
    <w:p>
      <w:pPr>
        <w:pBdr>
          <w:top w:val="nil"/>
          <w:left w:val="nil"/>
          <w:bottom w:val="nil"/>
          <w:right w:val="nil"/>
          <w:between w:val="nil"/>
          <w:bar w:val="nil"/>
        </w:pBdr>
        <w:spacing w:before="0" w:after="240"/>
        <w:rPr>
          <w:rFonts w:eastAsia="Arial Unicode MS"/>
          <w:noProof/>
        </w:rPr>
      </w:pPr>
      <w:r>
        <w:rPr>
          <w:noProof/>
        </w:rPr>
        <w:t xml:space="preserve">Alkoholin ja alkoholijuomien valmisteverojen rakenteista annetussa direktiivissä 92/83/ETY vahvistetaan alkoholiin ja alkoholijuomiin sovellettavien valmisteverojen rakenteita koskevat yhteiset säännöt. Direktiivissä 92/83/ETY määritellään ja luokitellaan alkoholin ja alkoholijuomien eri tyypit niiden ominaisuuksien mukaan sekä laaditaan oikeudellinen kehys eräillä aloilla myönnettäville veronalennuksille, verovapautuksille ja poikkeuksille. </w:t>
      </w:r>
    </w:p>
    <w:p>
      <w:pPr>
        <w:rPr>
          <w:noProof/>
        </w:rPr>
      </w:pPr>
      <w:r>
        <w:rPr>
          <w:noProof/>
        </w:rPr>
        <w:t>Sen jälkeen, kun kyseinen direktiivi hyväksyttiin vuonna 1992, ensimmäinen ja ainoa arviointi aloitettiin vuonna 2014. Tämän vuoksi komissio totesi, että direktiivistä olisi tehtävä arviointi osana sääntelyn toimivuutta ja tuloksellisuutta koskevaa komission ohjelmaa (REFIT)</w:t>
      </w:r>
      <w:r>
        <w:rPr>
          <w:rStyle w:val="FootnoteReference"/>
          <w:noProof/>
        </w:rPr>
        <w:footnoteReference w:id="2"/>
      </w:r>
      <w:r>
        <w:rPr>
          <w:noProof/>
        </w:rPr>
        <w:t>. Kyseistä direktiiviä ja direktiiviä 2008/118/EY koskevasta REFIT-aloitteesta ilmoitettiin komission vuoden 2017 työohjelman liitteessä ii</w:t>
      </w:r>
      <w:r>
        <w:rPr>
          <w:rStyle w:val="FootnoteReference"/>
          <w:noProof/>
        </w:rPr>
        <w:footnoteReference w:id="3"/>
      </w:r>
      <w:r>
        <w:rPr>
          <w:noProof/>
        </w:rPr>
        <w:t>. Tämän ehdotuksen ohella neuvostolle tehdään ehdotus direktiivin 2008/118/EY muuttamisesta.</w:t>
      </w:r>
    </w:p>
    <w:p>
      <w:pPr>
        <w:rPr>
          <w:noProof/>
        </w:rPr>
      </w:pPr>
      <w:r>
        <w:rPr>
          <w:noProof/>
        </w:rPr>
        <w:t>Direktiivi ei ole pysynyt ajan tasalla alkoholiteollisuuden uusien teknologioiden ja kehityssuuntausten tarjoamista mahdollisuuksista ja niiden asettamista haasteista. Osa ongelmista on tunnistettu, ja niiden lisäksi esiintyy tehottomuutta, joka voi aiheuttaa vääristymiä sisämarkkinoilla. Tullitasojen merkittävä vaihtelu jäsenvaltioiden välillä</w:t>
      </w:r>
      <w:r>
        <w:rPr>
          <w:rStyle w:val="FootnoteReference"/>
          <w:noProof/>
        </w:rPr>
        <w:footnoteReference w:id="4"/>
      </w:r>
      <w:r>
        <w:rPr>
          <w:noProof/>
        </w:rPr>
        <w:t>, mikä luo huomattavan kannustimen verovilpille, ja muut verotuksen suunnitteluun liittyvät heikkoudet edellyttävät, että sekä verohallintojen että talouden toimijoiden on käytettävä raskaita hallinnollisia menettelyjä. Se, että talouden toimijoiden hallinnolliset ja vaatimusten noudattamisesta aiheutuvat kustannukset vaihtelevat, rajoittaa pk-yritysten osallistumista alkoholin ja alkoholijuomien EU:n sisäiseen kauppaan.</w:t>
      </w:r>
    </w:p>
    <w:p>
      <w:pPr>
        <w:rPr>
          <w:noProof/>
        </w:rPr>
      </w:pPr>
      <w:r>
        <w:rPr>
          <w:noProof/>
        </w:rPr>
        <w:t>Arvioinnin</w:t>
      </w:r>
      <w:r>
        <w:rPr>
          <w:rStyle w:val="FootnoteReference"/>
          <w:noProof/>
        </w:rPr>
        <w:footnoteReference w:id="5"/>
      </w:r>
      <w:r>
        <w:rPr>
          <w:noProof/>
        </w:rPr>
        <w:t xml:space="preserve"> tulokset ja suositukset otettiin huomioon lokakuussa 2016 neuvostolle toimitetussa komission kertomuksessa</w:t>
      </w:r>
      <w:r>
        <w:rPr>
          <w:rStyle w:val="FootnoteReference"/>
          <w:noProof/>
        </w:rPr>
        <w:footnoteReference w:id="6"/>
      </w:r>
      <w:r>
        <w:rPr>
          <w:noProof/>
        </w:rPr>
        <w:t>. Joulukuussa 2016 jäsenvaltiot kannattivat yksimielisesti esitystä direktiivin tarkistamiseksi, ja 6. joulukuuta 2016 annetuissa neuvoston päätelmissä</w:t>
      </w:r>
      <w:r>
        <w:rPr>
          <w:rStyle w:val="FootnoteReference"/>
          <w:noProof/>
        </w:rPr>
        <w:footnoteReference w:id="7"/>
      </w:r>
      <w:r>
        <w:rPr>
          <w:noProof/>
        </w:rPr>
        <w:t xml:space="preserve"> neuvosto pyysi komissiota toteuttamaan tarvittavat tutkimukset ja kuulemiset voidakseen antaa ehdotuksen  direktiivin tarkistamiseksi.</w:t>
      </w:r>
    </w:p>
    <w:p>
      <w:pPr>
        <w:rPr>
          <w:noProof/>
        </w:rPr>
      </w:pPr>
      <w:r>
        <w:rPr>
          <w:noProof/>
        </w:rPr>
        <w:t xml:space="preserve">Tutkimuksessa ja vaikutustenarvioinnissa keskityttiin samoihin pääteemoihin, jotka mainitaan komission kertomuksessa ja neuvoston päätelmissä. Niitä ovat: </w:t>
      </w:r>
    </w:p>
    <w:p>
      <w:pPr>
        <w:pStyle w:val="Bullet0"/>
        <w:numPr>
          <w:ilvl w:val="0"/>
          <w:numId w:val="10"/>
        </w:numPr>
        <w:rPr>
          <w:noProof/>
        </w:rPr>
      </w:pPr>
      <w:r>
        <w:rPr>
          <w:noProof/>
        </w:rPr>
        <w:t xml:space="preserve">ongelmat denaturoitua alkoholia koskevien verovapautusten soveltamisessa. Ehdotuksessa selvennetään asianomaisia direktiivin artikloja oikeusvarmuuden lisäämiseksi. </w:t>
      </w:r>
    </w:p>
    <w:p>
      <w:pPr>
        <w:pStyle w:val="Bullet0"/>
        <w:rPr>
          <w:noProof/>
        </w:rPr>
      </w:pPr>
      <w:r>
        <w:rPr>
          <w:noProof/>
        </w:rPr>
        <w:t xml:space="preserve">Ongelmat tiettyjen alkoholijuomien luokittelussa. Ehdotetaan, että nykyinen muiden käymistietä valmistettujen juomien luokka jaetaan edelleen kahteen alaluokkaan. Ensimmäiseen alaluokkaan sovelletaan nykyistä verokohtelua, ja toisessa alaluokassa määritellään perinteiset muut käymistietä valmistetut juomat, joihin sovelletaan eri verokohtelua. </w:t>
      </w:r>
    </w:p>
    <w:p>
      <w:pPr>
        <w:pStyle w:val="Bullet0"/>
        <w:rPr>
          <w:noProof/>
        </w:rPr>
      </w:pPr>
      <w:r>
        <w:rPr>
          <w:noProof/>
        </w:rPr>
        <w:t>Ongelmat pientuottajia ja alhaisen alkoholipitoisuuden alkoholijuomia koskevien verokantojen soveltamisessa. Ehdotetaan alennettujen verokantojen laajentamista koskemaan pieniä siiderinvalmistajia ja korkeampaa kynnysarvoa alennettujen verokantojen soveltamiselle olueen. Lisäksi ehdotetaan yhdenmukaisen sertifikaatin kehittämistä pienille riippumattomille panimoille ja siiderinvalmistajille kaikkialla EU:ssa.</w:t>
      </w:r>
    </w:p>
    <w:p>
      <w:pPr>
        <w:pStyle w:val="Bullet0"/>
        <w:rPr>
          <w:noProof/>
        </w:rPr>
      </w:pPr>
      <w:r>
        <w:rPr>
          <w:noProof/>
        </w:rPr>
        <w:t>Makeutetun tai maustetun oluen platoasteiden</w:t>
      </w:r>
      <w:r>
        <w:rPr>
          <w:rStyle w:val="FootnoteReference"/>
          <w:noProof/>
        </w:rPr>
        <w:footnoteReference w:id="8"/>
      </w:r>
      <w:r>
        <w:rPr>
          <w:noProof/>
        </w:rPr>
        <w:t xml:space="preserve"> mittaamista koskevat epäselvät säännökset. Ehdotuksessa selvennetään kyseisiä artikloja oikeusvarmuuden lisäämiseksi.</w:t>
      </w:r>
    </w:p>
    <w:p>
      <w:pPr>
        <w:pBdr>
          <w:top w:val="nil"/>
          <w:left w:val="nil"/>
          <w:bottom w:val="nil"/>
          <w:right w:val="nil"/>
          <w:between w:val="nil"/>
          <w:bar w:val="nil"/>
        </w:pBdr>
        <w:spacing w:before="0" w:after="240"/>
        <w:rPr>
          <w:noProof/>
        </w:rPr>
      </w:pPr>
      <w:r>
        <w:rPr>
          <w:noProof/>
        </w:rPr>
        <w:t>Vuoden 2017 tutkimuksessa käytettiin laaja-alaista lähestymistapaa mahdollisiin ongelmiin, jotka direktiivin 92/83/ETY toiminnassa oli eri lähteiden perusteella tunnistettu. Molempien tutkimusten seuranta-analyysien perusteella voitiin päätellä, ettei kaikkien ongelmallisten näkökohtien osalta tarvitse ryhtyä EU:n tason toimiin. Näin ollen seuraavia neuvoston päätelmissä määriteltyjä aihealueita ei käsitellä tässä ehdotuksessa:</w:t>
      </w:r>
    </w:p>
    <w:p>
      <w:pPr>
        <w:pStyle w:val="Bullet0"/>
        <w:rPr>
          <w:rFonts w:eastAsia="Arial Unicode MS"/>
          <w:noProof/>
        </w:rPr>
      </w:pPr>
      <w:r>
        <w:rPr>
          <w:noProof/>
        </w:rPr>
        <w:t xml:space="preserve">Kotikäyttöön tarkoitettujen käymistietä valmistettujen juomien (olut, viini ja muut käymistietä valmistetut juomat) yksityisen tuotannon valmisteverosta vapauttamisen laajentaminen koskemaan muita juomia (etyylialkoholi). Tätä ajatusta ei viety pidemmälle siihen liittyvien terveys- ja petosriskien vuoksi ja koska jäsenvaltiot eivät tukeneet sitä. </w:t>
      </w:r>
    </w:p>
    <w:p>
      <w:pPr>
        <w:pStyle w:val="Bullet0"/>
        <w:rPr>
          <w:rFonts w:eastAsia="Arial Unicode MS"/>
          <w:noProof/>
        </w:rPr>
      </w:pPr>
      <w:r>
        <w:rPr>
          <w:noProof/>
        </w:rPr>
        <w:t xml:space="preserve">Alennettujen verokantojen laajentaminen viinien ja väkevien viinien pientuottajien osalta; tätä kysymystä ei otettu käsittelyyn, sillä sen toteuttaminen ei hyödyttäisi kyseisiä pientuottajia millään tavalla. </w:t>
      </w:r>
    </w:p>
    <w:p>
      <w:pPr>
        <w:pStyle w:val="Bullet0"/>
        <w:rPr>
          <w:rFonts w:eastAsia="Arial Unicode MS"/>
          <w:noProof/>
        </w:rPr>
      </w:pPr>
      <w:r>
        <w:rPr>
          <w:noProof/>
        </w:rPr>
        <w:t xml:space="preserve">Miedon viinin, etyylialkoholin ja välituotteiden valmisteverokantojen alentaminen. Tässä kysymyksessä ei edistytty, sillä kyseisten tuotteiden EU:n määritelmien noudattaminen tarkoittaa käytännössä sitä, ettei mitään hyötyjä olisi saavutettu.  </w:t>
      </w:r>
    </w:p>
    <w:p>
      <w:pPr>
        <w:pStyle w:val="Text1"/>
        <w:ind w:left="0"/>
        <w:rPr>
          <w:rFonts w:eastAsia="Arial Unicode MS"/>
          <w:noProof/>
        </w:rPr>
      </w:pPr>
      <w:r>
        <w:rPr>
          <w:noProof/>
        </w:rPr>
        <w:t>Aloitteen tavoitteena on muuttaa neuvoston direktiiviä 92/83/ETY sääntelykehyksen parantamiseksi niin, että se hyödyttäisi yrityksiä, jäsenvaltioita ja kansalaisia.</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Tässä ehdotuksessa säilytetään direktiivin 92/83/ETY tavoitteet, jotka olivat täysin yhdenmukaiset alkoholiin ja alkoholipitoisiin juomiin sovellettavien valmisteverojen rakenteiden kannalta merkityksellisten politiikkojen ja tavoitteiden kannalta.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Ehdotus on johdonmukainen suhteessa vuoden 2015 sisämarkkinastrategiaan</w:t>
      </w:r>
      <w:r>
        <w:rPr>
          <w:rStyle w:val="FootnoteReference"/>
          <w:noProof/>
        </w:rPr>
        <w:footnoteReference w:id="9"/>
      </w:r>
      <w:r>
        <w:rPr>
          <w:noProof/>
        </w:rPr>
        <w:t>, jossa komissio sitoutuu poistamaan kansalliset erot varmistaakseen sisämarkkinoiden toiminnan ja parantaakseen sitä.</w:t>
      </w:r>
    </w:p>
    <w:p>
      <w:pPr>
        <w:pBdr>
          <w:top w:val="nil"/>
          <w:left w:val="nil"/>
          <w:bottom w:val="nil"/>
          <w:right w:val="nil"/>
          <w:between w:val="nil"/>
          <w:bar w:val="nil"/>
        </w:pBdr>
        <w:spacing w:before="0" w:after="240"/>
        <w:rPr>
          <w:rFonts w:eastAsia="Arial Unicode MS"/>
          <w:noProof/>
        </w:rPr>
      </w:pPr>
      <w:r>
        <w:rPr>
          <w:noProof/>
        </w:rPr>
        <w:t>Denaturoitua alkoholia koskeva ehdotettu toimenpide on johdonmukainen Euroopan unionin toiminnasta tehdyn sopimuksen (SEUT) 168 artiklan vaatimusten kanssa, joilla varmistetaan ihmisten terveyden suojelu. Tämän toimenpiteen tarkoituksena on veropetosten torjuminen ja denaturoidun alkoholin, jota voidaan käyttää laittoman alkoholin tuottamiseen, kielteisten terveysvaikutusten vähentäminen.</w:t>
      </w:r>
    </w:p>
    <w:p>
      <w:pPr>
        <w:rPr>
          <w:noProof/>
        </w:rPr>
      </w:pPr>
      <w:r>
        <w:rPr>
          <w:noProof/>
        </w:rPr>
        <w:t>Pieniin siiderinvalmistajiin ja mietoihin oluisiin sovellettavien alennettujen verokantojen terveysvaikutuksia ei tällä hetkellä voida lopullisesti määrittää, mutta niiden ei odoteta olevan merkittäviä.</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 xml:space="preserve">Oikeusperustana on SEUT-sopimuksen 113 artikla. </w:t>
      </w:r>
      <w:r>
        <w:rPr>
          <w:noProof/>
          <w:sz w:val="23"/>
        </w:rPr>
        <w:t>Kyseisen artiklan mukaan neuvosto voi antaa yksimielisesti erityisessä lainsäätämisjärjestyksessä sekä Euroopan parlamenttia ja talous- ja sosiaalikomiteaa kuultuaan säännökset jäsenvaltioiden lainsäädännön yhdenmukaistamisesta välillisen verotuksen alalla.</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noProof/>
        </w:rPr>
      </w:pPr>
      <w:r>
        <w:rPr>
          <w:noProof/>
        </w:rPr>
        <w:t>Euroopan unionista tehdyn sopimuksen</w:t>
      </w:r>
      <w:r>
        <w:rPr>
          <w:rStyle w:val="FootnoteReference"/>
          <w:noProof/>
        </w:rPr>
        <w:footnoteReference w:id="10"/>
      </w:r>
      <w:r>
        <w:rPr>
          <w:noProof/>
        </w:rPr>
        <w:t xml:space="preserve"> 5 artiklassa vahvistettujen toissijaisuus- ja suhteellisuusperiaatteen mukaisesti jäsenvaltiot eivät voi riittävällä tavalla saavuttaa tämän ehdotuksen tavoitteita vaan ne voidaan saavuttaa paremmin unionin tasolla. Tässä ehdotuksessa ei mennä pidemmälle kuin on näiden tavoitteiden saavuttamiseksi tarpeen. </w:t>
      </w:r>
    </w:p>
    <w:p>
      <w:pPr>
        <w:pBdr>
          <w:top w:val="nil"/>
          <w:left w:val="nil"/>
          <w:bottom w:val="nil"/>
          <w:right w:val="nil"/>
          <w:between w:val="nil"/>
          <w:bar w:val="nil"/>
        </w:pBdr>
        <w:spacing w:before="0" w:after="240"/>
        <w:rPr>
          <w:noProof/>
        </w:rPr>
      </w:pPr>
      <w:r>
        <w:rPr>
          <w:noProof/>
        </w:rPr>
        <w:t xml:space="preserve">Nykyiset ongelmat, jotka liittyvät denaturoidun alkoholin valmisteverovapautuksiin, tiettyjen alkoholijuomien luokitteluun, riippumattomien pienpanimoiden asemaan ja platoasteen mittaamiseen, juontuvat nimenomaan siitä, ettei EU:n tasolla ole voimassa selkeitä sääntöjä. Jäsenvaltioiden yksipuolisesti tekemät päätökset luovat lisää haasteita ja oikeudellista epävarmuutta. Alennettujen valmisteverokantojen laajentaminen koskemaan pieniä riippumattomia siiderinvalmistajia ei ole mahdollista, koska direktiivi käytännössä estää jäsenvaltioita korjaamasta tätä epätasapainoa, sillä jäsenvaltiot voivat soveltaa alennettuja valmisteverokantoja pieniin riippumattomiin oluen ja etyylialkoholin valmistajiin mutta ei pieniin riippumattomiin siiderinvalmistajiin. Tämä pätee myös miedon alkoholin kynnysarvoon. </w:t>
      </w:r>
    </w:p>
    <w:p>
      <w:pPr>
        <w:pBdr>
          <w:top w:val="nil"/>
          <w:left w:val="nil"/>
          <w:bottom w:val="nil"/>
          <w:right w:val="nil"/>
          <w:between w:val="nil"/>
          <w:bar w:val="nil"/>
        </w:pBdr>
        <w:spacing w:before="0" w:after="240"/>
        <w:rPr>
          <w:rFonts w:eastAsia="Arial Unicode MS"/>
          <w:noProof/>
        </w:rPr>
      </w:pPr>
      <w:r>
        <w:rPr>
          <w:noProof/>
        </w:rPr>
        <w:t>Suurin osa jäsenvaltioiden viranomaisista on tuonut esille tarpeen parantaa alkoholia ja alkoholijuomia koskevia yhteisiä määritelmiä ja sääntöjä valmisteverojen kantamiseksi EU:n tasolla.  Tämä on otettu huomioon 6. joulukuuta 2016 annetuissa neuvoston päätelmissä, joissa neuvosto pyysi komissiota toteuttamaan tarvittavat tutkimukset mahdollisen lainsäädäntöehdotuksen antamiseksi direktiivin 92/83/ETY tarkistamista varten.</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Tässä ehdotuksessa noudatetaan SEUT-sopimuksen 5 artiklan 4 kohdassa määrättyä suhteellisuusperiaatetta. Ehdotetuissa muutoksissa ei ylitetä sitä, mikä on tarpeen kyseessä olevien ongelmien ratkaisemiseksi ja näin ollen SEUT-sopimuksen tavoitteiden (sisämarkkinoiden moitteeton ja tehokas toiminta) saavuttamiseksi. Erityisesti alennettujen valmisteverokantojen laajentaminen pieniin riippumattomiin siiderinvalmistajiin parantaisi kyseisten tuottajien kilpailukykyä aiheuttamatta juurikaan kielteisiä vaikutuksia (tulonmenetykset, hallinnollinen rasite) ja asettaisi ne samalle viivalle oluen ja etyylialkoholin pienten tuottajien kanssa.</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Ehdotetaan direktiiviä direktiivin 92/83/ETY muuttamiseksi. Mikään muu vaihtoehtoinen kansallinen, kahdenvälinen tai kansainvälinen aloite ei olisi yhtä tehokas sisämarkkinoiden toiminnan ja valmisteveron alaisen alkoholin valvonnan ja seurannan kannalta. Lisäarvoa saadaan merkittävästi myös alkoholia ja alkoholijuomia koskevien yhteisten määritelmien ja sääntöjen käyttöönotosta valmisteverojen kantamiseksi EU:n tasolla.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Tämän ehdotuksen valmistelun yhteydessä on arvioitu alkoholiin ja alkoholipitoisiin juomiin sovellettavien valmisteverojen rakenteita koskevat voimassa olevat säännöt. Konsultti suoritti ulkopuolisen arviointitutkimuksen</w:t>
      </w:r>
      <w:r>
        <w:rPr>
          <w:rStyle w:val="FootnoteReference"/>
          <w:noProof/>
        </w:rPr>
        <w:footnoteReference w:id="11"/>
      </w:r>
      <w:r>
        <w:rPr>
          <w:noProof/>
        </w:rPr>
        <w:t xml:space="preserve"> vuosina 2014–2016. Sen tulokset ja suositukset otettiin huomioon lokakuussa 2016 neuvostolle toimitetussa komission arviointikertomuksessa (SWD)</w:t>
      </w:r>
      <w:r>
        <w:rPr>
          <w:rStyle w:val="FootnoteReference"/>
          <w:noProof/>
        </w:rPr>
        <w:footnoteReference w:id="12"/>
      </w:r>
      <w:r>
        <w:rPr>
          <w:noProof/>
        </w:rPr>
        <w:t>. Joulukuussa 2016 jäsenvaltiot kannattivat yksimielisesti esitystä direktiivin tarkistamiseksi, ja 6. joulukuuta 2016 annetuissa neuvoston päätelmissä</w:t>
      </w:r>
      <w:r>
        <w:rPr>
          <w:rStyle w:val="FootnoteReference"/>
          <w:noProof/>
        </w:rPr>
        <w:footnoteReference w:id="13"/>
      </w:r>
      <w:r>
        <w:rPr>
          <w:noProof/>
        </w:rPr>
        <w:t xml:space="preserve"> neuvosto pyysi komissiota toteuttamaan tarvittavat tutkimukset ja kuulemiset voidakseen antaa ehdotuksen  direktiivin tarkistamiseksi. Toinen konsultti toteutti ulkopuolisen tutkimuksen alkoholin ja alkoholijuomien valmisteverojen rakenteista vuonna 2017.</w:t>
      </w:r>
      <w:r>
        <w:rPr>
          <w:rStyle w:val="FootnoteReference"/>
          <w:noProof/>
        </w:rPr>
        <w:footnoteReference w:id="14"/>
      </w:r>
      <w:r>
        <w:rPr>
          <w:noProof/>
        </w:rPr>
        <w:t xml:space="preserve"> </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rStyle w:val="Bodytext8"/>
          <w:b w:val="0"/>
          <w:i w:val="0"/>
          <w:noProof/>
        </w:rPr>
        <w:t>Kuulemisstrategian tarkoitukseni oli kerätä sidosryhmiltä palautetta alkoholiin ja alkoholipitoisiin juomiin sovellettavien valmisteverojen rakenteita koskevien voimassa olevat sääntöjen soveltamisesta ja kuulla niiden näkemyksiä mahdollisista muutoksista kyseisiin sääntöihin.</w:t>
      </w:r>
    </w:p>
    <w:p>
      <w:pPr>
        <w:pBdr>
          <w:top w:val="nil"/>
          <w:left w:val="nil"/>
          <w:bottom w:val="nil"/>
          <w:right w:val="nil"/>
          <w:between w:val="nil"/>
          <w:bar w:val="nil"/>
        </w:pBdr>
        <w:spacing w:before="0" w:after="240"/>
        <w:rPr>
          <w:rFonts w:eastAsia="Arial Unicode MS"/>
          <w:noProof/>
        </w:rPr>
      </w:pPr>
      <w:r>
        <w:rPr>
          <w:noProof/>
        </w:rPr>
        <w:t xml:space="preserve">Strategia koostui seuraavista: i) 161 sidosryhmän perusteellinen kuuleminen useissa jäsenvaltioissa ja EU:n tasolla ja ii) verkossa 12 viikon ajan 18. huhtikuuta 2017 – 11. heinäkuuta 2017 avoinna ollut julkinen kuuleminen, johon saatiin 166 vastausta. Yhteenvetoraportti sidosryhmien kuulemisesta on saatavilla tämän ehdotuksen liitteenä olevan vaikutustenarvioinnin liitteessä 2. </w:t>
      </w:r>
    </w:p>
    <w:p>
      <w:pPr>
        <w:pBdr>
          <w:top w:val="nil"/>
          <w:left w:val="nil"/>
          <w:bottom w:val="nil"/>
          <w:right w:val="nil"/>
          <w:between w:val="nil"/>
          <w:bar w:val="nil"/>
        </w:pBdr>
        <w:spacing w:before="0" w:after="240"/>
        <w:rPr>
          <w:rStyle w:val="Bodytext8"/>
          <w:rFonts w:eastAsia="Arial Unicode MS"/>
          <w:noProof/>
        </w:rPr>
      </w:pPr>
      <w:r>
        <w:rPr>
          <w:noProof/>
        </w:rPr>
        <w:t xml:space="preserve">Ulkopuolinen konsultti avusti komissiota kyseisen avoimen julkisen kuulemisen toteuttamisessa sidosryhmien kommenttien ja palautteen keräämiseksi edellä mainituista ongelmista ja mahdollisista vaihtoehdoista direktiivin tarkistamiseksi. </w:t>
      </w:r>
      <w:r>
        <w:rPr>
          <w:rStyle w:val="Bodytext8"/>
          <w:noProof/>
        </w:rPr>
        <w:t xml:space="preserve"> </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 xml:space="preserve">Tämä ehdotus perustuu analyysiin vuosina 2014–2016 toteutetusta arviointitutkimuksesta, komission lokakuussa 2016 neuvostolle toimittamasta kertomuksesta ja vuonna 2017 toteutetusta tutkimuksesta. Vuoden 2017 tutkimuksessa kartoitettiin ja analysoitiin näyttöön perustuen direktiivin nykyiset kustannukset ja hyödyt  arviointitutkimuksessa määritettyjen ongelmien laajuuden selvittämiseksi. Lisäksi siinä kehitettiin vaihtoehtoja voimassa olevien sääntöjen muuttamiseksi ja arviointiin kyseisten vaihtoehtojen taloudellisia ja sosiaalisia vaikutuksia.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Sääntelyntarkastelulautakunta tarkasteli ehdotuksen vaikutustenarviointia 24. tammikuuta 2018. Se antoi ehdotuksesta puoltavan lausunnon tietyin varauksin ja muutamine suosituksineen, jotka on otettu huomioon. Lautakunta suhtautui varauksellisesti ehdotettujen REFIT-toimenpiteiden kokonaisvaikutuksista tehtyyn arviointiin hallinnollisen rasituksen vähentämisen ja yksinkertaistamisen osalta. Lautakunnan lausunto ja suositukset sekä selvitys siitä, miten ne on otettu huomioon, on sisällytetty tähän ehdotukseen liittyvän komission yksiköiden valmisteluasiakirjan liitteeseen 1.</w:t>
      </w:r>
    </w:p>
    <w:p>
      <w:pPr>
        <w:pStyle w:val="ManualHeading2"/>
        <w:rPr>
          <w:rFonts w:eastAsia="Arial Unicode MS"/>
          <w:noProof/>
          <w:u w:color="000000"/>
          <w:bdr w:val="nil"/>
        </w:rPr>
      </w:pPr>
      <w:r>
        <w:rPr>
          <w:noProof/>
        </w:rPr>
        <w:t>•</w:t>
      </w:r>
      <w:r>
        <w:rPr>
          <w:noProof/>
        </w:rPr>
        <w:tab/>
        <w:t>Sääntelyn toimivuus ja yksinkertaistaminen</w:t>
      </w:r>
    </w:p>
    <w:p>
      <w:pPr>
        <w:rPr>
          <w:noProof/>
          <w:szCs w:val="24"/>
        </w:rPr>
      </w:pPr>
      <w:r>
        <w:rPr>
          <w:noProof/>
        </w:rPr>
        <w:t xml:space="preserve">Direktiivin tarkistaminen on osa komission REFIT-ohjelmaa. Arvioinnin yhteydessä kerätyn näytön ja direktiivin säännösten päivittäisestä soveltamisesta kerätyn palautteen perusteella on todettavissa, että tiettyjen tuotteiden verokohtelun osalta oli havaittavissa – vaikkakin vain pieni – oikeusvarmuuden puute, mikä puolestaan saattaa aiheuttaa lisäkustannuksia talouden toimijoille. Useimmat määritetyistä ongelmista koskivat tiettyjä markkinoita tai tiettyjä tuotteita. REFIT-ohjelman tavoitteissa keskitytään erityisesti niihin aloihin, joilla talouden toimijoille aiheutuu liiallisia sääntelystä johtuvia kustannuksia ja rasitteita. Näiden nimenomaisten kustannusten ja rasitteiden sijaan tässä ehdotuksessa keskitytään tarpeettomiin sääntelystä aiheutuviin kustannuksiin ja rasitteisiin, jotka voitaisiin välttää, jos direktiivi toimisi paremmin. Ehdotuksessa keskitytään erityisesti tiettyjen tuotteiden verokohteluun liittyvästä oikeudellisesta epävarmuudesta aiheutuviin turhiin kustannuksiin. Osittain denaturoidun alkoholin välillistä käyttöä koskevaa verovapautusta selkeyttämällä varmistetaan oikeudenmukainen verokohtelu kaikkialla EU:ssa ja alennetaan kustannuksia, jotka aiheutuvat käyttäjille niissä muutamassa jäsenvaltiossa, joissa ei tällä hetkellä katsota, että osittain denaturoidun alkoholin käyttö kyseisiin epäsuoriin tarkoituksiin on sellaista, että siihen voidaan soveltaa kyseistä vapautusta. </w:t>
      </w:r>
    </w:p>
    <w:p>
      <w:pPr>
        <w:rPr>
          <w:noProof/>
          <w:szCs w:val="24"/>
        </w:rPr>
      </w:pPr>
      <w:r>
        <w:rPr>
          <w:noProof/>
        </w:rPr>
        <w:t xml:space="preserve">Vuotuisen hallinnollisen rasitteen, joka olisi seurausta alennetun verokannan soveltamisalan ehdotetusta laajentamisesta pieniin siiderinvalmistajiin, arvioidaan olevan 178 euroa siiderinvalmistajaa kohti tai yhteensä 200 000 euroa vuodessa. Kyseinen rasite vastaa soveltamisalaan kuuluville pienille panimoille aiheutuvaa rasitetta. Lisätietoja tähän direktiiviin liittyvistä kustannuksista ja rasitteista annetaan tämän ehdotuksen liitteenä olevan vaikutustenarvioinnin kohdassa 8. </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noProof/>
        </w:rPr>
      </w:pPr>
      <w:r>
        <w:rPr>
          <w:noProof/>
        </w:rPr>
        <w:t xml:space="preserve">Ehdotuksella ei ole seurauksia perusoikeuksien suojeluun. </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Ehdotuksella ei ole vaikutuksia unionin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 xml:space="preserve">Valmisteverokomitea, joka on valmisteveroasioita käsittelevä neuvoa-antava komitea, johon kaikkien jäsenvaltioiden edustajat osallistuvat ja jonka puheenjohtajana toimii komissio, seuraa direktiivin ehdotettujen muutosten täytäntöönpanoa ja pohtii ja selventää mahdollisia uuden lainsäädännön tulkintaongelmia jäsenvaltioiden välillä. </w:t>
      </w:r>
    </w:p>
    <w:p>
      <w:pPr>
        <w:tabs>
          <w:tab w:val="left" w:pos="2302"/>
        </w:tabs>
        <w:rPr>
          <w:rFonts w:eastAsia="Arial Unicode MS"/>
          <w:noProof/>
        </w:rPr>
      </w:pPr>
      <w:r>
        <w:rPr>
          <w:noProof/>
        </w:rPr>
        <w:t>Valmisteverokomitea raportoi mahdollisista täytäntöönpanoon liittyvistä ongelmista ja direktiivin toimintaan liittyvien ongelmien kehityksestä sekä pohtii ja selventää mahdollisia uuden lainsäädännön tulkintaongelmia jäsenvaltioiden välillä. Jäsenvaltiot ja komissio arvioivat uuden lainsäädännön mukanaan tuomaa kehitystä aikaisintaan viiden vuoden kuluttua sen voimaantulosta, jotta markkinoilla on aikaa sopeutua tilanteeseen ja tulokset ja vaikutukset alkavat näkyä.</w:t>
      </w:r>
    </w:p>
    <w:p>
      <w:pPr>
        <w:pStyle w:val="ManualHeading2"/>
        <w:rPr>
          <w:rFonts w:eastAsia="Arial Unicode MS"/>
          <w:noProof/>
          <w:u w:color="000000"/>
          <w:bdr w:val="nil"/>
        </w:rPr>
      </w:pPr>
      <w:r>
        <w:rPr>
          <w:noProof/>
        </w:rPr>
        <w:t>•</w:t>
      </w:r>
      <w:r>
        <w:rPr>
          <w:noProof/>
        </w:rPr>
        <w:tab/>
        <w:t>Selittävät asiakirjat (direktiivien osalta)</w:t>
      </w:r>
    </w:p>
    <w:p>
      <w:pPr>
        <w:pBdr>
          <w:top w:val="nil"/>
          <w:left w:val="nil"/>
          <w:bottom w:val="nil"/>
          <w:right w:val="nil"/>
          <w:between w:val="nil"/>
          <w:bar w:val="nil"/>
        </w:pBdr>
        <w:spacing w:before="0" w:after="240"/>
        <w:rPr>
          <w:rFonts w:eastAsia="Arial Unicode MS"/>
          <w:noProof/>
        </w:rPr>
      </w:pPr>
      <w:r>
        <w:rPr>
          <w:noProof/>
        </w:rPr>
        <w:t xml:space="preserve">Selittäviä asiakirjoja ei vaadita, sillä ehdotuksella pyritään yksinkertaistamaan ja selkeyttämään nykyistä järjestelmää. </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noProof/>
        </w:rPr>
      </w:pPr>
      <w:r>
        <w:rPr>
          <w:noProof/>
        </w:rPr>
        <w:t>Ehdotuksen 1 artiklan 1 kohdassa muutetaan 3 artiklaa oluen platoasteiden mittaukseen liittyvien säännösten selventämiseksi.</w:t>
      </w:r>
    </w:p>
    <w:p>
      <w:pPr>
        <w:pBdr>
          <w:top w:val="nil"/>
          <w:left w:val="nil"/>
          <w:bottom w:val="nil"/>
          <w:right w:val="nil"/>
          <w:between w:val="nil"/>
          <w:bar w:val="nil"/>
        </w:pBdr>
        <w:spacing w:before="0" w:after="240"/>
        <w:rPr>
          <w:rFonts w:eastAsia="Arial Unicode MS"/>
          <w:noProof/>
        </w:rPr>
      </w:pPr>
      <w:r>
        <w:rPr>
          <w:noProof/>
        </w:rPr>
        <w:t>Ehdotuksen 1 artiklan 2 kohdassa muutetaan 4 artiklaa pienten riippumattomien panimoiden yhdenmukaisen todistuksen käyttöönottamiseksi kaikkialla EU:ssa. Tämä parantaa pienpanimoja koskevan huojennuksen soveltamista rajat ylittävissä tapauksissa.</w:t>
      </w:r>
    </w:p>
    <w:p>
      <w:pPr>
        <w:pBdr>
          <w:top w:val="nil"/>
          <w:left w:val="nil"/>
          <w:bottom w:val="nil"/>
          <w:right w:val="nil"/>
          <w:between w:val="nil"/>
          <w:bar w:val="nil"/>
        </w:pBdr>
        <w:spacing w:before="0" w:after="240"/>
        <w:rPr>
          <w:rFonts w:eastAsia="Arial Unicode MS"/>
          <w:noProof/>
        </w:rPr>
      </w:pPr>
      <w:r>
        <w:rPr>
          <w:noProof/>
        </w:rPr>
        <w:t xml:space="preserve">Ehdotuksen 1 artiklan 3 kohdassa muutetaan 5 artiklaa siten, että nostetaan kynnysarvoa, jonka nojalla alennettua verokantaa voidaan soveltaa mietoihin oluisiin. </w:t>
      </w:r>
    </w:p>
    <w:p>
      <w:pPr>
        <w:pBdr>
          <w:top w:val="nil"/>
          <w:left w:val="nil"/>
          <w:bottom w:val="nil"/>
          <w:right w:val="nil"/>
          <w:between w:val="nil"/>
          <w:bar w:val="nil"/>
        </w:pBdr>
        <w:spacing w:before="0" w:after="240"/>
        <w:rPr>
          <w:rFonts w:eastAsia="Arial Unicode MS"/>
          <w:noProof/>
        </w:rPr>
      </w:pPr>
      <w:r>
        <w:rPr>
          <w:noProof/>
        </w:rPr>
        <w:t>Ehdotuksen 1 artiklan 4 kohdassa muutetaan 12 artiklaa lisäämällä siihen siiderin määritelmä. Tämä helpottaa myös alennettujen verokantojen soveltamista pieniin riippumattomiin siiderinvalmistajiin (vrt. kohta 6).</w:t>
      </w:r>
    </w:p>
    <w:p>
      <w:pPr>
        <w:pBdr>
          <w:top w:val="nil"/>
          <w:left w:val="nil"/>
          <w:bottom w:val="nil"/>
          <w:right w:val="nil"/>
          <w:between w:val="nil"/>
          <w:bar w:val="nil"/>
        </w:pBdr>
        <w:spacing w:before="0" w:after="240"/>
        <w:rPr>
          <w:rFonts w:eastAsia="Arial Unicode MS"/>
          <w:noProof/>
        </w:rPr>
      </w:pPr>
      <w:r>
        <w:rPr>
          <w:noProof/>
        </w:rPr>
        <w:t xml:space="preserve">Ehdotuksen 1 artiklan 5 kohdassa muutetaan 13 artiklaa siten, että siinä otetaan huomioon pienille riippumattomille siiderinvalmistajille 6 kohdassa vahvistetut valinnaiset alennetut verokannat. </w:t>
      </w:r>
    </w:p>
    <w:p>
      <w:pPr>
        <w:pBdr>
          <w:top w:val="nil"/>
          <w:left w:val="nil"/>
          <w:bottom w:val="nil"/>
          <w:right w:val="nil"/>
          <w:between w:val="nil"/>
          <w:bar w:val="nil"/>
        </w:pBdr>
        <w:spacing w:before="0" w:after="240"/>
        <w:rPr>
          <w:rFonts w:eastAsia="Arial Unicode MS"/>
          <w:noProof/>
        </w:rPr>
      </w:pPr>
      <w:r>
        <w:rPr>
          <w:noProof/>
        </w:rPr>
        <w:t xml:space="preserve">Ehdotuksen 1 artiklan 6 kohdassa lisätään 13 a artikla pienille riippumattomille siiderinvalmistajille vahvistettujen valinnaisten alennettujen verokantojen käyttöönottamiseksi. </w:t>
      </w:r>
    </w:p>
    <w:p>
      <w:pPr>
        <w:pBdr>
          <w:top w:val="nil"/>
          <w:left w:val="nil"/>
          <w:bottom w:val="nil"/>
          <w:right w:val="nil"/>
          <w:between w:val="nil"/>
          <w:bar w:val="nil"/>
        </w:pBdr>
        <w:spacing w:before="0" w:after="240"/>
        <w:rPr>
          <w:rFonts w:eastAsia="Arial Unicode MS"/>
          <w:noProof/>
        </w:rPr>
      </w:pPr>
      <w:r>
        <w:rPr>
          <w:noProof/>
        </w:rPr>
        <w:t>Ehdotuksen 1 artiklan 7 kohdassa muutetaan 27 artiklaa säännösten selkeyttämiseksi denaturoitua alkoholia koskevien verovapautusten osalta ja oikeusvarmuuden parantamiseksi talouden toimijoiden ja jäsenvaltioiden viranomaisten osalta.</w:t>
      </w:r>
    </w:p>
    <w:p>
      <w:pPr>
        <w:pBdr>
          <w:top w:val="nil"/>
          <w:left w:val="nil"/>
          <w:bottom w:val="nil"/>
          <w:right w:val="nil"/>
          <w:between w:val="nil"/>
          <w:bar w:val="nil"/>
        </w:pBdr>
        <w:spacing w:before="0" w:after="240"/>
        <w:rPr>
          <w:rFonts w:eastAsia="Arial Unicode MS"/>
          <w:noProof/>
        </w:rPr>
      </w:pPr>
      <w:r>
        <w:rPr>
          <w:noProof/>
        </w:rPr>
        <w:t xml:space="preserve">Ehdotuksen 1 artiklan 8 kohdassa kumotaan 28 artikla, jonka nojalla Yhdistynyt kuningaskunta voi soveltaa valmisteverovapautuksia tiettyihin tuotteisiin, jotka eivät enää ole valmisteverosta vapautettuja Yhdistyneessä kuningaskunnassa. </w:t>
      </w:r>
    </w:p>
    <w:p>
      <w:pPr>
        <w:pBdr>
          <w:top w:val="nil"/>
          <w:left w:val="nil"/>
          <w:bottom w:val="nil"/>
          <w:right w:val="nil"/>
          <w:between w:val="nil"/>
          <w:bar w:val="nil"/>
        </w:pBdr>
        <w:spacing w:before="0" w:after="240"/>
        <w:rPr>
          <w:rFonts w:eastAsia="Arial Unicode MS"/>
          <w:noProof/>
        </w:rPr>
      </w:pPr>
      <w:r>
        <w:rPr>
          <w:noProof/>
        </w:rPr>
        <w:t>Ehdotuksen 1 artiklan 9 kohdassa lisätään 28 a artikla, jossa komissiolle annetaan täytäntöönpanovalta.</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2018/0173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alkoholin ja alkoholijuomien valmisteverojen rakenteiden yhdenmukaistamisesta annetun direktiivin 92/83/ETY muuttamisesta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15"/>
      </w:r>
      <w:r>
        <w:rPr>
          <w:noProof/>
        </w:rPr>
        <w:t xml:space="preserve">, </w:t>
      </w:r>
    </w:p>
    <w:p>
      <w:pPr>
        <w:rPr>
          <w:noProof/>
        </w:rPr>
      </w:pPr>
      <w:r>
        <w:rPr>
          <w:noProof/>
        </w:rPr>
        <w:t>ottaa huomioon Euroopan talous- ja sosiaalikomitean lausunnon</w:t>
      </w:r>
      <w:r>
        <w:rPr>
          <w:rStyle w:val="FootnoteReference"/>
          <w:noProof/>
        </w:rPr>
        <w:footnoteReference w:id="16"/>
      </w:r>
      <w:r>
        <w:rPr>
          <w:noProof/>
        </w:rPr>
        <w:t xml:space="preserve">, </w:t>
      </w:r>
    </w:p>
    <w:p>
      <w:pPr>
        <w:rPr>
          <w:noProof/>
        </w:rPr>
      </w:pPr>
      <w:r>
        <w:rPr>
          <w:noProof/>
        </w:rPr>
        <w:t>noudattaa erityistä lainsäätämisjärjestystä,</w:t>
      </w:r>
    </w:p>
    <w:p>
      <w:pPr>
        <w:rPr>
          <w:noProof/>
        </w:rPr>
      </w:pPr>
      <w:r>
        <w:rPr>
          <w:noProof/>
        </w:rPr>
        <w:t>sekä katsoo seuraavaa:</w:t>
      </w:r>
      <w:r>
        <w:rPr>
          <w:i/>
          <w:noProof/>
        </w:rPr>
        <w:t xml:space="preserve"> </w:t>
      </w:r>
    </w:p>
    <w:p>
      <w:pPr>
        <w:pStyle w:val="ManualConsidrant"/>
        <w:rPr>
          <w:noProof/>
        </w:rPr>
      </w:pPr>
      <w:r>
        <w:t>(1)</w:t>
      </w:r>
      <w:r>
        <w:tab/>
      </w:r>
      <w:r>
        <w:rPr>
          <w:noProof/>
        </w:rPr>
        <w:t>Jotkut neuvoston direktiivin 92/83/ETY</w:t>
      </w:r>
      <w:r>
        <w:rPr>
          <w:rStyle w:val="FootnoteReference"/>
          <w:noProof/>
        </w:rPr>
        <w:footnoteReference w:id="17"/>
      </w:r>
      <w:r>
        <w:rPr>
          <w:noProof/>
        </w:rPr>
        <w:t xml:space="preserve"> säännöksistä ovat vanhentuneita ja epäselviä, mikä johtaa tarpeettoman raskaisiin hallinnollisiin menettelyihin sekä verohallintojen että talouden toimijoiden osalta. Kyseisten menettelyjen noudattamisesta talouden toimijoille aiheutuvat kustannukset rajoittavat pk-yritysten osallistumista alkoholin ja alkoholijuomien kauppaan sisämarkkinoilla.</w:t>
      </w:r>
    </w:p>
    <w:p>
      <w:pPr>
        <w:pStyle w:val="ManualConsidrant"/>
        <w:rPr>
          <w:noProof/>
        </w:rPr>
      </w:pPr>
      <w:r>
        <w:t>(2)</w:t>
      </w:r>
      <w:r>
        <w:tab/>
      </w:r>
      <w:r>
        <w:rPr>
          <w:noProof/>
        </w:rPr>
        <w:t>Jotta voidaan varmistaa oluen valmisteveron määrittämistä koskevien ehtojen yhdenmukainen soveltaminen erityisesti makeutetun tai maustetun oluen platoasteiden mittaamisen osalta, on tarpeen säätää platoasteiden mittaamista koskevista ehdoista.</w:t>
      </w:r>
    </w:p>
    <w:p>
      <w:pPr>
        <w:pStyle w:val="ManualConsidrant"/>
        <w:rPr>
          <w:noProof/>
        </w:rPr>
      </w:pPr>
      <w:r>
        <w:t>(3)</w:t>
      </w:r>
      <w:r>
        <w:tab/>
      </w:r>
      <w:r>
        <w:rPr>
          <w:noProof/>
        </w:rPr>
        <w:t>Oluen, johon voidaan soveltaa mietojen oluiden alennettuja verokantoja, alkoholipitoisuus on yleensä liian alhainen, jotta se kannustaisi panimoita konkreettisella tavalla innovatiiviseen toimintaan uusien mietojen tuotteiden kehittämiseksi. Kiinnostuksen lisäämiseksi mietojen oluiden kehittämiseen olisi nostettava mietoa alkoholia koskevien verokantojen kynnysarvoa.</w:t>
      </w:r>
    </w:p>
    <w:p>
      <w:pPr>
        <w:pStyle w:val="ManualConsidrant"/>
        <w:rPr>
          <w:noProof/>
        </w:rPr>
      </w:pPr>
      <w:r>
        <w:t>(4)</w:t>
      </w:r>
      <w:r>
        <w:tab/>
      </w:r>
      <w:r>
        <w:rPr>
          <w:noProof/>
        </w:rPr>
        <w:t xml:space="preserve">Jotta voidaan varmistaa tiettyjen juomien luokittelua ”muiksi käymistietä valmistetuiksi juomiksi” koskevien ehtojen yhdenmukainen soveltaminen ja vähentää oikeudellista epävarmuutta, joka on syynä kyseisten juomien vaihtelevaan verokohteluun sisämarkkinoilla, on tarpeen vahvistaa määritelmä termille ”siideri”. </w:t>
      </w:r>
    </w:p>
    <w:p>
      <w:pPr>
        <w:pStyle w:val="ManualConsidrant"/>
        <w:rPr>
          <w:noProof/>
        </w:rPr>
      </w:pPr>
      <w:r>
        <w:t>(5)</w:t>
      </w:r>
      <w:r>
        <w:tab/>
      </w:r>
      <w:r>
        <w:rPr>
          <w:noProof/>
        </w:rPr>
        <w:t>Jäsenvaltiot voivat soveltaa alennettuja verokantoja riippumattomien pientuottajien pieninä määrinä valmistamiin oluisiin ja etyylialkoholiin. Jotta siiderin verokohtelu ei eroaisi oluen ja etyylialkoholin verokohtelusta, jäsenvaltioilla olisi myös oltava valtuudet soveltaa alennettuja verokantoja siideriin, jota pienet riippumattomat siiderinvalmistajat tuottavat pieniä määriä.</w:t>
      </w:r>
    </w:p>
    <w:p>
      <w:pPr>
        <w:pStyle w:val="ManualConsidrant"/>
        <w:rPr>
          <w:noProof/>
        </w:rPr>
      </w:pPr>
      <w:r>
        <w:t>(6)</w:t>
      </w:r>
      <w:r>
        <w:tab/>
      </w:r>
      <w:r>
        <w:rPr>
          <w:noProof/>
        </w:rPr>
        <w:t>Jotta helpotetaan kyseisten tuottajien tunnustamista pieniksi riippumattomiksi tuottajiksi kaikissa jäsenvaltioissa, komissiolle olisi olutta ja siideriä koskevien alennettujen valmisteverokantojen soveltamiseksi annettava täytäntöönpanovalta vahvistaa sellaisen yhdenmukaisen todistuksen muoto, jolla vahvistetaan pientuottajan vuosituotanto ja todetaan, että se noudattaa direktiivissä 92/83/ETY säädettyjä vaatimuksia. Tätä valtaa olisi käytettävä Euroopan parlamentin ja neuvoston asetuksen (EU) N:o 182/2011</w:t>
      </w:r>
      <w:r>
        <w:rPr>
          <w:rStyle w:val="FootnoteReference"/>
          <w:noProof/>
        </w:rPr>
        <w:footnoteReference w:id="18"/>
      </w:r>
      <w:r>
        <w:rPr>
          <w:noProof/>
        </w:rPr>
        <w:t xml:space="preserve"> mukaisesti.</w:t>
      </w:r>
    </w:p>
    <w:p>
      <w:pPr>
        <w:pStyle w:val="ManualConsidrant"/>
        <w:rPr>
          <w:noProof/>
        </w:rPr>
      </w:pPr>
      <w:r>
        <w:t>(7)</w:t>
      </w:r>
      <w:r>
        <w:tab/>
      </w:r>
      <w:r>
        <w:rPr>
          <w:noProof/>
        </w:rPr>
        <w:t xml:space="preserve">Talouden toimijoille säännösten noudattamisesta aiheutuvan rasitteen vähentämiseksi ja oikeusvarmuuden parantamiseksi olisi tarkistettava kaikentyyppistä denaturoitua alkoholia koskevien verovapautusten soveltamisedellytyksiä. </w:t>
      </w:r>
    </w:p>
    <w:p>
      <w:pPr>
        <w:pStyle w:val="ManualConsidrant"/>
        <w:rPr>
          <w:noProof/>
        </w:rPr>
      </w:pPr>
      <w:r>
        <w:t>(8)</w:t>
      </w:r>
      <w:r>
        <w:tab/>
      </w:r>
      <w:r>
        <w:rPr>
          <w:noProof/>
        </w:rPr>
        <w:t>Kokonaan denaturoitua alkoholia koskevan verovapautuksen yhdenmukaisen soveltamisen varmistamiseksi on tarpeen, että kokonaan denaturoidun alkoholin keskinäisen tunnustamisen ehtoja selkeytetään edelleen. Oikeusvarmuuden lisäämiseksi on myös tarpeen selkeyttää menettelyjä alkoholin täydellistä denaturaatiota koskeviin vaatimuksiin tehtävistä muutoksista ilmoittamiseksi.</w:t>
      </w:r>
    </w:p>
    <w:p>
      <w:pPr>
        <w:pStyle w:val="ManualConsidrant"/>
        <w:rPr>
          <w:noProof/>
        </w:rPr>
      </w:pPr>
      <w:r>
        <w:t>(9)</w:t>
      </w:r>
      <w:r>
        <w:tab/>
      </w:r>
      <w:r>
        <w:rPr>
          <w:noProof/>
        </w:rPr>
        <w:t>Jotta voidaan vahvistaa menettelyt alkoholin täydellistä denaturaatiota koskevien jäsenvaltioiden vaatimusten arvioinnille, komissiolle olisi siirrettävä täytäntöönpanovalta hyväksyä tai hylätä jäsenvaltioiden ilmoittamat alkoholin täydellistä denaturaatiota koskevat vaatimukset. Tätä valtaa olisi käytettävä asetuksen (EU) N:o 182/2011 mukaisesti.</w:t>
      </w:r>
    </w:p>
    <w:p>
      <w:pPr>
        <w:pStyle w:val="ManualConsidrant"/>
        <w:rPr>
          <w:noProof/>
        </w:rPr>
      </w:pPr>
      <w:r>
        <w:t>(10)</w:t>
      </w:r>
      <w:r>
        <w:tab/>
      </w:r>
      <w:r>
        <w:rPr>
          <w:noProof/>
        </w:rPr>
        <w:t>Osittain denaturoitua alkoholia koskevan verovapautuksen yhdenmukaisen soveltamisen varmistamiseksi on tarpeen täsmentää osittain denaturoidun alkoholin keskinäistä tunnustamista koskevat ehdot ja säätää, että valmistuslaitteiden puhdistus ja huolto on osa valmistusprosessia ja että kyseiseen tarkoitukseen käytetty osittain denaturoitu alkoholi kuuluu näin ollen verovapautuksen piiriin. Kyseisen vapautuksen vilpillisen käytön estämiseksi on tarpeen antaa sen soveltamista koskevia lisäehtoja.</w:t>
      </w:r>
    </w:p>
    <w:p>
      <w:pPr>
        <w:pStyle w:val="ManualConsidrant"/>
        <w:rPr>
          <w:noProof/>
        </w:rPr>
      </w:pPr>
      <w:r>
        <w:t>(11)</w:t>
      </w:r>
      <w:r>
        <w:tab/>
      </w:r>
      <w:r>
        <w:rPr>
          <w:noProof/>
        </w:rPr>
        <w:t>Kahta tiettyä alkoholijuomaa koskevat Yhdistyneen kuningaskunnan verovapautukset kuvastivat Yhdistyneen kuningaskunnan kansallisessa lainsäädännössä säädettyjä verovapautuksia. Koska kyseiset vapautukset yhdenmukaistetusta valmisteverosta kumottiin Yhdistyneen kuningaskunnan kansallisessa lainsäädännössä, ne eivät ole enää aiheellisia ja ne olisi lakkautettava unionin tasolla.</w:t>
      </w:r>
    </w:p>
    <w:p>
      <w:pPr>
        <w:pStyle w:val="ManualConsidrant"/>
        <w:rPr>
          <w:noProof/>
        </w:rPr>
      </w:pPr>
      <w:r>
        <w:t>(12)</w:t>
      </w:r>
      <w:r>
        <w:tab/>
      </w:r>
      <w:r>
        <w:rPr>
          <w:noProof/>
        </w:rPr>
        <w:t>Jäsenvaltiot eivät voi riittävällä tavalla saavuttaa tämän direktiivin tavoitteita eli vähentää talouden toimijoille säännösten noudattamisesta aiheutuvaa rasitetta ja verohallinnoille aiheutuvaa hallinnollista rasitetta, vaan tavoitteet voidaan toiminnan vaikutusten vuoksi saavuttaa paremmin unionin tasolla. Sen vuoksi unioni voi toteuttaa toimenpiteitä Euroopan unionista tehdyn sopimuksen 5 artiklassa vahvistetun toissijaisuusperiaatteen mukaisesti. Mainitussa artiklassa vahvistetun suhteellisuusperiaatteen mukaisesti tässä direktiivissä ei ylitetä sitä, mikä on tarpeen näiden tavoitteiden saavuttamiseksi.</w:t>
      </w:r>
    </w:p>
    <w:p>
      <w:pPr>
        <w:pStyle w:val="ManualConsidrant"/>
        <w:rPr>
          <w:noProof/>
        </w:rPr>
      </w:pPr>
      <w:r>
        <w:t>(13)</w:t>
      </w:r>
      <w:r>
        <w:tab/>
      </w:r>
      <w:r>
        <w:rPr>
          <w:noProof/>
        </w:rPr>
        <w:t>Sen vuoksi direktiiviä 92/83/ETY olisi muutettava,</w:t>
      </w:r>
    </w:p>
    <w:p>
      <w:pPr>
        <w:pStyle w:val="Formuledadoption"/>
        <w:rPr>
          <w:noProof/>
        </w:rPr>
      </w:pPr>
      <w:r>
        <w:rPr>
          <w:noProof/>
        </w:rPr>
        <w:t>ON HYVÄKSYNYT TÄMÄN DIREKTIIVIN:</w:t>
      </w:r>
    </w:p>
    <w:p>
      <w:pPr>
        <w:pStyle w:val="Titrearticle"/>
        <w:rPr>
          <w:noProof/>
        </w:rPr>
      </w:pPr>
      <w:r>
        <w:rPr>
          <w:noProof/>
        </w:rPr>
        <w:t>1 artikla</w:t>
      </w:r>
    </w:p>
    <w:p>
      <w:pPr>
        <w:rPr>
          <w:noProof/>
        </w:rPr>
      </w:pPr>
      <w:r>
        <w:rPr>
          <w:noProof/>
        </w:rPr>
        <w:t xml:space="preserve">Muutetaan direktiivi 92/83/ETY seuraavasti: </w:t>
      </w:r>
    </w:p>
    <w:p>
      <w:pPr>
        <w:rPr>
          <w:noProof/>
        </w:rPr>
      </w:pPr>
    </w:p>
    <w:p>
      <w:pPr>
        <w:rPr>
          <w:noProof/>
        </w:rPr>
      </w:pPr>
      <w:r>
        <w:rPr>
          <w:noProof/>
        </w:rPr>
        <w:t>1) lisätään 3 artiklan 1 kohtaan alakohta seuraavasti:</w:t>
      </w:r>
    </w:p>
    <w:p>
      <w:pPr>
        <w:rPr>
          <w:noProof/>
        </w:rPr>
      </w:pPr>
    </w:p>
    <w:p>
      <w:pPr>
        <w:rPr>
          <w:noProof/>
        </w:rPr>
      </w:pPr>
      <w:r>
        <w:rPr>
          <w:noProof/>
        </w:rPr>
        <w:t xml:space="preserve">”Kaikki oluen ainesosat, mukaan lukien käymisen jälkeen lisätyt ainesosat, on otettava huomioon platoastetta mitattaessa.” </w:t>
      </w:r>
    </w:p>
    <w:p>
      <w:pPr>
        <w:rPr>
          <w:noProof/>
        </w:rPr>
      </w:pPr>
    </w:p>
    <w:p>
      <w:pPr>
        <w:rPr>
          <w:noProof/>
        </w:rPr>
      </w:pPr>
      <w:r>
        <w:rPr>
          <w:noProof/>
        </w:rPr>
        <w:t>2) lisätään 4 artiklaan 4 ja 5 kohta seuraavasti:</w:t>
      </w:r>
    </w:p>
    <w:p>
      <w:pPr>
        <w:rPr>
          <w:noProof/>
        </w:rPr>
      </w:pPr>
    </w:p>
    <w:p>
      <w:pPr>
        <w:rPr>
          <w:noProof/>
        </w:rPr>
      </w:pPr>
      <w:r>
        <w:rPr>
          <w:noProof/>
        </w:rPr>
        <w:t xml:space="preserve">”4. Jäsenvaltioiden on pyynnöstä annettava alueelleen sijoittautuneille pienille riippumattomille panimoille todistus, jossa vahvistetaan niiden oluen vuotuinen kokonaistuotanto ja todetaan, että ne täyttävät 2 kohdassa esitetyt vaatimukset. </w:t>
      </w:r>
    </w:p>
    <w:p>
      <w:pPr>
        <w:rPr>
          <w:noProof/>
        </w:rPr>
      </w:pPr>
    </w:p>
    <w:p>
      <w:pPr>
        <w:rPr>
          <w:noProof/>
        </w:rPr>
      </w:pPr>
      <w:r>
        <w:rPr>
          <w:noProof/>
        </w:rPr>
        <w:t>5. Komissio hyväksyy täytäntöönpanosäädöksiä, joissa vahvistetaan 4 kohdassa tarkoitetun todistuksen muoto. Kyseiset täytäntöönpanosäädökset hyväksytään 28 a artiklan 2 kohdassa tarkoitettua tarkastelumenettelyä noudattaen.”;</w:t>
      </w:r>
    </w:p>
    <w:p>
      <w:pPr>
        <w:rPr>
          <w:noProof/>
        </w:rPr>
      </w:pPr>
    </w:p>
    <w:p>
      <w:pPr>
        <w:rPr>
          <w:noProof/>
        </w:rPr>
      </w:pPr>
      <w:r>
        <w:rPr>
          <w:noProof/>
        </w:rPr>
        <w:t>3) korvataan 5 artiklassa ilmaisu ”2,8 tilavuusprosenttia” ilmaisulla ”3,5 tilavuusprosenttia”;</w:t>
      </w:r>
    </w:p>
    <w:p>
      <w:pPr>
        <w:rPr>
          <w:noProof/>
        </w:rPr>
      </w:pPr>
    </w:p>
    <w:p>
      <w:pPr>
        <w:rPr>
          <w:noProof/>
        </w:rPr>
      </w:pPr>
      <w:r>
        <w:rPr>
          <w:noProof/>
        </w:rPr>
        <w:t>4) lisätään 12 artiklaan 3 kohta seuraavasti:</w:t>
      </w:r>
    </w:p>
    <w:p>
      <w:pPr>
        <w:rPr>
          <w:noProof/>
        </w:rPr>
      </w:pPr>
    </w:p>
    <w:p>
      <w:pPr>
        <w:rPr>
          <w:noProof/>
        </w:rPr>
      </w:pPr>
      <w:r>
        <w:rPr>
          <w:noProof/>
        </w:rPr>
        <w:t xml:space="preserve">”3. ”siiderillä” juomaa, jonka todellinen alkoholipitoisuus on suurempi kuin 1,2 tilavuusprosenttia mutta enintään 8,5 tilavuusprosenttia ja joka on saatu yksinomaan omena- tai päärynämehua tai molempia fermentoimalla ilman, että siihen on lisätty mitään muuta alkoholia tai alkoholijuomaa.”; </w:t>
      </w:r>
    </w:p>
    <w:p/>
    <w:p>
      <w:pPr>
        <w:rPr>
          <w:noProof/>
        </w:rPr>
      </w:pPr>
      <w:r>
        <w:rPr>
          <w:noProof/>
        </w:rPr>
        <w:t>5) korvataan 13 artiklan 2 kohdassa ilmaisu ”Jollei 3 kohdassa toisin säädetä” ilmaisulla ”Jollei 3 kohdassa ja 13 a artiklassa toisin säädetä”;</w:t>
      </w:r>
    </w:p>
    <w:p>
      <w:pPr>
        <w:rPr>
          <w:noProof/>
        </w:rPr>
      </w:pPr>
    </w:p>
    <w:p>
      <w:pPr>
        <w:rPr>
          <w:noProof/>
        </w:rPr>
      </w:pPr>
      <w:r>
        <w:rPr>
          <w:noProof/>
        </w:rPr>
        <w:t>6) lisätään artikla seuraavasti:</w:t>
      </w:r>
    </w:p>
    <w:p>
      <w:pPr>
        <w:keepNext/>
        <w:spacing w:before="360"/>
        <w:jc w:val="center"/>
        <w:rPr>
          <w:rFonts w:eastAsia="Calibri"/>
          <w:i/>
          <w:noProof/>
        </w:rPr>
      </w:pPr>
      <w:r>
        <w:rPr>
          <w:noProof/>
        </w:rPr>
        <w:t>”</w:t>
      </w:r>
      <w:r>
        <w:rPr>
          <w:i/>
          <w:noProof/>
        </w:rPr>
        <w:t>13 a artikla</w:t>
      </w:r>
    </w:p>
    <w:p>
      <w:pPr>
        <w:rPr>
          <w:noProof/>
        </w:rPr>
      </w:pPr>
      <w:r>
        <w:rPr>
          <w:noProof/>
        </w:rPr>
        <w:t xml:space="preserve">1. Jäsenvaltiot voivat soveltaa pienten riippumattomien siiderinvalmistajien valmistamaan siideriin alennettuja valmisteverojen määriä, jotka voidaan eriyttää kyseisten siiderinvalmistajien vuosituotannon mukaan, seuraavin rajoituksin: </w:t>
      </w:r>
    </w:p>
    <w:p>
      <w:pPr>
        <w:rPr>
          <w:noProof/>
        </w:rPr>
      </w:pPr>
      <w:r>
        <w:rPr>
          <w:noProof/>
        </w:rPr>
        <w:t xml:space="preserve">- alennettuja valmisteverojen määriä ei saa soveltaa yrityksiin, jotka tuottavat enemmän kuin 15 000 hehtolitraa siideriä vuodessa, </w:t>
      </w:r>
    </w:p>
    <w:p>
      <w:pPr>
        <w:rPr>
          <w:noProof/>
        </w:rPr>
      </w:pPr>
      <w:r>
        <w:rPr>
          <w:noProof/>
        </w:rPr>
        <w:t xml:space="preserve">- alennetut valmisteverojen määrät, jotka voivat olla valmisteveron vähimmäismäärää alhaisempia, eivät saa olla enempää kuin 50 prosenttia siiderin tavanomaista kansallista valmisteveron määrää alhaisempia. </w:t>
      </w:r>
    </w:p>
    <w:p>
      <w:pPr>
        <w:rPr>
          <w:noProof/>
        </w:rPr>
      </w:pPr>
    </w:p>
    <w:p>
      <w:pPr>
        <w:rPr>
          <w:noProof/>
        </w:rPr>
      </w:pPr>
      <w:r>
        <w:rPr>
          <w:noProof/>
        </w:rPr>
        <w:t xml:space="preserve">2. Tätä artiklaa sovellettaessa ”pienellä riippumattomalla siiderinvalmistajalla” tarkoitetaan siiderinvalmistajaa, joka on oikeudellisesti ja taloudellisesti riippumaton muista siiderinvalmistajista ja toimii tiloissa, jotka sijaitsevat fyysisesti erillään muiden siiderinvalmistajien tiloista, eikä harjoita lisenssivalmistusta. Kahta tai useampaa pientä siiderinvalmistajaa, jotka toimivat yhteistyössä ja joiden yhteenlaskettu vuosituotanto on enintään 15 000 hehtolitraa, voidaan kuitenkin kohdella verotuksessa yhtenä pienenä riippumattomana siiderinvalmistajana. </w:t>
      </w:r>
    </w:p>
    <w:p>
      <w:pPr>
        <w:rPr>
          <w:noProof/>
        </w:rPr>
      </w:pPr>
    </w:p>
    <w:p>
      <w:pPr>
        <w:rPr>
          <w:noProof/>
        </w:rPr>
      </w:pPr>
      <w:r>
        <w:rPr>
          <w:noProof/>
        </w:rPr>
        <w:t xml:space="preserve">3. Jäsenvaltioiden on huolehdittava siitä, että niiden käyttöön ottamia alennettuja valmisteverojen määriä sovelletaan yhdenmukaisesti siideriin, joka toimitetaan niiden alueelle muissa jäsenvaltioissa sijaitsevilta pieniltä riippumattomilta siiderinvalmistajilta. Niiden on huolehdittava erityisesti siitä, että mistään toisesta jäsenvaltiosta tulevasta yksittäisestä toimituksesta ei kanneta suurempaa valmisteveroa kuin täysin vastaavasta kotimaisesta toimituksesta. </w:t>
      </w:r>
    </w:p>
    <w:p>
      <w:pPr>
        <w:rPr>
          <w:noProof/>
        </w:rPr>
      </w:pPr>
    </w:p>
    <w:p>
      <w:pPr>
        <w:rPr>
          <w:noProof/>
        </w:rPr>
      </w:pPr>
      <w:r>
        <w:rPr>
          <w:noProof/>
        </w:rPr>
        <w:t>4. Jäsenvaltioiden on pyynnöstä annettava alueelleen sijoittautuneille pienille riippumattomille siiderinvalmistajille todistus, jossa vahvistetaan niiden siiderin vuotuinen kokonaistuotanto ja todetaan, että ne täyttävät 2 kohdassa esitetyt vaatimukset.</w:t>
      </w:r>
    </w:p>
    <w:p>
      <w:pPr>
        <w:rPr>
          <w:noProof/>
        </w:rPr>
      </w:pPr>
    </w:p>
    <w:p>
      <w:pPr>
        <w:rPr>
          <w:noProof/>
        </w:rPr>
      </w:pPr>
      <w:r>
        <w:rPr>
          <w:noProof/>
        </w:rPr>
        <w:t xml:space="preserve">5. Komissio hyväksyy täytäntöönpanosäädöksiä, joissa vahvistetaan 4 kohdassa tarkoitetun todistuksen muoto. Kyseiset täytäntöönpanosäädökset hyväksytään 28 a artiklan 2 kohdassa tarkoitettua tarkastelumenettelyä noudattaen.”; </w:t>
      </w:r>
    </w:p>
    <w:p>
      <w:pPr>
        <w:rPr>
          <w:noProof/>
        </w:rPr>
      </w:pPr>
    </w:p>
    <w:p>
      <w:pPr>
        <w:rPr>
          <w:noProof/>
        </w:rPr>
      </w:pPr>
      <w:r>
        <w:rPr>
          <w:noProof/>
        </w:rPr>
        <w:t>7) muutetaan 27 artikla seuraavasti:</w:t>
      </w:r>
    </w:p>
    <w:p>
      <w:pPr>
        <w:rPr>
          <w:noProof/>
        </w:rPr>
      </w:pPr>
    </w:p>
    <w:p>
      <w:pPr>
        <w:rPr>
          <w:noProof/>
        </w:rPr>
      </w:pPr>
      <w:r>
        <w:rPr>
          <w:noProof/>
        </w:rPr>
        <w:t>a) muutetaan 1 kohta seuraavasti:</w:t>
      </w:r>
    </w:p>
    <w:p>
      <w:pPr>
        <w:rPr>
          <w:noProof/>
        </w:rPr>
      </w:pPr>
    </w:p>
    <w:p>
      <w:pPr>
        <w:rPr>
          <w:noProof/>
        </w:rPr>
      </w:pPr>
      <w:r>
        <w:rPr>
          <w:noProof/>
        </w:rPr>
        <w:t xml:space="preserve">i) korvataan johdantokappale seuraavasti: </w:t>
      </w:r>
    </w:p>
    <w:p>
      <w:pPr>
        <w:rPr>
          <w:noProof/>
        </w:rPr>
      </w:pPr>
      <w:r>
        <w:rPr>
          <w:noProof/>
        </w:rPr>
        <w:t>”Jäsenvaltioiden on vapautettava tässä direktiivissä tarkoitetut tuotteet valmisteverosta edellytyksin, jotka niiden on vahvistettava näiden valmisteverovapautuksien oikean ja välittömän soveltamisen varmistamiseksi sekä veropetosten, veron kiertämisen tai muiden väärinkäytösten torjumiseksi, kun nämä tuotteet on:”;</w:t>
      </w:r>
    </w:p>
    <w:p>
      <w:pPr>
        <w:rPr>
          <w:noProof/>
        </w:rPr>
      </w:pPr>
    </w:p>
    <w:p>
      <w:pPr>
        <w:rPr>
          <w:noProof/>
        </w:rPr>
      </w:pPr>
      <w:r>
        <w:rPr>
          <w:noProof/>
        </w:rPr>
        <w:t>ii) korvataan a alakohta seuraavasti:</w:t>
      </w:r>
    </w:p>
    <w:p>
      <w:pPr>
        <w:rPr>
          <w:noProof/>
        </w:rPr>
      </w:pPr>
    </w:p>
    <w:p>
      <w:pPr>
        <w:rPr>
          <w:noProof/>
        </w:rPr>
      </w:pPr>
      <w:r>
        <w:rPr>
          <w:noProof/>
        </w:rPr>
        <w:t>”a) tarkoitettu myytäviksi alkoholina, joka on kokonaan denaturoitu jossakin jäsenvaltiossa kyseisen jäsenvaltion määräysten mukaisesti, tai denaturoituna alkoholina, joka on tuotu johonkin jäsenvaltioon ja denaturoitu kyseisen jäsenvaltion määräysten mukaisesti, jolloin näistä määräyksistä on asianmukaisesti ilmoitettu kirjallisessa muodossa ja ne on sallittu tämän artiklan 3 ja 4 kohdan mukaisesti;”;</w:t>
      </w:r>
    </w:p>
    <w:p>
      <w:pPr>
        <w:rPr>
          <w:noProof/>
        </w:rPr>
      </w:pPr>
    </w:p>
    <w:p>
      <w:pPr>
        <w:rPr>
          <w:noProof/>
        </w:rPr>
      </w:pPr>
      <w:r>
        <w:rPr>
          <w:noProof/>
        </w:rPr>
        <w:t>iii) korvataan b alakohta seuraavasti:</w:t>
      </w:r>
    </w:p>
    <w:p>
      <w:pPr>
        <w:rPr>
          <w:noProof/>
        </w:rPr>
      </w:pPr>
    </w:p>
    <w:p>
      <w:pPr>
        <w:rPr>
          <w:noProof/>
        </w:rPr>
      </w:pPr>
      <w:r>
        <w:rPr>
          <w:noProof/>
        </w:rPr>
        <w:t xml:space="preserve">”b) tarkoitettu käytettäväksi osana muiden kuin ihmisravinnoksi tarkoitettujen tuotteiden valmistusprosessia, mukaan lukien valmistuslaitteiden puhdistus ja huolto, edellyttäen, että alkoholi on denaturoitu sen jäsenvaltion määräysten mukaisesti, jossa valmistusprosessi tapahtuu;” </w:t>
      </w:r>
    </w:p>
    <w:p>
      <w:pPr>
        <w:rPr>
          <w:noProof/>
          <w:color w:val="0000FF"/>
        </w:rPr>
      </w:pPr>
    </w:p>
    <w:p>
      <w:pPr>
        <w:rPr>
          <w:noProof/>
        </w:rPr>
      </w:pPr>
      <w:r>
        <w:rPr>
          <w:noProof/>
        </w:rPr>
        <w:t>b) lisätään kohta seuraavasti:</w:t>
      </w:r>
    </w:p>
    <w:p>
      <w:pPr>
        <w:rPr>
          <w:noProof/>
        </w:rPr>
      </w:pPr>
    </w:p>
    <w:p>
      <w:pPr>
        <w:rPr>
          <w:noProof/>
        </w:rPr>
      </w:pPr>
      <w:r>
        <w:rPr>
          <w:noProof/>
        </w:rPr>
        <w:t>”1 A. Sovellettaessa 1 kohdan b alakohtaa jäsenvaltioiden on sovellettava [direktiivin 2008/118/EY 4 luvun] säännöksiä kaikkien muiden kuin ihmisravinnoksi tarkoitettujen tuotteiden, jotka sisältävät alkoholia, siirtoihin:</w:t>
      </w:r>
    </w:p>
    <w:p>
      <w:pPr>
        <w:rPr>
          <w:noProof/>
        </w:rPr>
      </w:pPr>
      <w:r>
        <w:rPr>
          <w:noProof/>
        </w:rPr>
        <w:t>- kun valmistusprosessia ei ole saatettu päätökseen ja kyseessä oleva tuote ei ole lopullisessa muodossaan tai</w:t>
      </w:r>
    </w:p>
    <w:p>
      <w:pPr>
        <w:rPr>
          <w:noProof/>
        </w:rPr>
      </w:pPr>
      <w:r>
        <w:rPr>
          <w:noProof/>
        </w:rPr>
        <w:t>- kun kyseessä oleva tuote sisältää alkoholia, jonka alkoholipitoisuus on vähintään 90 tilavuusprosenttia.”;</w:t>
      </w:r>
    </w:p>
    <w:p>
      <w:pPr>
        <w:rPr>
          <w:noProof/>
          <w:color w:val="0000FF"/>
        </w:rPr>
      </w:pPr>
    </w:p>
    <w:p>
      <w:pPr>
        <w:rPr>
          <w:noProof/>
        </w:rPr>
      </w:pPr>
      <w:r>
        <w:rPr>
          <w:noProof/>
        </w:rPr>
        <w:t>c) korvataan 3 kohta seuraavasti:</w:t>
      </w:r>
    </w:p>
    <w:p>
      <w:pPr>
        <w:rPr>
          <w:noProof/>
        </w:rPr>
      </w:pPr>
      <w:r>
        <w:rPr>
          <w:noProof/>
        </w:rPr>
        <w:t>”3. Jäsenvaltion, joka haluaa muuttaa 1 kohdan a alakohdassa tarkoitettuja alkoholin täydellistä denaturaatiota koskevia määräyksiä, on ilmoitettava kyseisistä muuttuneista määräyksistä komissiolle kirjallisesti ja toimitettava samalla kaikki asiaankuuluvat tiedot niistä denaturointiaineista, joita jäsenvaltio aikoo käyttää.</w:t>
      </w:r>
    </w:p>
    <w:p>
      <w:pPr>
        <w:rPr>
          <w:noProof/>
        </w:rPr>
      </w:pPr>
      <w:r>
        <w:rPr>
          <w:noProof/>
        </w:rPr>
        <w:t>Jos komissio katsoo, ettei sillä ei ole kaikkia tarvittavia tietoja, se ottaa yhteyttä kyseiseen jäsenvaltioon kuukauden kuluessa tietojen vastaanottamisesta ja täsmentää, mitä tietoja se tarvitsee. Kun komissio on saanut kaikki tarpeellisina pitämänsä tiedot, se välittää ilmoituksen muille jäsenvaltioille kuukauden kuluessa näiden tietojen saamisesta.”;</w:t>
      </w:r>
    </w:p>
    <w:p>
      <w:pPr>
        <w:rPr>
          <w:noProof/>
        </w:rPr>
      </w:pPr>
    </w:p>
    <w:p>
      <w:pPr>
        <w:rPr>
          <w:noProof/>
        </w:rPr>
      </w:pPr>
      <w:r>
        <w:rPr>
          <w:noProof/>
        </w:rPr>
        <w:t>d) korvataan 4 kohta seuraavasti:</w:t>
      </w:r>
    </w:p>
    <w:p>
      <w:pPr>
        <w:rPr>
          <w:noProof/>
        </w:rPr>
      </w:pPr>
      <w:r>
        <w:rPr>
          <w:noProof/>
        </w:rPr>
        <w:t>”4. Komissio hyväksyy täytäntöönpanosäädöksiä, joilla hyväksytään tai hylätään 3 kohdan mukaisesti ilmoitetut vaatimukset. Kyseiset täytäntöönpanosäädökset hyväksytään 28 a artiklan 2 kohdassa tarkoitettua tarkastelumenettelyä noudattaen.”</w:t>
      </w:r>
    </w:p>
    <w:p>
      <w:pPr>
        <w:rPr>
          <w:noProof/>
        </w:rPr>
      </w:pPr>
    </w:p>
    <w:p>
      <w:pPr>
        <w:rPr>
          <w:noProof/>
        </w:rPr>
      </w:pPr>
      <w:r>
        <w:rPr>
          <w:noProof/>
        </w:rPr>
        <w:t>8) kumotaan 28 artikla;</w:t>
      </w:r>
    </w:p>
    <w:p>
      <w:pPr>
        <w:rPr>
          <w:noProof/>
        </w:rPr>
      </w:pPr>
    </w:p>
    <w:p>
      <w:pPr>
        <w:rPr>
          <w:noProof/>
        </w:rPr>
      </w:pPr>
      <w:r>
        <w:rPr>
          <w:noProof/>
        </w:rPr>
        <w:t xml:space="preserve">9) lisätään VIII jaksoon artikla seuraavasti: </w:t>
      </w:r>
    </w:p>
    <w:p>
      <w:pPr>
        <w:keepNext/>
        <w:spacing w:before="360"/>
        <w:jc w:val="center"/>
        <w:rPr>
          <w:rFonts w:eastAsia="Calibri"/>
          <w:i/>
          <w:noProof/>
        </w:rPr>
      </w:pPr>
      <w:r>
        <w:rPr>
          <w:noProof/>
        </w:rPr>
        <w:t>”</w:t>
      </w:r>
      <w:r>
        <w:rPr>
          <w:i/>
          <w:noProof/>
        </w:rPr>
        <w:t>28 a artikla</w:t>
      </w:r>
    </w:p>
    <w:p>
      <w:pPr>
        <w:rPr>
          <w:noProof/>
        </w:rPr>
      </w:pPr>
      <w:r>
        <w:rPr>
          <w:noProof/>
        </w:rPr>
        <w:t>1. Komissiota avustaa valmisteverokomitea. Tämä komitea on asetuksessa (EU) N:o 182/2011 tarkoitettu komitea.</w:t>
      </w:r>
    </w:p>
    <w:p>
      <w:pPr>
        <w:rPr>
          <w:noProof/>
        </w:rPr>
      </w:pPr>
      <w:r>
        <w:rPr>
          <w:noProof/>
        </w:rPr>
        <w:t>2. Kun viitataan tähän kohtaan, sovelletaan asetuksen (EU) N:o 182/2011 5 artiklaa.”.</w:t>
      </w:r>
    </w:p>
    <w:p>
      <w:pPr>
        <w:pStyle w:val="Titrearticle"/>
        <w:rPr>
          <w:noProof/>
        </w:rPr>
      </w:pPr>
      <w:r>
        <w:rPr>
          <w:noProof/>
        </w:rPr>
        <w:t>2 artikla</w:t>
      </w:r>
    </w:p>
    <w:p>
      <w:pPr>
        <w:pStyle w:val="Titrearticle"/>
        <w:rPr>
          <w:noProof/>
        </w:rPr>
      </w:pPr>
    </w:p>
    <w:p>
      <w:pPr>
        <w:pStyle w:val="ManualNumPar1"/>
        <w:rPr>
          <w:noProof/>
        </w:rPr>
      </w:pPr>
      <w:r>
        <w:rPr>
          <w:noProof/>
        </w:rPr>
        <w:t>1.</w:t>
      </w:r>
      <w:r>
        <w:rPr>
          <w:noProof/>
        </w:rPr>
        <w:tab/>
        <w:t>Jäsenvaltioiden on annettava ja julkaistava tämän direktiivin noudattamisen edellyttämät lait, asetukset ja hallinnolliset määräykset viimeistään 1 päivänä tammikuuta 2020. Niiden on viipymättä toimitettava nämä säännökset kirjallisina komissiolle.</w:t>
      </w:r>
    </w:p>
    <w:p>
      <w:pPr>
        <w:pStyle w:val="Text1"/>
        <w:rPr>
          <w:noProof/>
        </w:rPr>
      </w:pPr>
      <w:r>
        <w:rPr>
          <w:noProof/>
        </w:rPr>
        <w:t>Jäsenvaltioiden on sovellettava näitä säännöksiä 1 päivästä tammikuuta 2020.</w:t>
      </w:r>
    </w:p>
    <w:p>
      <w:pPr>
        <w:pStyle w:val="Text1"/>
        <w:rPr>
          <w:noProof/>
        </w:rPr>
      </w:pPr>
      <w:r>
        <w:rPr>
          <w:noProof/>
        </w:rPr>
        <w:t>Näissä jäsenvaltioiden antamissa säädöksissä on viitattava tähän direktiiviin tai niihin on liitettävä tällainen viittaus, kun ne julkaistaan virallisesti. Jäsenvaltioiden on säädettävä siitä, miten viittaukset tehdään.</w:t>
      </w:r>
    </w:p>
    <w:p>
      <w:pPr>
        <w:pStyle w:val="ManualNumPar1"/>
        <w:rPr>
          <w:noProof/>
        </w:rPr>
      </w:pPr>
      <w:r>
        <w:rPr>
          <w:noProof/>
        </w:rPr>
        <w:t>2.</w:t>
      </w:r>
      <w:r>
        <w:rPr>
          <w:noProof/>
        </w:rPr>
        <w:tab/>
        <w:t>Jäsenvaltioiden on toimitettava tässä direktiivissä säännellyistä kysymyksistä antamansa keskeiset kansalliset säännökset kirjallisina komissiolle.</w:t>
      </w:r>
    </w:p>
    <w:p>
      <w:pPr>
        <w:pStyle w:val="Titrearticle"/>
        <w:rPr>
          <w:noProof/>
        </w:rPr>
      </w:pPr>
      <w:r>
        <w:rPr>
          <w:noProof/>
        </w:rPr>
        <w:t>3 artikla</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4 artikla</w:t>
      </w:r>
    </w:p>
    <w:p>
      <w:pPr>
        <w:rPr>
          <w:noProof/>
        </w:rPr>
      </w:pPr>
      <w:r>
        <w:rPr>
          <w:noProof/>
        </w:rPr>
        <w:t>Tämä direktiivi on osoitettu kaikille jäsenvaltioille.</w:t>
      </w:r>
    </w:p>
    <w:p>
      <w:pPr>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https://ec.europa.eu/info/law/law-making-process/evaluating-and-improving-existing-laws/refit-making-eu-law-simpler-and-less-costly/refit-platform_fi</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 xml:space="preserve">Valmisteverojen vähimmäismäärät vahvistetaan alkoholin ja alkoholijuomien valmisteverojen määrien lähentämisestä 19 päivänä lokakuuta 1992 annetussa neuvoston direktiivissä 92/84/ETY (EYVL L 316, 31.10.1992, s. 29). Vaikka ehdotus direktiivin 92/84/ETY muuttamisesta saattaa vähentää kannustimia verovilppiin ja vaikuttaa myönteisesti kansanterveyteen, tässä vaikutustenarvioinnissa ei keskitytä kyseisiin seikkoihin siitä syystä, että sidosryhmien tuki on rajallinen ja ottaen huomioon komission aiemmat kokemukset kyseisen direktiivin muuttamista koskevasta ehdotuksesta.  </w:t>
      </w:r>
    </w:p>
  </w:footnote>
  <w:footnote w:id="5">
    <w:p>
      <w:pPr>
        <w:pStyle w:val="FootnoteText"/>
        <w:rPr>
          <w:lang w:val="en-GB"/>
        </w:rPr>
      </w:pPr>
      <w:r>
        <w:rPr>
          <w:rStyle w:val="FootnoteReference"/>
        </w:rPr>
        <w:footnoteRef/>
      </w:r>
      <w:r>
        <w:rPr>
          <w:lang w:val="en-GB"/>
        </w:rPr>
        <w:tab/>
        <w:t>Ramboll Management Consulting, Coffey, Europe Economics, “Evaluation of Council Directive 92/83/EEC on the harmonisation of the structures of excise duties on alcohol and alcoholic beverages”, 2016.</w:t>
      </w:r>
    </w:p>
  </w:footnote>
  <w:footnote w:id="6">
    <w:p>
      <w:pPr>
        <w:pStyle w:val="FootnoteText"/>
      </w:pPr>
      <w:r>
        <w:rPr>
          <w:rStyle w:val="FootnoteReference"/>
        </w:rPr>
        <w:footnoteRef/>
      </w:r>
      <w:r>
        <w:tab/>
        <w:t>”Komission kertomus neuvostolle alkoholin ja alkoholijuomien valmisteverojen rakenteiden yhdenmukaistamisesta annetun neuvoston direktiivin 92/83/ETY arvioinnista”, Bryssel, 28.10.2016, COM (2016) 676 final.</w:t>
      </w:r>
    </w:p>
  </w:footnote>
  <w:footnote w:id="7">
    <w:p>
      <w:pPr>
        <w:pStyle w:val="FootnoteText"/>
      </w:pPr>
      <w:r>
        <w:rPr>
          <w:rStyle w:val="FootnoteReference"/>
        </w:rPr>
        <w:footnoteRef/>
      </w:r>
      <w:r>
        <w:tab/>
        <w:t>http://data.consilium.europa.eu/doc/document/ST-15009-2016-INIT/fi/pdf</w:t>
      </w:r>
    </w:p>
  </w:footnote>
  <w:footnote w:id="8">
    <w:p>
      <w:pPr>
        <w:pStyle w:val="FootnoteText"/>
      </w:pPr>
      <w:r>
        <w:rPr>
          <w:rStyle w:val="FootnoteReference"/>
        </w:rPr>
        <w:footnoteRef/>
      </w:r>
      <w:r>
        <w:tab/>
        <w:t>Plato-menetelmällä pyritään näytteen pohjalta arvioimaan nesteen uutepitoisuus painoprosentteina. Sokerin tai makuaineen lisääminen olueen käymisen jälkeen voi vaikuttaa keinotekoisesti sen platoasteeseen.</w:t>
      </w:r>
    </w:p>
  </w:footnote>
  <w:footnote w:id="9">
    <w:p>
      <w:pPr>
        <w:pStyle w:val="FootnoteText"/>
      </w:pPr>
      <w:r>
        <w:rPr>
          <w:rStyle w:val="FootnoteReference"/>
        </w:rPr>
        <w:footnoteRef/>
      </w:r>
      <w:r>
        <w:tab/>
        <w:t xml:space="preserve">Komission tiedonanto Euroopan parlamentille, neuvostolle, Euroopan talous- ja sosiaalikomitealle ja alueiden komitealle – Sisämarkkinoiden päivitys: enemmän mahdollisuuksia kansalaisille ja yrityksille (COM(2015) 550 final), s. 4.  </w:t>
      </w:r>
    </w:p>
  </w:footnote>
  <w:footnote w:id="10">
    <w:p>
      <w:pPr>
        <w:pStyle w:val="FootnoteText"/>
      </w:pPr>
      <w:r>
        <w:rPr>
          <w:rStyle w:val="FootnoteReference"/>
        </w:rPr>
        <w:footnoteRef/>
      </w:r>
      <w:r>
        <w:tab/>
        <w:t>Euroopan unionista tehdyn sopimuksen konsolidoitu toisinto (EUVL C 326, 26.10.2012, s. 13).</w:t>
      </w:r>
    </w:p>
  </w:footnote>
  <w:footnote w:id="11">
    <w:p>
      <w:pPr>
        <w:pStyle w:val="FootnoteText"/>
        <w:rPr>
          <w:lang w:val="en-GB"/>
        </w:rPr>
      </w:pPr>
      <w:r>
        <w:rPr>
          <w:rStyle w:val="FootnoteReference"/>
        </w:rPr>
        <w:footnoteRef/>
      </w:r>
      <w:r>
        <w:rPr>
          <w:lang w:val="en-GB"/>
        </w:rPr>
        <w:tab/>
        <w:t>Ramboll Management Consulting, Coffey, Europe Economics, “Evaluation of Council Directive 92/83/EEC on the harmonisation of the structures of excise duties on alcohol and alcoholic beverages”, 2016.</w:t>
      </w:r>
    </w:p>
  </w:footnote>
  <w:footnote w:id="12">
    <w:p>
      <w:pPr>
        <w:pStyle w:val="FootnoteText"/>
        <w:rPr>
          <w:sz w:val="18"/>
          <w:szCs w:val="18"/>
        </w:rPr>
      </w:pPr>
      <w:r>
        <w:rPr>
          <w:rStyle w:val="FootnoteReference"/>
        </w:rPr>
        <w:footnoteRef/>
      </w:r>
      <w:r>
        <w:tab/>
      </w:r>
      <w:r>
        <w:rPr>
          <w:sz w:val="18"/>
        </w:rPr>
        <w:t>”Komission kertomus neuvostolle alkoholin ja alkoholijuomien valmisteverojen rakenteiden yhdenmukaistamisesta annetun neuvoston direktiivin 92/83/ETY arvioinnista”, Bryssel, 28.10.2016, COM (2016) 676 final.</w:t>
      </w:r>
    </w:p>
  </w:footnote>
  <w:footnote w:id="13">
    <w:p>
      <w:pPr>
        <w:pStyle w:val="FootnoteText"/>
      </w:pPr>
      <w:r>
        <w:rPr>
          <w:rStyle w:val="FootnoteReference"/>
        </w:rPr>
        <w:footnoteRef/>
      </w:r>
      <w:r>
        <w:tab/>
        <w:t>http://data.consilium.europa.eu/doc/document/ST-15009-2016-INIT/fi/pdf</w:t>
      </w:r>
    </w:p>
  </w:footnote>
  <w:footnote w:id="14">
    <w:p>
      <w:pPr>
        <w:pStyle w:val="FootnoteText"/>
      </w:pPr>
      <w:r>
        <w:rPr>
          <w:rStyle w:val="FootnoteReference"/>
        </w:rPr>
        <w:footnoteRef/>
      </w:r>
      <w:r>
        <w:tab/>
        <w:t>Ryhmittymä, jota johti Economisti Associati s.r.l. ja johon kuuluivat Centre for European Policy Studies (CEPS), CASE - Center for Social and Economic Research, wedoIT-solutions GmbH ja ECOPA, toteutti tutkimuksen nimeltä ”Study on Council Directive 92/83/EEC on the structures of excise duty on alcohol and alcoholic beverages”.</w:t>
      </w:r>
    </w:p>
  </w:footnote>
  <w:footnote w:id="15">
    <w:p>
      <w:pPr>
        <w:pStyle w:val="FootnoteText"/>
      </w:pPr>
      <w:r>
        <w:rPr>
          <w:rStyle w:val="FootnoteReference"/>
        </w:rPr>
        <w:footnoteRef/>
      </w:r>
      <w:r>
        <w:tab/>
        <w:t>EUVL C , , s. .</w:t>
      </w:r>
    </w:p>
  </w:footnote>
  <w:footnote w:id="16">
    <w:p>
      <w:pPr>
        <w:pStyle w:val="FootnoteText"/>
      </w:pPr>
      <w:r>
        <w:rPr>
          <w:rStyle w:val="FootnoteReference"/>
        </w:rPr>
        <w:footnoteRef/>
      </w:r>
      <w:r>
        <w:tab/>
        <w:t>EUVL C , , s. .</w:t>
      </w:r>
    </w:p>
  </w:footnote>
  <w:footnote w:id="17">
    <w:p>
      <w:pPr>
        <w:pStyle w:val="FootnoteText"/>
      </w:pPr>
      <w:r>
        <w:rPr>
          <w:rStyle w:val="FootnoteReference"/>
        </w:rPr>
        <w:footnoteRef/>
      </w:r>
      <w:r>
        <w:tab/>
        <w:t>Neuvoston direktiivi 92/83/ETY, annettu 19 päivänä lokakuuta 1992, alkoholin ja alkoholijuomien valmisteverojen rakenteiden yhdenmukaistamisesta (EYVL L 316, 31.10.1992, s. 21).</w:t>
      </w:r>
    </w:p>
  </w:footnote>
  <w:footnote w:id="1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OVAN Eadaoin (TAXUD)">
    <w15:presenceInfo w15:providerId="None" w15:userId="ODONOVAN Eadaoi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6: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77940D-C9D4-4711-A3E3-285E3AEDD89F"/>
    <w:docVar w:name="LW_COVERPAGE_TYPE" w:val="1"/>
    <w:docVar w:name="LW_CROSSREFERENCE" w:val="{SEC(2018) 254 final}_x000b_{SWD(2018) 258 final}_x000b_{SWD(2018) 259 final}"/>
    <w:docVar w:name="LW_DocType" w:val="COM"/>
    <w:docVar w:name="LW_EMISSION" w:val="25.5.2018"/>
    <w:docVar w:name="LW_EMISSION_ISODATE" w:val="2018-05-25"/>
    <w:docVar w:name="LW_EMISSION_LOCATION" w:val="BRX"/>
    <w:docVar w:name="LW_EMISSION_PREFIX" w:val="Bry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alkoholin ja alkoholijuomien valmisteverojen rakenteiden yhdenmukaistamisesta annetun direktiivin 92/83/ETY muuttamisesta"/>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1C4-1DBF-469A-B636-EE6D8E92DDFF}">
  <ds:schemaRefs>
    <ds:schemaRef ds:uri="116b018f-4aaa-4418-ad06-650d5c9b37c6"/>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3.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C69D8-48D2-4BAC-8395-DC4BDF21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3135</Words>
  <Characters>27312</Characters>
  <Application>Microsoft Office Word</Application>
  <DocSecurity>0</DocSecurity>
  <Lines>462</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2018-02-28T08:47:00Z</cp:lastPrinted>
  <dcterms:created xsi:type="dcterms:W3CDTF">2018-05-08T13:06:00Z</dcterms:created>
  <dcterms:modified xsi:type="dcterms:W3CDTF">2018-05-17T14:56:00Z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